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158EA">
      <w:pPr>
        <w:pStyle w:val="14"/>
        <w:adjustRightInd w:val="0"/>
        <w:snapToGrid w:val="0"/>
        <w:spacing w:beforeLines="50" w:beforeAutospacing="0" w:afterLines="50" w:afterAutospacing="0"/>
        <w:jc w:val="center"/>
        <w:outlineLvl w:val="0"/>
        <w:rPr>
          <w:rFonts w:ascii="Times New Roman" w:hAnsi="Times New Roman" w:eastAsia="黑体"/>
          <w:snapToGrid w:val="0"/>
          <w:sz w:val="32"/>
          <w:szCs w:val="32"/>
        </w:rPr>
      </w:pPr>
      <w:r>
        <w:rPr>
          <w:rFonts w:hint="eastAsia" w:ascii="Times New Roman" w:hAnsi="Times New Roman" w:eastAsia="黑体"/>
          <w:snapToGrid w:val="0"/>
          <w:sz w:val="32"/>
          <w:szCs w:val="32"/>
        </w:rPr>
        <w:t>一、建设项目基本情况</w:t>
      </w:r>
    </w:p>
    <w:tbl>
      <w:tblPr>
        <w:tblStyle w:val="17"/>
        <w:tblW w:w="495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95"/>
        <w:gridCol w:w="2444"/>
        <w:gridCol w:w="1988"/>
        <w:gridCol w:w="165"/>
        <w:gridCol w:w="2805"/>
      </w:tblGrid>
      <w:tr w14:paraId="66ED3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7E7E843A">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建设项目</w:t>
            </w:r>
          </w:p>
          <w:p w14:paraId="6762196F">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名称</w:t>
            </w:r>
          </w:p>
        </w:tc>
        <w:tc>
          <w:tcPr>
            <w:tcW w:w="4207" w:type="pct"/>
            <w:gridSpan w:val="4"/>
            <w:vAlign w:val="center"/>
          </w:tcPr>
          <w:p w14:paraId="3E1A9CF3">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年产200万套汽车零部件项目</w:t>
            </w:r>
          </w:p>
        </w:tc>
      </w:tr>
      <w:tr w14:paraId="768ADA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5280D560">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项目代码</w:t>
            </w:r>
          </w:p>
        </w:tc>
        <w:tc>
          <w:tcPr>
            <w:tcW w:w="4207" w:type="pct"/>
            <w:gridSpan w:val="4"/>
            <w:vAlign w:val="center"/>
          </w:tcPr>
          <w:p w14:paraId="6BFA152B">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2503-340404-04-01-507916</w:t>
            </w:r>
          </w:p>
        </w:tc>
      </w:tr>
      <w:tr w14:paraId="0CCDF5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358272B8">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建设单位</w:t>
            </w:r>
          </w:p>
          <w:p w14:paraId="72AA07E2">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联系人</w:t>
            </w:r>
          </w:p>
        </w:tc>
        <w:tc>
          <w:tcPr>
            <w:tcW w:w="1389" w:type="pct"/>
            <w:vAlign w:val="center"/>
          </w:tcPr>
          <w:p w14:paraId="286CCBEC">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满飞</w:t>
            </w:r>
          </w:p>
        </w:tc>
        <w:tc>
          <w:tcPr>
            <w:tcW w:w="1130" w:type="pct"/>
            <w:vAlign w:val="center"/>
          </w:tcPr>
          <w:p w14:paraId="292D1666">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联系方式</w:t>
            </w:r>
          </w:p>
        </w:tc>
        <w:tc>
          <w:tcPr>
            <w:tcW w:w="1689" w:type="pct"/>
            <w:gridSpan w:val="2"/>
            <w:vAlign w:val="center"/>
          </w:tcPr>
          <w:p w14:paraId="0F27CB01">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15056008023</w:t>
            </w:r>
          </w:p>
        </w:tc>
      </w:tr>
      <w:tr w14:paraId="0BCFB9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5147E3C4">
            <w:pPr>
              <w:spacing w:line="324" w:lineRule="auto"/>
              <w:jc w:val="center"/>
              <w:rPr>
                <w:rFonts w:ascii="Times New Roman" w:hAnsi="Times New Roman" w:cs="Times New Roman"/>
                <w:color w:val="auto"/>
                <w:sz w:val="24"/>
                <w:szCs w:val="24"/>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-368935</wp:posOffset>
                      </wp:positionH>
                      <wp:positionV relativeFrom="paragraph">
                        <wp:posOffset>415290</wp:posOffset>
                      </wp:positionV>
                      <wp:extent cx="285750" cy="677545"/>
                      <wp:effectExtent l="4445" t="4445" r="14605" b="19050"/>
                      <wp:wrapNone/>
                      <wp:docPr id="159" name="矩形 771"/>
                      <wp:cNvGraphicFramePr/>
                      <a:graphic xmlns:a="http://schemas.openxmlformats.org/drawingml/2006/main">
                        <a:graphicData uri="http://schemas.microsoft.com/office/word/2010/wordprocessingShape">
                          <wps:wsp>
                            <wps:cNvSpPr/>
                            <wps:spPr>
                              <a:xfrm>
                                <a:off x="0" y="0"/>
                                <a:ext cx="285750" cy="67754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矩形 771" o:spid="_x0000_s1026" o:spt="1" style="position:absolute;left:0pt;margin-left:-29.05pt;margin-top:32.7pt;height:53.35pt;width:22.5pt;z-index:251661312;mso-width-relative:page;mso-height-relative:page;" fillcolor="#FFFFFF" filled="t" stroked="t" coordsize="21600,21600" o:gfxdata="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1es7fYAAAACgEAAA8AAAAAAAAAAQAgAAAAIgAAAGRycy9kb3ducmV2Lnht&#10;bFBLAQIUABQAAAAIAIdO4kC5SZJH+QEAACEEAAAOAAAAAAAAAAEAIAAAACcBAABkcnMvZTJvRG9j&#10;LnhtbFBLBQYAAAAABgAGAFkBAACSBQAAAAA=&#10;">
                      <v:fill on="t" focussize="0,0"/>
                      <v:stroke color="#FFFFFF" joinstyle="miter"/>
                      <v:imagedata o:title=""/>
                      <o:lock v:ext="edit" aspectratio="f"/>
                    </v:rect>
                  </w:pict>
                </mc:Fallback>
              </mc:AlternateContent>
            </w:r>
            <w:r>
              <w:rPr>
                <w:rFonts w:ascii="Times New Roman" w:hAnsi="Times New Roman" w:cs="Times New Roman"/>
                <w:color w:val="auto"/>
                <w:sz w:val="24"/>
                <w:szCs w:val="24"/>
                <w:highlight w:val="none"/>
              </w:rPr>
              <w:t>建设地点</w:t>
            </w:r>
          </w:p>
        </w:tc>
        <w:tc>
          <w:tcPr>
            <w:tcW w:w="4207" w:type="pct"/>
            <w:gridSpan w:val="4"/>
            <w:vAlign w:val="center"/>
          </w:tcPr>
          <w:p w14:paraId="0292F34F">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安徽省淮南市谢家集区汽配产业园3号厂房</w:t>
            </w:r>
          </w:p>
        </w:tc>
      </w:tr>
      <w:tr w14:paraId="1F47B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05B3592B">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地理坐标</w:t>
            </w:r>
          </w:p>
        </w:tc>
        <w:tc>
          <w:tcPr>
            <w:tcW w:w="4207" w:type="pct"/>
            <w:gridSpan w:val="4"/>
            <w:vAlign w:val="center"/>
          </w:tcPr>
          <w:p w14:paraId="6B2FAB02">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116</w:t>
            </w:r>
            <w:r>
              <w:rPr>
                <w:rFonts w:hint="eastAsia" w:ascii="Times New Roman" w:hAnsi="Times New Roman" w:cs="Times New Roman"/>
                <w:color w:val="auto"/>
                <w:sz w:val="24"/>
                <w:szCs w:val="24"/>
                <w:highlight w:val="none"/>
              </w:rPr>
              <w:t>度54分16.423秒，</w:t>
            </w:r>
            <w:r>
              <w:rPr>
                <w:rFonts w:ascii="Times New Roman" w:hAnsi="Times New Roman" w:cs="Times New Roman"/>
                <w:color w:val="auto"/>
                <w:sz w:val="24"/>
                <w:szCs w:val="24"/>
                <w:highlight w:val="none"/>
              </w:rPr>
              <w:t>3</w:t>
            </w:r>
            <w:r>
              <w:rPr>
                <w:rFonts w:hint="eastAsia" w:ascii="Times New Roman" w:hAnsi="Times New Roman" w:cs="Times New Roman"/>
                <w:color w:val="auto"/>
                <w:sz w:val="24"/>
                <w:szCs w:val="24"/>
                <w:highlight w:val="none"/>
              </w:rPr>
              <w:t>2度33分33.031秒）</w:t>
            </w:r>
          </w:p>
        </w:tc>
      </w:tr>
      <w:tr w14:paraId="6285F9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6A6C1FFA">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国民经济</w:t>
            </w:r>
          </w:p>
          <w:p w14:paraId="50766908">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行业类别</w:t>
            </w:r>
          </w:p>
        </w:tc>
        <w:tc>
          <w:tcPr>
            <w:tcW w:w="1389" w:type="pct"/>
            <w:vAlign w:val="center"/>
          </w:tcPr>
          <w:p w14:paraId="4DA6A2FC">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C3670汽车零部件及配件制造</w:t>
            </w:r>
          </w:p>
        </w:tc>
        <w:tc>
          <w:tcPr>
            <w:tcW w:w="1224" w:type="pct"/>
            <w:gridSpan w:val="2"/>
            <w:vAlign w:val="center"/>
          </w:tcPr>
          <w:p w14:paraId="1F9996B0">
            <w:pPr>
              <w:spacing w:line="324" w:lineRule="auto"/>
              <w:jc w:val="center"/>
              <w:rPr>
                <w:rFonts w:ascii="Times New Roman" w:hAnsi="Times New Roman" w:cs="Times New Roman"/>
                <w:color w:val="auto"/>
                <w:sz w:val="24"/>
                <w:szCs w:val="24"/>
                <w:highlight w:val="none"/>
              </w:rPr>
            </w:pPr>
            <w:bookmarkStart w:id="0" w:name="_Hlk49843745"/>
            <w:r>
              <w:rPr>
                <w:rFonts w:ascii="Times New Roman" w:hAnsi="Times New Roman" w:cs="Times New Roman"/>
                <w:color w:val="auto"/>
                <w:sz w:val="24"/>
                <w:szCs w:val="24"/>
                <w:highlight w:val="none"/>
              </w:rPr>
              <w:t>建设项目</w:t>
            </w:r>
          </w:p>
          <w:p w14:paraId="5D79EC8B">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行业类别</w:t>
            </w:r>
            <w:bookmarkEnd w:id="0"/>
          </w:p>
        </w:tc>
        <w:tc>
          <w:tcPr>
            <w:tcW w:w="1595" w:type="pct"/>
            <w:vAlign w:val="center"/>
          </w:tcPr>
          <w:p w14:paraId="42DCC354">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三十三</w:t>
            </w:r>
            <w:r>
              <w:rPr>
                <w:rFonts w:ascii="Times New Roman" w:hAnsi="Times New Roman" w:cs="Times New Roman"/>
                <w:color w:val="auto"/>
                <w:sz w:val="24"/>
                <w:szCs w:val="24"/>
                <w:highlight w:val="none"/>
              </w:rPr>
              <w:t>、</w:t>
            </w:r>
            <w:r>
              <w:rPr>
                <w:rFonts w:hint="eastAsia" w:ascii="Times New Roman" w:hAnsi="Times New Roman" w:cs="Times New Roman"/>
                <w:color w:val="auto"/>
                <w:sz w:val="24"/>
                <w:szCs w:val="24"/>
                <w:highlight w:val="none"/>
              </w:rPr>
              <w:t>汽车制造</w:t>
            </w:r>
            <w:r>
              <w:rPr>
                <w:rFonts w:ascii="Times New Roman" w:hAnsi="Times New Roman" w:cs="Times New Roman"/>
                <w:color w:val="auto"/>
                <w:sz w:val="24"/>
                <w:szCs w:val="24"/>
                <w:highlight w:val="none"/>
              </w:rPr>
              <w:t>业</w:t>
            </w:r>
            <w:r>
              <w:rPr>
                <w:rFonts w:hint="eastAsia" w:ascii="Times New Roman" w:hAnsi="Times New Roman" w:cs="Times New Roman"/>
                <w:color w:val="auto"/>
                <w:sz w:val="24"/>
                <w:szCs w:val="24"/>
                <w:highlight w:val="none"/>
              </w:rPr>
              <w:t>367其他</w:t>
            </w:r>
          </w:p>
        </w:tc>
      </w:tr>
      <w:tr w14:paraId="13C52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49B95409">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建设性质</w:t>
            </w:r>
          </w:p>
        </w:tc>
        <w:tc>
          <w:tcPr>
            <w:tcW w:w="1389" w:type="pct"/>
            <w:vAlign w:val="center"/>
          </w:tcPr>
          <w:p w14:paraId="395763B3">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F052"/>
            </w:r>
            <w:r>
              <w:rPr>
                <w:rFonts w:ascii="Times New Roman" w:hAnsi="Times New Roman" w:cs="Times New Roman"/>
                <w:color w:val="auto"/>
                <w:sz w:val="24"/>
                <w:szCs w:val="24"/>
                <w:highlight w:val="none"/>
              </w:rPr>
              <w:t>新建（迁建）</w:t>
            </w:r>
          </w:p>
          <w:p w14:paraId="0B7A432F">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00A3"/>
            </w:r>
            <w:r>
              <w:rPr>
                <w:rFonts w:ascii="Times New Roman" w:hAnsi="Times New Roman" w:cs="Times New Roman"/>
                <w:color w:val="auto"/>
                <w:sz w:val="24"/>
                <w:szCs w:val="24"/>
                <w:highlight w:val="none"/>
              </w:rPr>
              <w:t>改建</w:t>
            </w:r>
          </w:p>
          <w:p w14:paraId="2D82418D">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00A3"/>
            </w:r>
            <w:r>
              <w:rPr>
                <w:rFonts w:ascii="Times New Roman" w:hAnsi="Times New Roman" w:cs="Times New Roman"/>
                <w:color w:val="auto"/>
                <w:sz w:val="24"/>
                <w:szCs w:val="24"/>
                <w:highlight w:val="none"/>
              </w:rPr>
              <w:t>扩建</w:t>
            </w:r>
          </w:p>
          <w:p w14:paraId="7097A06A">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00A3"/>
            </w:r>
            <w:r>
              <w:rPr>
                <w:rFonts w:ascii="Times New Roman" w:hAnsi="Times New Roman" w:cs="Times New Roman"/>
                <w:color w:val="auto"/>
                <w:sz w:val="24"/>
                <w:szCs w:val="24"/>
                <w:highlight w:val="none"/>
              </w:rPr>
              <w:t>技术改造</w:t>
            </w:r>
          </w:p>
        </w:tc>
        <w:tc>
          <w:tcPr>
            <w:tcW w:w="1224" w:type="pct"/>
            <w:gridSpan w:val="2"/>
            <w:vAlign w:val="center"/>
          </w:tcPr>
          <w:p w14:paraId="6E70E0EC">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建设项目</w:t>
            </w:r>
          </w:p>
          <w:p w14:paraId="046E4C88">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申报情形</w:t>
            </w:r>
          </w:p>
        </w:tc>
        <w:tc>
          <w:tcPr>
            <w:tcW w:w="1595" w:type="pct"/>
            <w:vAlign w:val="center"/>
          </w:tcPr>
          <w:p w14:paraId="732F0A58">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F052"/>
            </w:r>
            <w:r>
              <w:rPr>
                <w:rFonts w:ascii="Times New Roman" w:hAnsi="Times New Roman" w:cs="Times New Roman"/>
                <w:color w:val="auto"/>
                <w:sz w:val="24"/>
                <w:szCs w:val="24"/>
                <w:highlight w:val="none"/>
              </w:rPr>
              <w:t>首次申报项目</w:t>
            </w:r>
          </w:p>
          <w:p w14:paraId="16C06509">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00A3"/>
            </w:r>
            <w:r>
              <w:rPr>
                <w:rFonts w:ascii="Times New Roman" w:hAnsi="Times New Roman" w:cs="Times New Roman"/>
                <w:color w:val="auto"/>
                <w:sz w:val="24"/>
                <w:szCs w:val="24"/>
                <w:highlight w:val="none"/>
              </w:rPr>
              <w:t>不予批准后再次申报项目</w:t>
            </w:r>
          </w:p>
          <w:p w14:paraId="57129704">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00A3"/>
            </w:r>
            <w:r>
              <w:rPr>
                <w:rFonts w:ascii="Times New Roman" w:hAnsi="Times New Roman" w:cs="Times New Roman"/>
                <w:color w:val="auto"/>
                <w:sz w:val="24"/>
                <w:szCs w:val="24"/>
                <w:highlight w:val="none"/>
              </w:rPr>
              <w:t>超五年重新审核项目</w:t>
            </w:r>
          </w:p>
          <w:p w14:paraId="0F943283">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00A3"/>
            </w:r>
            <w:r>
              <w:rPr>
                <w:rFonts w:ascii="Times New Roman" w:hAnsi="Times New Roman" w:cs="Times New Roman"/>
                <w:color w:val="auto"/>
                <w:sz w:val="24"/>
                <w:szCs w:val="24"/>
                <w:highlight w:val="none"/>
              </w:rPr>
              <w:t>重大变动重新报批项目</w:t>
            </w:r>
          </w:p>
        </w:tc>
      </w:tr>
      <w:tr w14:paraId="1AEF2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10A9C6DE">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项目审批（核准/</w:t>
            </w:r>
          </w:p>
          <w:p w14:paraId="2896F9D2">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备案）部门（选填）</w:t>
            </w:r>
          </w:p>
        </w:tc>
        <w:tc>
          <w:tcPr>
            <w:tcW w:w="1389" w:type="pct"/>
            <w:vAlign w:val="center"/>
          </w:tcPr>
          <w:p w14:paraId="0262A6DC">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淮南市</w:t>
            </w:r>
            <w:r>
              <w:rPr>
                <w:rFonts w:hint="eastAsia" w:ascii="Times New Roman" w:hAnsi="Times New Roman" w:cs="Times New Roman"/>
                <w:color w:val="auto"/>
                <w:sz w:val="24"/>
                <w:szCs w:val="24"/>
                <w:highlight w:val="none"/>
              </w:rPr>
              <w:t>谢家集</w:t>
            </w:r>
            <w:r>
              <w:rPr>
                <w:rFonts w:ascii="Times New Roman" w:hAnsi="Times New Roman" w:cs="Times New Roman"/>
                <w:color w:val="auto"/>
                <w:sz w:val="24"/>
                <w:szCs w:val="24"/>
                <w:highlight w:val="none"/>
              </w:rPr>
              <w:t>区发展和改革委员会</w:t>
            </w:r>
          </w:p>
        </w:tc>
        <w:tc>
          <w:tcPr>
            <w:tcW w:w="1224" w:type="pct"/>
            <w:gridSpan w:val="2"/>
            <w:vAlign w:val="center"/>
          </w:tcPr>
          <w:p w14:paraId="5AC081AF">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项目审批（核准/备案）</w:t>
            </w:r>
          </w:p>
          <w:p w14:paraId="03ABE40B">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文号（选填）</w:t>
            </w:r>
          </w:p>
        </w:tc>
        <w:tc>
          <w:tcPr>
            <w:tcW w:w="1595" w:type="pct"/>
            <w:vAlign w:val="center"/>
          </w:tcPr>
          <w:p w14:paraId="4F6BBD17">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w:t>
            </w:r>
          </w:p>
        </w:tc>
      </w:tr>
      <w:tr w14:paraId="5553C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3AE71B46">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总投资（万元）</w:t>
            </w:r>
          </w:p>
        </w:tc>
        <w:tc>
          <w:tcPr>
            <w:tcW w:w="1389" w:type="pct"/>
            <w:vAlign w:val="center"/>
          </w:tcPr>
          <w:p w14:paraId="169E6522">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10000</w:t>
            </w:r>
          </w:p>
        </w:tc>
        <w:tc>
          <w:tcPr>
            <w:tcW w:w="1224" w:type="pct"/>
            <w:gridSpan w:val="2"/>
            <w:tcMar>
              <w:top w:w="16" w:type="dxa"/>
              <w:left w:w="16" w:type="dxa"/>
              <w:right w:w="16" w:type="dxa"/>
            </w:tcMar>
            <w:vAlign w:val="center"/>
          </w:tcPr>
          <w:p w14:paraId="2A571576">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环保投资（万元）</w:t>
            </w:r>
          </w:p>
        </w:tc>
        <w:tc>
          <w:tcPr>
            <w:tcW w:w="1595" w:type="pct"/>
            <w:vAlign w:val="center"/>
          </w:tcPr>
          <w:p w14:paraId="5AD01075">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100</w:t>
            </w:r>
          </w:p>
        </w:tc>
      </w:tr>
      <w:tr w14:paraId="4F7624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2180E9F3">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环保投资占比</w:t>
            </w:r>
            <w:r>
              <w:rPr>
                <w:rFonts w:hint="eastAsia" w:ascii="Times New Roman" w:hAnsi="Times New Roman" w:cs="Times New Roman"/>
                <w:color w:val="auto"/>
                <w:sz w:val="24"/>
                <w:szCs w:val="24"/>
                <w:highlight w:val="none"/>
              </w:rPr>
              <w:t>（%）</w:t>
            </w:r>
          </w:p>
        </w:tc>
        <w:tc>
          <w:tcPr>
            <w:tcW w:w="1389" w:type="pct"/>
            <w:vAlign w:val="center"/>
          </w:tcPr>
          <w:p w14:paraId="0F4BE427">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w:t>
            </w:r>
          </w:p>
        </w:tc>
        <w:tc>
          <w:tcPr>
            <w:tcW w:w="1224" w:type="pct"/>
            <w:gridSpan w:val="2"/>
            <w:tcMar>
              <w:top w:w="16" w:type="dxa"/>
              <w:left w:w="16" w:type="dxa"/>
              <w:right w:w="16" w:type="dxa"/>
            </w:tcMar>
            <w:vAlign w:val="center"/>
          </w:tcPr>
          <w:p w14:paraId="736362E2">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施工工期</w:t>
            </w:r>
          </w:p>
        </w:tc>
        <w:tc>
          <w:tcPr>
            <w:tcW w:w="1595" w:type="pct"/>
            <w:vAlign w:val="center"/>
          </w:tcPr>
          <w:p w14:paraId="045FC3FC">
            <w:pPr>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4个月</w:t>
            </w:r>
          </w:p>
        </w:tc>
      </w:tr>
      <w:tr w14:paraId="3D9D85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793" w:type="pct"/>
            <w:tcMar>
              <w:top w:w="16" w:type="dxa"/>
              <w:left w:w="16" w:type="dxa"/>
              <w:right w:w="16" w:type="dxa"/>
            </w:tcMar>
            <w:vAlign w:val="center"/>
          </w:tcPr>
          <w:p w14:paraId="79C8510F">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是否开工建设</w:t>
            </w:r>
          </w:p>
        </w:tc>
        <w:tc>
          <w:tcPr>
            <w:tcW w:w="1389" w:type="pct"/>
            <w:vAlign w:val="center"/>
          </w:tcPr>
          <w:p w14:paraId="55D380E8">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F052"/>
            </w:r>
            <w:r>
              <w:rPr>
                <w:rFonts w:ascii="Times New Roman" w:hAnsi="Times New Roman" w:cs="Times New Roman"/>
                <w:color w:val="auto"/>
                <w:sz w:val="24"/>
                <w:szCs w:val="24"/>
                <w:highlight w:val="none"/>
              </w:rPr>
              <w:t>否</w:t>
            </w:r>
          </w:p>
          <w:p w14:paraId="58F70CF9">
            <w:pPr>
              <w:spacing w:line="324" w:lineRule="auto"/>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sym w:font="Wingdings 2" w:char="00A3"/>
            </w:r>
            <w:r>
              <w:rPr>
                <w:rFonts w:ascii="Times New Roman" w:hAnsi="Times New Roman" w:cs="Times New Roman"/>
                <w:color w:val="auto"/>
                <w:sz w:val="24"/>
                <w:szCs w:val="24"/>
                <w:highlight w:val="none"/>
              </w:rPr>
              <w:t>是</w:t>
            </w:r>
            <w:r>
              <w:rPr>
                <w:rFonts w:hint="eastAsia" w:ascii="Times New Roman" w:hAnsi="Times New Roman" w:cs="Times New Roman"/>
                <w:color w:val="auto"/>
                <w:sz w:val="24"/>
                <w:szCs w:val="24"/>
                <w:highlight w:val="none"/>
              </w:rPr>
              <w:t>：</w:t>
            </w:r>
          </w:p>
        </w:tc>
        <w:tc>
          <w:tcPr>
            <w:tcW w:w="1224" w:type="pct"/>
            <w:gridSpan w:val="2"/>
            <w:tcMar>
              <w:top w:w="16" w:type="dxa"/>
              <w:left w:w="16" w:type="dxa"/>
              <w:right w:w="16" w:type="dxa"/>
            </w:tcMar>
            <w:vAlign w:val="center"/>
          </w:tcPr>
          <w:p w14:paraId="470D415A">
            <w:pPr>
              <w:spacing w:line="324" w:lineRule="auto"/>
              <w:jc w:val="center"/>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用地（用海）面积（m</w:t>
            </w:r>
            <w:r>
              <w:rPr>
                <w:rFonts w:ascii="Times New Roman" w:hAnsi="Times New Roman" w:cs="Times New Roman"/>
                <w:color w:val="auto"/>
                <w:sz w:val="24"/>
                <w:szCs w:val="24"/>
                <w:highlight w:val="none"/>
                <w:vertAlign w:val="superscript"/>
              </w:rPr>
              <w:t>2</w:t>
            </w:r>
            <w:r>
              <w:rPr>
                <w:rFonts w:ascii="Times New Roman" w:hAnsi="Times New Roman" w:cs="Times New Roman"/>
                <w:color w:val="auto"/>
                <w:sz w:val="24"/>
                <w:szCs w:val="24"/>
                <w:highlight w:val="none"/>
              </w:rPr>
              <w:t>）</w:t>
            </w:r>
          </w:p>
        </w:tc>
        <w:tc>
          <w:tcPr>
            <w:tcW w:w="1595" w:type="pct"/>
            <w:vAlign w:val="center"/>
          </w:tcPr>
          <w:p w14:paraId="13BEB9DD">
            <w:pPr>
              <w:tabs>
                <w:tab w:val="left" w:pos="1252"/>
              </w:tabs>
              <w:spacing w:line="324" w:lineRule="auto"/>
              <w:jc w:val="center"/>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5218.5</w:t>
            </w:r>
          </w:p>
        </w:tc>
      </w:tr>
      <w:tr w14:paraId="5E4169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pct"/>
            <w:vAlign w:val="center"/>
          </w:tcPr>
          <w:p w14:paraId="75CD0B4F">
            <w:pPr>
              <w:adjustRightInd w:val="0"/>
              <w:snapToGrid w:val="0"/>
              <w:spacing w:line="276" w:lineRule="auto"/>
              <w:jc w:val="center"/>
              <w:rPr>
                <w:rFonts w:ascii="Times New Roman" w:hAnsi="Times New Roman" w:cs="Times New Roman"/>
                <w:color w:val="auto"/>
                <w:kern w:val="0"/>
                <w:sz w:val="24"/>
                <w:szCs w:val="24"/>
                <w:highlight w:val="none"/>
              </w:rPr>
            </w:pPr>
            <w:r>
              <w:rPr>
                <w:rFonts w:ascii="Times New Roman" w:hAnsi="Times New Roman" w:cs="Times New Roman"/>
                <w:color w:val="auto"/>
                <w:kern w:val="0"/>
                <w:sz w:val="24"/>
                <w:szCs w:val="24"/>
                <w:highlight w:val="none"/>
              </w:rPr>
              <w:t>专项评价设置情况</w:t>
            </w:r>
          </w:p>
        </w:tc>
        <w:tc>
          <w:tcPr>
            <w:tcW w:w="4207" w:type="pct"/>
            <w:gridSpan w:val="4"/>
            <w:vAlign w:val="center"/>
          </w:tcPr>
          <w:p w14:paraId="45ACB5D6">
            <w:pPr>
              <w:adjustRightInd w:val="0"/>
              <w:snapToGrid w:val="0"/>
              <w:spacing w:line="276" w:lineRule="auto"/>
              <w:ind w:firstLine="480" w:firstLineChars="200"/>
              <w:jc w:val="left"/>
              <w:rPr>
                <w:rFonts w:ascii="Times New Roman" w:hAnsi="Times New Roman" w:eastAsia="宋体" w:cs="Times New Roman"/>
                <w:color w:val="auto"/>
                <w:kern w:val="0"/>
                <w:sz w:val="24"/>
                <w:szCs w:val="24"/>
                <w:highlight w:val="none"/>
              </w:rPr>
            </w:pPr>
            <w:r>
              <w:rPr>
                <w:rFonts w:hint="eastAsia" w:ascii="Times New Roman" w:hAnsi="Times New Roman" w:eastAsia="宋体" w:cs="Times New Roman"/>
                <w:color w:val="auto"/>
                <w:kern w:val="0"/>
                <w:sz w:val="24"/>
                <w:szCs w:val="24"/>
                <w:highlight w:val="none"/>
              </w:rPr>
              <w:t>本项目无需设置专项评价。判定依据详见下表：</w:t>
            </w:r>
          </w:p>
          <w:p w14:paraId="7C745086">
            <w:pPr>
              <w:adjustRightInd w:val="0"/>
              <w:snapToGrid w:val="0"/>
              <w:spacing w:line="276" w:lineRule="auto"/>
              <w:ind w:firstLine="480" w:firstLineChars="200"/>
              <w:jc w:val="center"/>
              <w:rPr>
                <w:rFonts w:ascii="Times New Roman" w:hAnsi="Times New Roman" w:eastAsia="黑体" w:cs="Times New Roman"/>
                <w:color w:val="auto"/>
                <w:kern w:val="0"/>
                <w:sz w:val="24"/>
                <w:szCs w:val="24"/>
                <w:highlight w:val="none"/>
              </w:rPr>
            </w:pPr>
          </w:p>
          <w:p w14:paraId="3FFE0841">
            <w:pPr>
              <w:adjustRightInd w:val="0"/>
              <w:snapToGrid w:val="0"/>
              <w:spacing w:line="276" w:lineRule="auto"/>
              <w:ind w:firstLine="480" w:firstLineChars="200"/>
              <w:jc w:val="center"/>
              <w:rPr>
                <w:rFonts w:ascii="Times New Roman" w:hAnsi="Times New Roman" w:eastAsia="黑体" w:cs="Times New Roman"/>
                <w:color w:val="auto"/>
                <w:kern w:val="0"/>
                <w:sz w:val="24"/>
                <w:szCs w:val="24"/>
                <w:highlight w:val="none"/>
              </w:rPr>
            </w:pPr>
          </w:p>
          <w:p w14:paraId="3CD375FE">
            <w:pPr>
              <w:adjustRightInd w:val="0"/>
              <w:snapToGrid w:val="0"/>
              <w:spacing w:line="276" w:lineRule="auto"/>
              <w:ind w:firstLine="480" w:firstLineChars="200"/>
              <w:jc w:val="center"/>
              <w:rPr>
                <w:rFonts w:ascii="Times New Roman" w:hAnsi="Times New Roman" w:eastAsia="黑体" w:cs="Times New Roman"/>
                <w:color w:val="auto"/>
                <w:kern w:val="0"/>
                <w:sz w:val="24"/>
                <w:szCs w:val="24"/>
                <w:highlight w:val="none"/>
              </w:rPr>
            </w:pPr>
          </w:p>
          <w:p w14:paraId="18371415">
            <w:pPr>
              <w:adjustRightInd w:val="0"/>
              <w:snapToGrid w:val="0"/>
              <w:spacing w:line="276" w:lineRule="auto"/>
              <w:ind w:firstLine="480" w:firstLineChars="200"/>
              <w:jc w:val="center"/>
              <w:rPr>
                <w:rFonts w:ascii="Times New Roman" w:hAnsi="Times New Roman" w:eastAsia="黑体" w:cs="Times New Roman"/>
                <w:color w:val="auto"/>
                <w:kern w:val="0"/>
                <w:sz w:val="24"/>
                <w:szCs w:val="24"/>
                <w:highlight w:val="none"/>
              </w:rPr>
            </w:pPr>
          </w:p>
          <w:p w14:paraId="1961F452">
            <w:pPr>
              <w:adjustRightInd w:val="0"/>
              <w:snapToGrid w:val="0"/>
              <w:spacing w:line="276" w:lineRule="auto"/>
              <w:ind w:firstLine="480" w:firstLineChars="200"/>
              <w:jc w:val="center"/>
              <w:rPr>
                <w:rFonts w:ascii="Times New Roman" w:hAnsi="Times New Roman" w:eastAsia="黑体" w:cs="Times New Roman"/>
                <w:color w:val="auto"/>
                <w:kern w:val="0"/>
                <w:sz w:val="24"/>
                <w:szCs w:val="24"/>
                <w:highlight w:val="none"/>
              </w:rPr>
            </w:pPr>
          </w:p>
          <w:p w14:paraId="15E392CC">
            <w:pPr>
              <w:adjustRightInd w:val="0"/>
              <w:snapToGrid w:val="0"/>
              <w:spacing w:line="276" w:lineRule="auto"/>
              <w:ind w:firstLine="480" w:firstLineChars="200"/>
              <w:jc w:val="center"/>
              <w:rPr>
                <w:rFonts w:ascii="Times New Roman" w:hAnsi="Times New Roman" w:eastAsia="黑体" w:cs="Times New Roman"/>
                <w:color w:val="auto"/>
                <w:kern w:val="0"/>
                <w:sz w:val="24"/>
                <w:szCs w:val="24"/>
                <w:highlight w:val="none"/>
              </w:rPr>
            </w:pPr>
          </w:p>
          <w:p w14:paraId="497CA4AC">
            <w:pPr>
              <w:adjustRightInd w:val="0"/>
              <w:snapToGrid w:val="0"/>
              <w:spacing w:line="276" w:lineRule="auto"/>
              <w:ind w:firstLine="480" w:firstLineChars="200"/>
              <w:jc w:val="center"/>
              <w:rPr>
                <w:rFonts w:ascii="Times New Roman" w:hAnsi="Times New Roman" w:eastAsia="黑体" w:cs="Times New Roman"/>
                <w:color w:val="auto"/>
                <w:kern w:val="0"/>
                <w:sz w:val="24"/>
                <w:szCs w:val="24"/>
                <w:highlight w:val="none"/>
              </w:rPr>
            </w:pPr>
            <w:r>
              <w:rPr>
                <w:rFonts w:ascii="Times New Roman" w:hAnsi="Times New Roman" w:eastAsia="黑体" w:cs="Times New Roman"/>
                <w:color w:val="auto"/>
                <w:kern w:val="0"/>
                <w:sz w:val="24"/>
                <w:szCs w:val="24"/>
                <w:highlight w:val="none"/>
              </w:rPr>
              <w:t>表1-1专项评价设置原则表</w:t>
            </w:r>
          </w:p>
          <w:tbl>
            <w:tblPr>
              <w:tblStyle w:val="18"/>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802"/>
              <w:gridCol w:w="2820"/>
              <w:gridCol w:w="2920"/>
              <w:gridCol w:w="493"/>
            </w:tblGrid>
            <w:tr w14:paraId="362C2D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802" w:type="dxa"/>
                  <w:vAlign w:val="center"/>
                </w:tcPr>
                <w:p w14:paraId="55772E44">
                  <w:pPr>
                    <w:adjustRightInd w:val="0"/>
                    <w:snapToGrid w:val="0"/>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专项评价类别</w:t>
                  </w:r>
                </w:p>
              </w:tc>
              <w:tc>
                <w:tcPr>
                  <w:tcW w:w="2820" w:type="dxa"/>
                  <w:vAlign w:val="center"/>
                </w:tcPr>
                <w:p w14:paraId="505DF66B">
                  <w:pPr>
                    <w:adjustRightInd w:val="0"/>
                    <w:snapToGrid w:val="0"/>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设置原则</w:t>
                  </w:r>
                </w:p>
              </w:tc>
              <w:tc>
                <w:tcPr>
                  <w:tcW w:w="2920" w:type="dxa"/>
                  <w:vAlign w:val="center"/>
                </w:tcPr>
                <w:p w14:paraId="6215B646">
                  <w:pPr>
                    <w:adjustRightInd w:val="0"/>
                    <w:snapToGrid w:val="0"/>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本项目情况</w:t>
                  </w:r>
                </w:p>
              </w:tc>
              <w:tc>
                <w:tcPr>
                  <w:tcW w:w="493" w:type="dxa"/>
                  <w:vAlign w:val="center"/>
                </w:tcPr>
                <w:p w14:paraId="382CAB29">
                  <w:pPr>
                    <w:adjustRightInd w:val="0"/>
                    <w:snapToGrid w:val="0"/>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设置情况</w:t>
                  </w:r>
                </w:p>
              </w:tc>
            </w:tr>
            <w:tr w14:paraId="21492E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802" w:type="dxa"/>
                  <w:vAlign w:val="center"/>
                </w:tcPr>
                <w:p w14:paraId="62CFA06E">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大气</w:t>
                  </w:r>
                </w:p>
              </w:tc>
              <w:tc>
                <w:tcPr>
                  <w:tcW w:w="2820" w:type="dxa"/>
                  <w:vAlign w:val="center"/>
                </w:tcPr>
                <w:p w14:paraId="1F0CDCD9">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排放废气含有毒有害污染物</w:t>
                  </w:r>
                  <w:r>
                    <w:rPr>
                      <w:rFonts w:ascii="Times New Roman" w:hAnsi="Times New Roman" w:cs="Times New Roman"/>
                      <w:color w:val="auto"/>
                      <w:kern w:val="0"/>
                      <w:szCs w:val="21"/>
                      <w:highlight w:val="none"/>
                      <w:vertAlign w:val="superscript"/>
                    </w:rPr>
                    <w:t>1</w:t>
                  </w:r>
                  <w:r>
                    <w:rPr>
                      <w:rFonts w:ascii="Times New Roman" w:hAnsi="Times New Roman" w:cs="Times New Roman"/>
                      <w:color w:val="auto"/>
                      <w:kern w:val="0"/>
                      <w:szCs w:val="21"/>
                      <w:highlight w:val="none"/>
                    </w:rPr>
                    <w:t>、二噁英、苯并[a]芘、氰化物、氯气且厂界外500米范围内有环境空气保护目标</w:t>
                  </w:r>
                  <w:r>
                    <w:rPr>
                      <w:rFonts w:ascii="Times New Roman" w:hAnsi="Times New Roman" w:cs="Times New Roman"/>
                      <w:color w:val="auto"/>
                      <w:kern w:val="0"/>
                      <w:szCs w:val="21"/>
                      <w:highlight w:val="none"/>
                      <w:vertAlign w:val="superscript"/>
                    </w:rPr>
                    <w:t>2</w:t>
                  </w:r>
                  <w:r>
                    <w:rPr>
                      <w:rFonts w:ascii="Times New Roman" w:hAnsi="Times New Roman" w:cs="Times New Roman"/>
                      <w:color w:val="auto"/>
                      <w:kern w:val="0"/>
                      <w:szCs w:val="21"/>
                      <w:highlight w:val="none"/>
                    </w:rPr>
                    <w:t>的建设项目</w:t>
                  </w:r>
                </w:p>
              </w:tc>
              <w:tc>
                <w:tcPr>
                  <w:tcW w:w="2920" w:type="dxa"/>
                  <w:vAlign w:val="center"/>
                </w:tcPr>
                <w:p w14:paraId="4F549C11">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本项目排放废气为颗粒物、非甲烷总烃，排放废气不属于《有毒有害大气污染物名录》规定的有毒有害污染物及二噁英、苯并[a]芘、氰化物、氯气</w:t>
                  </w:r>
                </w:p>
              </w:tc>
              <w:tc>
                <w:tcPr>
                  <w:tcW w:w="493" w:type="dxa"/>
                  <w:vAlign w:val="center"/>
                </w:tcPr>
                <w:p w14:paraId="7EFD4438">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不设置</w:t>
                  </w:r>
                </w:p>
              </w:tc>
            </w:tr>
            <w:tr w14:paraId="594211B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802" w:type="dxa"/>
                  <w:vAlign w:val="center"/>
                </w:tcPr>
                <w:p w14:paraId="7D4955E9">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地表水</w:t>
                  </w:r>
                </w:p>
              </w:tc>
              <w:tc>
                <w:tcPr>
                  <w:tcW w:w="2820" w:type="dxa"/>
                  <w:vAlign w:val="center"/>
                </w:tcPr>
                <w:p w14:paraId="51C0C5C8">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新增工业废水直排建设项目（槽罐车外送污水处理厂的除外）；新增废水直排的污水集中处理厂</w:t>
                  </w:r>
                </w:p>
              </w:tc>
              <w:tc>
                <w:tcPr>
                  <w:tcW w:w="2920" w:type="dxa"/>
                  <w:vAlign w:val="center"/>
                </w:tcPr>
                <w:p w14:paraId="0F451BCE">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本项目雨水进入市政雨水管网，生活污水经化粪池后</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排入八公山</w:t>
                  </w:r>
                  <w:r>
                    <w:rPr>
                      <w:rFonts w:ascii="Times New Roman" w:hAnsi="Times New Roman"/>
                      <w:color w:val="auto"/>
                      <w:kern w:val="0"/>
                      <w:highlight w:val="none"/>
                    </w:rPr>
                    <w:t>污水处理厂处理，</w:t>
                  </w:r>
                  <w:r>
                    <w:rPr>
                      <w:rFonts w:ascii="Times New Roman" w:hAnsi="Times New Roman" w:cs="Times New Roman"/>
                      <w:color w:val="auto"/>
                      <w:kern w:val="0"/>
                      <w:szCs w:val="21"/>
                      <w:highlight w:val="none"/>
                    </w:rPr>
                    <w:t>不直排</w:t>
                  </w:r>
                </w:p>
              </w:tc>
              <w:tc>
                <w:tcPr>
                  <w:tcW w:w="493" w:type="dxa"/>
                  <w:vAlign w:val="center"/>
                </w:tcPr>
                <w:p w14:paraId="6128DE9D">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不设置</w:t>
                  </w:r>
                </w:p>
              </w:tc>
            </w:tr>
            <w:tr w14:paraId="4F4DE0E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802" w:type="dxa"/>
                  <w:vAlign w:val="center"/>
                </w:tcPr>
                <w:p w14:paraId="32CFE8CA">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环境风险</w:t>
                  </w:r>
                </w:p>
              </w:tc>
              <w:tc>
                <w:tcPr>
                  <w:tcW w:w="2820" w:type="dxa"/>
                  <w:vAlign w:val="center"/>
                </w:tcPr>
                <w:p w14:paraId="3A969542">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有毒有害和易燃易爆危险物质存储量超过临界量</w:t>
                  </w:r>
                  <w:r>
                    <w:rPr>
                      <w:rFonts w:ascii="Times New Roman" w:hAnsi="Times New Roman" w:cs="Times New Roman"/>
                      <w:color w:val="auto"/>
                      <w:kern w:val="0"/>
                      <w:szCs w:val="21"/>
                      <w:highlight w:val="none"/>
                      <w:vertAlign w:val="superscript"/>
                    </w:rPr>
                    <w:t>3</w:t>
                  </w:r>
                  <w:r>
                    <w:rPr>
                      <w:rFonts w:ascii="Times New Roman" w:hAnsi="Times New Roman" w:cs="Times New Roman"/>
                      <w:color w:val="auto"/>
                      <w:kern w:val="0"/>
                      <w:szCs w:val="21"/>
                      <w:highlight w:val="none"/>
                    </w:rPr>
                    <w:t>的建设项目</w:t>
                  </w:r>
                </w:p>
              </w:tc>
              <w:tc>
                <w:tcPr>
                  <w:tcW w:w="2920" w:type="dxa"/>
                  <w:vAlign w:val="center"/>
                </w:tcPr>
                <w:p w14:paraId="48BB53C9">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本项目</w:t>
                  </w:r>
                  <w:r>
                    <w:rPr>
                      <w:rFonts w:ascii="Times New Roman" w:hAnsi="Times New Roman" w:cs="Times New Roman"/>
                      <w:color w:val="auto"/>
                      <w:kern w:val="0"/>
                      <w:szCs w:val="21"/>
                      <w:highlight w:val="none"/>
                    </w:rPr>
                    <w:t>危险物质存储量未超过临界量</w:t>
                  </w:r>
                </w:p>
              </w:tc>
              <w:tc>
                <w:tcPr>
                  <w:tcW w:w="493" w:type="dxa"/>
                  <w:vAlign w:val="center"/>
                </w:tcPr>
                <w:p w14:paraId="5A6D4E5B">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不设置</w:t>
                  </w:r>
                </w:p>
              </w:tc>
            </w:tr>
            <w:tr w14:paraId="0AE3457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802" w:type="dxa"/>
                  <w:vAlign w:val="center"/>
                </w:tcPr>
                <w:p w14:paraId="2F35CD15">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生态</w:t>
                  </w:r>
                </w:p>
              </w:tc>
              <w:tc>
                <w:tcPr>
                  <w:tcW w:w="2820" w:type="dxa"/>
                  <w:vAlign w:val="center"/>
                </w:tcPr>
                <w:p w14:paraId="65C0CA8B">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取水口下游500米范围内有重要水生生物的自然产卵场、索饵场、越冬场和洄游通道的新增河道取水的污染类建设项目</w:t>
                  </w:r>
                </w:p>
              </w:tc>
              <w:tc>
                <w:tcPr>
                  <w:tcW w:w="2920" w:type="dxa"/>
                  <w:vAlign w:val="center"/>
                </w:tcPr>
                <w:p w14:paraId="257D0ABF">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本项目供水来自市政供水管网，不涉及取水口</w:t>
                  </w:r>
                </w:p>
              </w:tc>
              <w:tc>
                <w:tcPr>
                  <w:tcW w:w="493" w:type="dxa"/>
                  <w:vAlign w:val="center"/>
                </w:tcPr>
                <w:p w14:paraId="3D46806C">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不设置</w:t>
                  </w:r>
                </w:p>
              </w:tc>
            </w:tr>
            <w:tr w14:paraId="351D1CD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802" w:type="dxa"/>
                  <w:vAlign w:val="center"/>
                </w:tcPr>
                <w:p w14:paraId="712BBB85">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海洋</w:t>
                  </w:r>
                </w:p>
              </w:tc>
              <w:tc>
                <w:tcPr>
                  <w:tcW w:w="2820" w:type="dxa"/>
                  <w:vAlign w:val="center"/>
                </w:tcPr>
                <w:p w14:paraId="5C48EAA9">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直接向海排放污染物的海洋工程建设项目</w:t>
                  </w:r>
                </w:p>
              </w:tc>
              <w:tc>
                <w:tcPr>
                  <w:tcW w:w="2920" w:type="dxa"/>
                  <w:vAlign w:val="center"/>
                </w:tcPr>
                <w:p w14:paraId="21B134CB">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本项目不涉及向海排放污染物</w:t>
                  </w:r>
                </w:p>
              </w:tc>
              <w:tc>
                <w:tcPr>
                  <w:tcW w:w="493" w:type="dxa"/>
                  <w:vAlign w:val="center"/>
                </w:tcPr>
                <w:p w14:paraId="4BABA1C3">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不设置</w:t>
                  </w:r>
                </w:p>
              </w:tc>
            </w:tr>
          </w:tbl>
          <w:p w14:paraId="4D62EAAA">
            <w:pPr>
              <w:adjustRightInd w:val="0"/>
              <w:snapToGrid w:val="0"/>
              <w:spacing w:line="360" w:lineRule="auto"/>
              <w:jc w:val="left"/>
              <w:rPr>
                <w:rFonts w:ascii="Times New Roman" w:hAnsi="Times New Roman" w:eastAsia="黑体" w:cs="Times New Roman"/>
                <w:color w:val="auto"/>
                <w:kern w:val="0"/>
                <w:szCs w:val="21"/>
                <w:highlight w:val="none"/>
              </w:rPr>
            </w:pPr>
            <w:r>
              <w:rPr>
                <w:rFonts w:ascii="Times New Roman" w:hAnsi="Times New Roman" w:eastAsia="黑体" w:cs="Times New Roman"/>
                <w:color w:val="auto"/>
                <w:kern w:val="0"/>
                <w:szCs w:val="21"/>
                <w:highlight w:val="none"/>
              </w:rPr>
              <w:t>注</w:t>
            </w:r>
            <w:r>
              <w:rPr>
                <w:rFonts w:hint="eastAsia" w:ascii="Times New Roman" w:hAnsi="Times New Roman" w:eastAsia="黑体" w:cs="Times New Roman"/>
                <w:color w:val="auto"/>
                <w:kern w:val="0"/>
                <w:szCs w:val="21"/>
                <w:highlight w:val="none"/>
              </w:rPr>
              <w:t>：1、废气中有毒有害污染物指纳入《有毒有害大气污染物名录》的污染物（不包括无排放标准的污染物）；</w:t>
            </w:r>
          </w:p>
          <w:p w14:paraId="46C0E625">
            <w:pPr>
              <w:adjustRightInd w:val="0"/>
              <w:snapToGrid w:val="0"/>
              <w:spacing w:line="360" w:lineRule="auto"/>
              <w:ind w:firstLine="420" w:firstLineChars="200"/>
              <w:jc w:val="left"/>
              <w:rPr>
                <w:rFonts w:ascii="Times New Roman" w:hAnsi="Times New Roman" w:eastAsia="黑体" w:cs="Times New Roman"/>
                <w:color w:val="auto"/>
                <w:kern w:val="0"/>
                <w:szCs w:val="21"/>
                <w:highlight w:val="none"/>
              </w:rPr>
            </w:pPr>
            <w:r>
              <w:rPr>
                <w:rFonts w:hint="eastAsia" w:ascii="Times New Roman" w:hAnsi="Times New Roman" w:eastAsia="黑体" w:cs="Times New Roman"/>
                <w:color w:val="auto"/>
                <w:kern w:val="0"/>
                <w:szCs w:val="21"/>
                <w:highlight w:val="none"/>
              </w:rPr>
              <w:t>2、环境空气保护目标指自然保护区、风景名胜区、居住区、文化区和农村地区中人群较集中的区域；</w:t>
            </w:r>
          </w:p>
          <w:p w14:paraId="676C5067">
            <w:pPr>
              <w:adjustRightInd w:val="0"/>
              <w:snapToGrid w:val="0"/>
              <w:spacing w:line="360" w:lineRule="auto"/>
              <w:ind w:firstLine="420" w:firstLineChars="200"/>
              <w:jc w:val="left"/>
              <w:rPr>
                <w:rFonts w:ascii="Times New Roman" w:hAnsi="Times New Roman" w:eastAsia="宋体" w:cs="Times New Roman"/>
                <w:color w:val="auto"/>
                <w:kern w:val="0"/>
                <w:sz w:val="24"/>
                <w:szCs w:val="24"/>
                <w:highlight w:val="none"/>
              </w:rPr>
            </w:pPr>
            <w:r>
              <w:rPr>
                <w:rFonts w:hint="eastAsia" w:ascii="Times New Roman" w:hAnsi="Times New Roman" w:eastAsia="黑体" w:cs="Times New Roman"/>
                <w:color w:val="auto"/>
                <w:kern w:val="0"/>
                <w:szCs w:val="21"/>
                <w:highlight w:val="none"/>
              </w:rPr>
              <w:t>3、临界量及其计算方法可参考《建设项目环境风险评价技术导则》（HJ 169）附录B、附录C。</w:t>
            </w:r>
          </w:p>
        </w:tc>
      </w:tr>
      <w:tr w14:paraId="4D0B88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pct"/>
            <w:vAlign w:val="center"/>
          </w:tcPr>
          <w:p w14:paraId="25E4BFA2">
            <w:pPr>
              <w:adjustRightInd w:val="0"/>
              <w:snapToGrid w:val="0"/>
              <w:spacing w:line="276" w:lineRule="auto"/>
              <w:jc w:val="center"/>
              <w:rPr>
                <w:rFonts w:ascii="Times New Roman" w:hAnsi="Times New Roman" w:cs="Times New Roman"/>
                <w:color w:val="auto"/>
                <w:kern w:val="0"/>
                <w:sz w:val="24"/>
                <w:szCs w:val="24"/>
                <w:highlight w:val="none"/>
              </w:rPr>
            </w:pPr>
            <w:r>
              <w:rPr>
                <w:rFonts w:ascii="Times New Roman" w:hAnsi="Times New Roman" w:cs="Times New Roman"/>
                <w:bCs/>
                <w:color w:val="auto"/>
                <w:kern w:val="0"/>
                <w:sz w:val="24"/>
                <w:szCs w:val="24"/>
                <w:highlight w:val="none"/>
              </w:rPr>
              <w:t>规划情况</w:t>
            </w:r>
          </w:p>
        </w:tc>
        <w:tc>
          <w:tcPr>
            <w:tcW w:w="4207" w:type="pct"/>
            <w:gridSpan w:val="4"/>
            <w:vAlign w:val="center"/>
          </w:tcPr>
          <w:p w14:paraId="1B5D2017">
            <w:pPr>
              <w:adjustRightInd w:val="0"/>
              <w:snapToGrid w:val="0"/>
              <w:spacing w:line="360" w:lineRule="auto"/>
              <w:ind w:firstLine="480" w:firstLineChars="200"/>
              <w:jc w:val="left"/>
              <w:rPr>
                <w:rFonts w:ascii="Times New Roman" w:cs="Times New Roman" w:hAnsiTheme="minorEastAsia"/>
                <w:color w:val="auto"/>
                <w:kern w:val="0"/>
                <w:sz w:val="24"/>
                <w:highlight w:val="none"/>
              </w:rPr>
            </w:pPr>
            <w:r>
              <w:rPr>
                <w:rFonts w:ascii="Times New Roman" w:cs="Times New Roman" w:hAnsiTheme="minorEastAsia"/>
                <w:color w:val="auto"/>
                <w:kern w:val="0"/>
                <w:sz w:val="24"/>
                <w:szCs w:val="24"/>
                <w:highlight w:val="none"/>
              </w:rPr>
              <w:t>规划名称：《</w:t>
            </w:r>
            <w:r>
              <w:rPr>
                <w:rFonts w:hint="eastAsia" w:ascii="Times New Roman" w:cs="Times New Roman" w:hAnsiTheme="minorEastAsia"/>
                <w:color w:val="auto"/>
                <w:kern w:val="0"/>
                <w:sz w:val="24"/>
                <w:highlight w:val="none"/>
              </w:rPr>
              <w:t>安徽淮南工业园区总体发展规划（2013-2020年）》</w:t>
            </w:r>
          </w:p>
          <w:p w14:paraId="01255592">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ascii="Times New Roman" w:cs="Times New Roman" w:hAnsiTheme="minorEastAsia"/>
                <w:color w:val="auto"/>
                <w:kern w:val="0"/>
                <w:sz w:val="24"/>
                <w:szCs w:val="24"/>
                <w:highlight w:val="none"/>
              </w:rPr>
              <w:t>审批机关：</w:t>
            </w:r>
            <w:r>
              <w:rPr>
                <w:rFonts w:ascii="Times New Roman" w:cs="Times New Roman" w:hAnsiTheme="minorEastAsia"/>
                <w:bCs/>
                <w:color w:val="auto"/>
                <w:kern w:val="0"/>
                <w:sz w:val="24"/>
                <w:szCs w:val="24"/>
                <w:highlight w:val="none"/>
              </w:rPr>
              <w:t>淮南市</w:t>
            </w:r>
            <w:r>
              <w:rPr>
                <w:rFonts w:hint="eastAsia" w:ascii="Times New Roman" w:cs="Times New Roman" w:hAnsiTheme="minorEastAsia"/>
                <w:bCs/>
                <w:color w:val="auto"/>
                <w:kern w:val="0"/>
                <w:sz w:val="24"/>
                <w:szCs w:val="24"/>
                <w:highlight w:val="none"/>
              </w:rPr>
              <w:t>人民政府</w:t>
            </w:r>
          </w:p>
          <w:p w14:paraId="03F59CC6">
            <w:pPr>
              <w:wordWrap w:val="0"/>
              <w:adjustRightInd w:val="0"/>
              <w:snapToGrid w:val="0"/>
              <w:spacing w:line="360" w:lineRule="auto"/>
              <w:ind w:firstLine="480" w:firstLineChars="200"/>
              <w:jc w:val="left"/>
              <w:rPr>
                <w:rFonts w:ascii="Times New Roman" w:hAnsi="Times New Roman" w:eastAsia="宋体" w:cs="Times New Roman"/>
                <w:color w:val="auto"/>
                <w:kern w:val="0"/>
                <w:sz w:val="24"/>
                <w:szCs w:val="24"/>
                <w:highlight w:val="none"/>
              </w:rPr>
            </w:pPr>
            <w:r>
              <w:rPr>
                <w:rFonts w:hint="eastAsia" w:ascii="Times New Roman" w:cs="Times New Roman" w:hAnsiTheme="minorEastAsia"/>
                <w:color w:val="auto"/>
                <w:kern w:val="0"/>
                <w:sz w:val="24"/>
                <w:szCs w:val="24"/>
                <w:highlight w:val="none"/>
              </w:rPr>
              <w:t>审批文件名称：/</w:t>
            </w:r>
          </w:p>
        </w:tc>
      </w:tr>
      <w:tr w14:paraId="661576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pct"/>
            <w:vAlign w:val="center"/>
          </w:tcPr>
          <w:p w14:paraId="7DDAEC9F">
            <w:pPr>
              <w:adjustRightInd w:val="0"/>
              <w:snapToGrid w:val="0"/>
              <w:spacing w:line="276" w:lineRule="auto"/>
              <w:jc w:val="center"/>
              <w:rPr>
                <w:rFonts w:ascii="Times New Roman" w:hAnsi="Times New Roman" w:cs="Times New Roman"/>
                <w:color w:val="auto"/>
                <w:kern w:val="0"/>
                <w:sz w:val="24"/>
                <w:szCs w:val="24"/>
                <w:highlight w:val="none"/>
              </w:rPr>
            </w:pPr>
            <w:r>
              <w:rPr>
                <w:rFonts w:ascii="Times New Roman" w:hAnsi="Times New Roman" w:cs="Times New Roman"/>
                <w:bCs/>
                <w:color w:val="auto"/>
                <w:kern w:val="0"/>
                <w:sz w:val="24"/>
                <w:szCs w:val="24"/>
                <w:highlight w:val="none"/>
              </w:rPr>
              <w:t>规划环境影响评价情况</w:t>
            </w:r>
          </w:p>
        </w:tc>
        <w:tc>
          <w:tcPr>
            <w:tcW w:w="4207" w:type="pct"/>
            <w:gridSpan w:val="4"/>
            <w:vAlign w:val="center"/>
          </w:tcPr>
          <w:p w14:paraId="5526F1E0">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hint="eastAsia" w:ascii="Times New Roman" w:cs="Times New Roman" w:hAnsiTheme="minorEastAsia"/>
                <w:color w:val="auto"/>
                <w:kern w:val="0"/>
                <w:sz w:val="24"/>
                <w:szCs w:val="24"/>
                <w:highlight w:val="none"/>
              </w:rPr>
              <w:t>1、规划环境影响评价文件名称：《安徽淮南工业园区总体发展规划（2013-2020年）环境影响报告书》</w:t>
            </w:r>
          </w:p>
          <w:p w14:paraId="3CC91E5F">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hint="eastAsia" w:ascii="Times New Roman" w:cs="Times New Roman" w:hAnsiTheme="minorEastAsia"/>
                <w:color w:val="auto"/>
                <w:kern w:val="0"/>
                <w:sz w:val="24"/>
                <w:szCs w:val="24"/>
                <w:highlight w:val="none"/>
              </w:rPr>
              <w:t>审查机关：原安徽省环境保护厅</w:t>
            </w:r>
          </w:p>
          <w:p w14:paraId="2EC209ED">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hint="eastAsia" w:ascii="Times New Roman" w:cs="Times New Roman" w:hAnsiTheme="minorEastAsia"/>
                <w:color w:val="auto"/>
                <w:kern w:val="0"/>
                <w:sz w:val="24"/>
                <w:szCs w:val="24"/>
                <w:highlight w:val="none"/>
              </w:rPr>
              <w:t>审查文件及文号：《</w:t>
            </w:r>
            <w:r>
              <w:rPr>
                <w:rFonts w:ascii="Times New Roman" w:cs="Times New Roman" w:hAnsiTheme="minorEastAsia"/>
                <w:color w:val="auto"/>
                <w:kern w:val="0"/>
                <w:sz w:val="24"/>
                <w:szCs w:val="24"/>
                <w:highlight w:val="none"/>
              </w:rPr>
              <w:t>安徽省环保厅关于安徽淮南工业园区总体发展规划环境影响报告书意见的函</w:t>
            </w:r>
            <w:r>
              <w:rPr>
                <w:rFonts w:hint="eastAsia" w:ascii="Times New Roman" w:cs="Times New Roman" w:hAnsiTheme="minorEastAsia"/>
                <w:color w:val="auto"/>
                <w:kern w:val="0"/>
                <w:sz w:val="24"/>
                <w:szCs w:val="24"/>
                <w:highlight w:val="none"/>
              </w:rPr>
              <w:t>》（皖环函〔</w:t>
            </w:r>
            <w:r>
              <w:rPr>
                <w:rFonts w:ascii="Times New Roman" w:cs="Times New Roman" w:hAnsiTheme="minorEastAsia"/>
                <w:color w:val="auto"/>
                <w:kern w:val="0"/>
                <w:sz w:val="24"/>
                <w:szCs w:val="24"/>
                <w:highlight w:val="none"/>
              </w:rPr>
              <w:t>2014〕618</w:t>
            </w:r>
            <w:r>
              <w:rPr>
                <w:rFonts w:hint="eastAsia" w:ascii="Times New Roman" w:cs="Times New Roman" w:hAnsiTheme="minorEastAsia"/>
                <w:color w:val="auto"/>
                <w:kern w:val="0"/>
                <w:sz w:val="24"/>
                <w:szCs w:val="24"/>
                <w:highlight w:val="none"/>
              </w:rPr>
              <w:t>号）</w:t>
            </w:r>
          </w:p>
          <w:p w14:paraId="7913235A">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hint="eastAsia" w:ascii="Times New Roman" w:cs="Times New Roman" w:hAnsiTheme="minorEastAsia"/>
                <w:color w:val="auto"/>
                <w:kern w:val="0"/>
                <w:sz w:val="24"/>
                <w:szCs w:val="24"/>
                <w:highlight w:val="none"/>
              </w:rPr>
              <w:t>2、规划环评跟踪评价名称：</w:t>
            </w:r>
            <w:r>
              <w:rPr>
                <w:rFonts w:ascii="Times New Roman" w:cs="Times New Roman" w:hAnsiTheme="minorEastAsia"/>
                <w:color w:val="auto"/>
                <w:kern w:val="0"/>
                <w:sz w:val="24"/>
                <w:szCs w:val="24"/>
                <w:highlight w:val="none"/>
              </w:rPr>
              <w:t>《安徽淮南高新技术产业开发区（淮南市山南新区）智造园区总体发展规划环境影响跟踪评价报告书》</w:t>
            </w:r>
          </w:p>
          <w:p w14:paraId="7261FF3F">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hint="eastAsia" w:ascii="Times New Roman" w:cs="Times New Roman" w:hAnsiTheme="minorEastAsia"/>
                <w:color w:val="auto"/>
                <w:kern w:val="0"/>
                <w:sz w:val="24"/>
                <w:szCs w:val="24"/>
                <w:highlight w:val="none"/>
              </w:rPr>
              <w:t>审查单位：淮南市生态环境局</w:t>
            </w:r>
          </w:p>
          <w:p w14:paraId="3D6892BE">
            <w:pPr>
              <w:adjustRightInd w:val="0"/>
              <w:snapToGrid w:val="0"/>
              <w:spacing w:line="360" w:lineRule="auto"/>
              <w:ind w:firstLine="480" w:firstLineChars="200"/>
              <w:jc w:val="left"/>
              <w:rPr>
                <w:rFonts w:ascii="Times New Roman" w:hAnsi="Times New Roman" w:cs="Times New Roman"/>
                <w:color w:val="auto"/>
                <w:kern w:val="0"/>
                <w:sz w:val="24"/>
                <w:szCs w:val="24"/>
                <w:highlight w:val="none"/>
              </w:rPr>
            </w:pPr>
            <w:r>
              <w:rPr>
                <w:rFonts w:hint="eastAsia" w:ascii="Times New Roman" w:cs="Times New Roman" w:hAnsiTheme="minorEastAsia"/>
                <w:color w:val="auto"/>
                <w:kern w:val="0"/>
                <w:sz w:val="24"/>
                <w:szCs w:val="24"/>
                <w:highlight w:val="none"/>
              </w:rPr>
              <w:t>审查文件：</w:t>
            </w:r>
            <w:r>
              <w:rPr>
                <w:rFonts w:ascii="Times New Roman" w:cs="Times New Roman" w:hAnsiTheme="minorEastAsia"/>
                <w:color w:val="auto"/>
                <w:kern w:val="0"/>
                <w:sz w:val="24"/>
                <w:szCs w:val="24"/>
                <w:highlight w:val="none"/>
              </w:rPr>
              <w:t>关于《安徽淮南高新技术产业开发区（淮南市山南新区）智造园总体发展规划环境影响跟踪评价报告书审查意见》的函（2022年1月25日）</w:t>
            </w:r>
          </w:p>
        </w:tc>
      </w:tr>
      <w:tr w14:paraId="41BDF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pct"/>
            <w:vAlign w:val="center"/>
          </w:tcPr>
          <w:p w14:paraId="610CA6DD">
            <w:pPr>
              <w:adjustRightInd w:val="0"/>
              <w:snapToGrid w:val="0"/>
              <w:spacing w:line="276" w:lineRule="auto"/>
              <w:jc w:val="center"/>
              <w:rPr>
                <w:rFonts w:ascii="Times New Roman" w:hAnsi="Times New Roman" w:cs="Times New Roman"/>
                <w:color w:val="auto"/>
                <w:kern w:val="0"/>
                <w:sz w:val="24"/>
                <w:szCs w:val="24"/>
                <w:highlight w:val="none"/>
              </w:rPr>
            </w:pPr>
            <w:r>
              <w:rPr>
                <w:rFonts w:ascii="Times New Roman" w:hAnsi="Times New Roman" w:cs="Times New Roman"/>
                <w:bCs/>
                <w:color w:val="auto"/>
                <w:kern w:val="0"/>
                <w:sz w:val="24"/>
                <w:szCs w:val="24"/>
                <w:highlight w:val="none"/>
              </w:rPr>
              <w:t>规划及规划环境影响评价符合性分析</w:t>
            </w:r>
          </w:p>
        </w:tc>
        <w:tc>
          <w:tcPr>
            <w:tcW w:w="4207" w:type="pct"/>
            <w:gridSpan w:val="4"/>
            <w:vAlign w:val="center"/>
          </w:tcPr>
          <w:p w14:paraId="73489DFF">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ascii="Times New Roman" w:cs="Times New Roman" w:hAnsiTheme="minorEastAsia"/>
                <w:color w:val="auto"/>
                <w:kern w:val="0"/>
                <w:sz w:val="24"/>
                <w:szCs w:val="24"/>
                <w:highlight w:val="none"/>
              </w:rPr>
              <w:t>1、规划符合性分析</w:t>
            </w:r>
          </w:p>
          <w:p w14:paraId="47D64A64">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ascii="Times New Roman" w:cs="Times New Roman" w:hAnsiTheme="minorEastAsia"/>
                <w:color w:val="auto"/>
                <w:kern w:val="0"/>
                <w:sz w:val="24"/>
                <w:szCs w:val="24"/>
                <w:highlight w:val="none"/>
              </w:rPr>
              <w:t>与《安徽淮南工业园区总体发展规划（2013-2020年）》符合性分析</w:t>
            </w:r>
          </w:p>
          <w:p w14:paraId="239A2250">
            <w:pPr>
              <w:adjustRightInd w:val="0"/>
              <w:snapToGrid w:val="0"/>
              <w:spacing w:line="360" w:lineRule="auto"/>
              <w:ind w:firstLine="480" w:firstLineChars="200"/>
              <w:jc w:val="both"/>
              <w:rPr>
                <w:rFonts w:ascii="Times New Roman" w:cs="Times New Roman" w:hAnsiTheme="minorEastAsia"/>
                <w:color w:val="auto"/>
                <w:kern w:val="0"/>
                <w:sz w:val="24"/>
                <w:szCs w:val="24"/>
                <w:highlight w:val="none"/>
              </w:rPr>
            </w:pPr>
            <w:r>
              <w:rPr>
                <w:rFonts w:hint="eastAsia" w:ascii="宋体" w:hAnsi="宋体" w:eastAsia="宋体" w:cs="宋体"/>
                <w:i w:val="0"/>
                <w:iCs w:val="0"/>
                <w:caps w:val="0"/>
                <w:color w:val="auto"/>
                <w:spacing w:val="0"/>
                <w:sz w:val="24"/>
                <w:szCs w:val="24"/>
                <w:highlight w:val="none"/>
                <w:shd w:val="clear" w:fill="FFFFFF"/>
              </w:rPr>
              <w:t>淮南高新区智造园区前身系安徽淮南园区，</w:t>
            </w:r>
            <w:r>
              <w:rPr>
                <w:rFonts w:hint="default" w:ascii="Times New Roman" w:hAnsi="Times New Roman" w:eastAsia="宋体" w:cs="Times New Roman"/>
                <w:i w:val="0"/>
                <w:iCs w:val="0"/>
                <w:caps w:val="0"/>
                <w:color w:val="auto"/>
                <w:spacing w:val="0"/>
                <w:sz w:val="24"/>
                <w:szCs w:val="24"/>
                <w:highlight w:val="none"/>
                <w:shd w:val="clear" w:fill="FFFFFF"/>
              </w:rPr>
              <w:t>2002</w:t>
            </w:r>
            <w:r>
              <w:rPr>
                <w:rFonts w:hint="eastAsia" w:ascii="宋体" w:hAnsi="宋体" w:eastAsia="宋体" w:cs="宋体"/>
                <w:i w:val="0"/>
                <w:iCs w:val="0"/>
                <w:caps w:val="0"/>
                <w:color w:val="auto"/>
                <w:spacing w:val="0"/>
                <w:sz w:val="24"/>
                <w:szCs w:val="24"/>
                <w:highlight w:val="none"/>
                <w:shd w:val="clear" w:fill="FFFFFF"/>
              </w:rPr>
              <w:t>年正式筹建</w:t>
            </w:r>
            <w:r>
              <w:rPr>
                <w:rFonts w:hint="eastAsia" w:ascii="Times New Roman" w:cs="Times New Roman" w:hAnsiTheme="minorEastAsia"/>
                <w:color w:val="auto"/>
                <w:kern w:val="0"/>
                <w:sz w:val="24"/>
                <w:szCs w:val="24"/>
                <w:highlight w:val="none"/>
                <w:lang w:val="en-US" w:eastAsia="zh-CN"/>
              </w:rPr>
              <w:t>，</w:t>
            </w:r>
            <w:r>
              <w:rPr>
                <w:rFonts w:hint="default" w:ascii="Times New Roman" w:hAnsi="Times New Roman" w:eastAsia="宋体" w:cs="Times New Roman"/>
                <w:i w:val="0"/>
                <w:iCs w:val="0"/>
                <w:caps w:val="0"/>
                <w:color w:val="auto"/>
                <w:spacing w:val="0"/>
                <w:sz w:val="24"/>
                <w:szCs w:val="24"/>
                <w:highlight w:val="none"/>
                <w:shd w:val="clear" w:fill="FFFFFF"/>
              </w:rPr>
              <w:t>2006</w:t>
            </w:r>
            <w:r>
              <w:rPr>
                <w:rFonts w:hint="eastAsia" w:ascii="宋体" w:hAnsi="宋体" w:eastAsia="宋体" w:cs="宋体"/>
                <w:i w:val="0"/>
                <w:iCs w:val="0"/>
                <w:caps w:val="0"/>
                <w:color w:val="auto"/>
                <w:spacing w:val="0"/>
                <w:sz w:val="24"/>
                <w:szCs w:val="24"/>
                <w:highlight w:val="none"/>
                <w:shd w:val="clear" w:fill="FFFFFF"/>
              </w:rPr>
              <w:t>年</w:t>
            </w:r>
            <w:r>
              <w:rPr>
                <w:rFonts w:hint="default" w:ascii="Times New Roman" w:hAnsi="Times New Roman" w:eastAsia="宋体" w:cs="Times New Roman"/>
                <w:i w:val="0"/>
                <w:iCs w:val="0"/>
                <w:caps w:val="0"/>
                <w:color w:val="auto"/>
                <w:spacing w:val="0"/>
                <w:sz w:val="24"/>
                <w:szCs w:val="24"/>
                <w:highlight w:val="none"/>
                <w:shd w:val="clear" w:fill="FFFFFF"/>
              </w:rPr>
              <w:t>2</w:t>
            </w:r>
            <w:r>
              <w:rPr>
                <w:rFonts w:hint="eastAsia" w:ascii="宋体" w:hAnsi="宋体" w:eastAsia="宋体" w:cs="宋体"/>
                <w:i w:val="0"/>
                <w:iCs w:val="0"/>
                <w:caps w:val="0"/>
                <w:color w:val="auto"/>
                <w:spacing w:val="0"/>
                <w:sz w:val="24"/>
                <w:szCs w:val="24"/>
                <w:highlight w:val="none"/>
                <w:shd w:val="clear" w:fill="FFFFFF"/>
              </w:rPr>
              <w:t>月</w:t>
            </w:r>
            <w:r>
              <w:rPr>
                <w:rFonts w:hint="default" w:ascii="Times New Roman" w:hAnsi="Times New Roman" w:eastAsia="宋体" w:cs="Times New Roman"/>
                <w:i w:val="0"/>
                <w:iCs w:val="0"/>
                <w:caps w:val="0"/>
                <w:color w:val="auto"/>
                <w:spacing w:val="0"/>
                <w:sz w:val="24"/>
                <w:szCs w:val="24"/>
                <w:highlight w:val="none"/>
                <w:shd w:val="clear" w:fill="FFFFFF"/>
              </w:rPr>
              <w:t>23</w:t>
            </w:r>
            <w:r>
              <w:rPr>
                <w:rFonts w:hint="eastAsia" w:ascii="宋体" w:hAnsi="宋体" w:eastAsia="宋体" w:cs="宋体"/>
                <w:i w:val="0"/>
                <w:iCs w:val="0"/>
                <w:caps w:val="0"/>
                <w:color w:val="auto"/>
                <w:spacing w:val="0"/>
                <w:sz w:val="24"/>
                <w:szCs w:val="24"/>
                <w:highlight w:val="none"/>
                <w:shd w:val="clear" w:fill="FFFFFF"/>
              </w:rPr>
              <w:t>日，安徽省人民政府以《安徽省人民政府关于设立合肥庐阳园区区等省级开发区的批复》（皖政秘</w:t>
            </w:r>
            <w:r>
              <w:rPr>
                <w:rFonts w:hint="default" w:ascii="Times New Roman" w:hAnsi="Times New Roman" w:eastAsia="宋体" w:cs="Times New Roman"/>
                <w:i w:val="0"/>
                <w:iCs w:val="0"/>
                <w:caps w:val="0"/>
                <w:color w:val="auto"/>
                <w:spacing w:val="0"/>
                <w:sz w:val="24"/>
                <w:szCs w:val="24"/>
                <w:highlight w:val="none"/>
                <w:shd w:val="clear" w:fill="FFFFFF"/>
              </w:rPr>
              <w:t>[2006]22</w:t>
            </w:r>
            <w:r>
              <w:rPr>
                <w:rFonts w:hint="eastAsia" w:ascii="宋体" w:hAnsi="宋体" w:eastAsia="宋体" w:cs="宋体"/>
                <w:i w:val="0"/>
                <w:iCs w:val="0"/>
                <w:caps w:val="0"/>
                <w:color w:val="auto"/>
                <w:spacing w:val="0"/>
                <w:sz w:val="24"/>
                <w:szCs w:val="24"/>
                <w:highlight w:val="none"/>
                <w:shd w:val="clear" w:fill="FFFFFF"/>
              </w:rPr>
              <w:t>号）文件，批准设立安徽淮南园区</w:t>
            </w:r>
            <w:r>
              <w:rPr>
                <w:rFonts w:hint="eastAsia" w:ascii="宋体" w:hAnsi="宋体" w:eastAsia="宋体" w:cs="宋体"/>
                <w:i w:val="0"/>
                <w:iCs w:val="0"/>
                <w:caps w:val="0"/>
                <w:color w:val="auto"/>
                <w:spacing w:val="0"/>
                <w:sz w:val="24"/>
                <w:szCs w:val="24"/>
                <w:highlight w:val="none"/>
                <w:shd w:val="clear" w:fill="FFFFFF"/>
                <w:lang w:eastAsia="zh-CN"/>
              </w:rPr>
              <w:t>，</w:t>
            </w:r>
            <w:r>
              <w:rPr>
                <w:rFonts w:hint="eastAsia" w:ascii="宋体" w:hAnsi="宋体" w:eastAsia="宋体" w:cs="宋体"/>
                <w:i w:val="0"/>
                <w:iCs w:val="0"/>
                <w:caps w:val="0"/>
                <w:color w:val="auto"/>
                <w:spacing w:val="0"/>
                <w:sz w:val="24"/>
                <w:szCs w:val="24"/>
                <w:highlight w:val="none"/>
                <w:shd w:val="clear" w:fill="FFFFFF"/>
              </w:rPr>
              <w:t>批复面积为</w:t>
            </w:r>
            <w:r>
              <w:rPr>
                <w:rFonts w:hint="default" w:ascii="Times New Roman" w:hAnsi="Times New Roman" w:eastAsia="宋体" w:cs="Times New Roman"/>
                <w:i w:val="0"/>
                <w:iCs w:val="0"/>
                <w:caps w:val="0"/>
                <w:color w:val="auto"/>
                <w:spacing w:val="0"/>
                <w:sz w:val="24"/>
                <w:szCs w:val="24"/>
                <w:highlight w:val="none"/>
                <w:shd w:val="clear" w:fill="FFFFFF"/>
              </w:rPr>
              <w:t>1</w:t>
            </w:r>
            <w:r>
              <w:rPr>
                <w:rFonts w:hint="eastAsia" w:ascii="宋体" w:hAnsi="宋体" w:eastAsia="宋体" w:cs="宋体"/>
                <w:i w:val="0"/>
                <w:iCs w:val="0"/>
                <w:caps w:val="0"/>
                <w:color w:val="auto"/>
                <w:spacing w:val="0"/>
                <w:sz w:val="24"/>
                <w:szCs w:val="24"/>
                <w:highlight w:val="none"/>
                <w:shd w:val="clear" w:fill="FFFFFF"/>
              </w:rPr>
              <w:t>平方公里。</w:t>
            </w:r>
            <w:r>
              <w:rPr>
                <w:rFonts w:hint="default" w:ascii="Times New Roman" w:hAnsi="Times New Roman" w:eastAsia="宋体" w:cs="Times New Roman"/>
                <w:i w:val="0"/>
                <w:iCs w:val="0"/>
                <w:caps w:val="0"/>
                <w:color w:val="auto"/>
                <w:spacing w:val="0"/>
                <w:sz w:val="24"/>
                <w:szCs w:val="24"/>
                <w:highlight w:val="none"/>
                <w:shd w:val="clear" w:fill="FFFFFF"/>
              </w:rPr>
              <w:t>2013</w:t>
            </w:r>
            <w:r>
              <w:rPr>
                <w:rFonts w:hint="eastAsia" w:ascii="宋体" w:hAnsi="宋体" w:eastAsia="宋体" w:cs="宋体"/>
                <w:i w:val="0"/>
                <w:iCs w:val="0"/>
                <w:caps w:val="0"/>
                <w:color w:val="auto"/>
                <w:spacing w:val="0"/>
                <w:sz w:val="24"/>
                <w:szCs w:val="24"/>
                <w:highlight w:val="none"/>
                <w:shd w:val="clear" w:fill="FFFFFF"/>
              </w:rPr>
              <w:t>年安徽淮南园区区申请扩大园区面积，并于</w:t>
            </w:r>
            <w:r>
              <w:rPr>
                <w:rFonts w:hint="default" w:ascii="Times New Roman" w:hAnsi="Times New Roman" w:eastAsia="宋体" w:cs="Times New Roman"/>
                <w:i w:val="0"/>
                <w:iCs w:val="0"/>
                <w:caps w:val="0"/>
                <w:color w:val="auto"/>
                <w:spacing w:val="0"/>
                <w:sz w:val="24"/>
                <w:szCs w:val="24"/>
                <w:highlight w:val="none"/>
                <w:shd w:val="clear" w:fill="FFFFFF"/>
              </w:rPr>
              <w:t>2013</w:t>
            </w:r>
            <w:r>
              <w:rPr>
                <w:rFonts w:hint="eastAsia" w:ascii="宋体" w:hAnsi="宋体" w:eastAsia="宋体" w:cs="宋体"/>
                <w:i w:val="0"/>
                <w:iCs w:val="0"/>
                <w:caps w:val="0"/>
                <w:color w:val="auto"/>
                <w:spacing w:val="0"/>
                <w:sz w:val="24"/>
                <w:szCs w:val="24"/>
                <w:highlight w:val="none"/>
                <w:shd w:val="clear" w:fill="FFFFFF"/>
              </w:rPr>
              <w:t>年</w:t>
            </w:r>
            <w:r>
              <w:rPr>
                <w:rFonts w:hint="default" w:ascii="Times New Roman" w:hAnsi="Times New Roman" w:eastAsia="宋体" w:cs="Times New Roman"/>
                <w:i w:val="0"/>
                <w:iCs w:val="0"/>
                <w:caps w:val="0"/>
                <w:color w:val="auto"/>
                <w:spacing w:val="0"/>
                <w:sz w:val="24"/>
                <w:szCs w:val="24"/>
                <w:highlight w:val="none"/>
                <w:shd w:val="clear" w:fill="FFFFFF"/>
              </w:rPr>
              <w:t>7</w:t>
            </w:r>
            <w:r>
              <w:rPr>
                <w:rFonts w:hint="eastAsia" w:ascii="宋体" w:hAnsi="宋体" w:eastAsia="宋体" w:cs="宋体"/>
                <w:i w:val="0"/>
                <w:iCs w:val="0"/>
                <w:caps w:val="0"/>
                <w:color w:val="auto"/>
                <w:spacing w:val="0"/>
                <w:sz w:val="24"/>
                <w:szCs w:val="24"/>
                <w:highlight w:val="none"/>
                <w:shd w:val="clear" w:fill="FFFFFF"/>
              </w:rPr>
              <w:t>月</w:t>
            </w:r>
            <w:r>
              <w:rPr>
                <w:rFonts w:hint="default" w:ascii="Times New Roman" w:hAnsi="Times New Roman" w:eastAsia="宋体" w:cs="Times New Roman"/>
                <w:i w:val="0"/>
                <w:iCs w:val="0"/>
                <w:caps w:val="0"/>
                <w:color w:val="auto"/>
                <w:spacing w:val="0"/>
                <w:sz w:val="24"/>
                <w:szCs w:val="24"/>
                <w:highlight w:val="none"/>
                <w:shd w:val="clear" w:fill="FFFFFF"/>
              </w:rPr>
              <w:t>17</w:t>
            </w:r>
            <w:r>
              <w:rPr>
                <w:rFonts w:hint="eastAsia" w:ascii="宋体" w:hAnsi="宋体" w:eastAsia="宋体" w:cs="宋体"/>
                <w:i w:val="0"/>
                <w:iCs w:val="0"/>
                <w:caps w:val="0"/>
                <w:color w:val="auto"/>
                <w:spacing w:val="0"/>
                <w:sz w:val="24"/>
                <w:szCs w:val="24"/>
                <w:highlight w:val="none"/>
                <w:shd w:val="clear" w:fill="FFFFFF"/>
              </w:rPr>
              <w:t>日获得安徽省发展和改革委员会《关于安徽淮南园区区扩区规划面积初步意见的函》，认定安徽淮南园区区扩区后规划面积为</w:t>
            </w:r>
            <w:r>
              <w:rPr>
                <w:rFonts w:hint="default" w:ascii="Times New Roman" w:hAnsi="Times New Roman" w:eastAsia="宋体" w:cs="Times New Roman"/>
                <w:i w:val="0"/>
                <w:iCs w:val="0"/>
                <w:caps w:val="0"/>
                <w:color w:val="auto"/>
                <w:spacing w:val="0"/>
                <w:sz w:val="24"/>
                <w:szCs w:val="24"/>
                <w:highlight w:val="none"/>
                <w:shd w:val="clear" w:fill="FFFFFF"/>
              </w:rPr>
              <w:t>3.15</w:t>
            </w:r>
            <w:r>
              <w:rPr>
                <w:rFonts w:hint="eastAsia" w:ascii="宋体" w:hAnsi="宋体" w:eastAsia="宋体" w:cs="宋体"/>
                <w:i w:val="0"/>
                <w:iCs w:val="0"/>
                <w:caps w:val="0"/>
                <w:color w:val="auto"/>
                <w:spacing w:val="0"/>
                <w:sz w:val="24"/>
                <w:szCs w:val="24"/>
                <w:highlight w:val="none"/>
                <w:shd w:val="clear" w:fill="FFFFFF"/>
              </w:rPr>
              <w:t>平方公里。</w:t>
            </w:r>
            <w:r>
              <w:rPr>
                <w:rFonts w:hint="default" w:ascii="Times New Roman" w:hAnsi="Times New Roman" w:eastAsia="宋体" w:cs="Times New Roman"/>
                <w:i w:val="0"/>
                <w:iCs w:val="0"/>
                <w:caps w:val="0"/>
                <w:color w:val="auto"/>
                <w:spacing w:val="0"/>
                <w:sz w:val="24"/>
                <w:szCs w:val="24"/>
                <w:highlight w:val="none"/>
                <w:shd w:val="clear" w:fill="FFFFFF"/>
              </w:rPr>
              <w:t>2014</w:t>
            </w:r>
            <w:r>
              <w:rPr>
                <w:rFonts w:hint="eastAsia" w:ascii="宋体" w:hAnsi="宋体" w:eastAsia="宋体" w:cs="宋体"/>
                <w:i w:val="0"/>
                <w:iCs w:val="0"/>
                <w:caps w:val="0"/>
                <w:color w:val="auto"/>
                <w:spacing w:val="0"/>
                <w:sz w:val="24"/>
                <w:szCs w:val="24"/>
                <w:highlight w:val="none"/>
                <w:shd w:val="clear" w:fill="FFFFFF"/>
              </w:rPr>
              <w:t>年</w:t>
            </w:r>
            <w:r>
              <w:rPr>
                <w:rFonts w:hint="default" w:ascii="Times New Roman" w:hAnsi="Times New Roman" w:eastAsia="宋体" w:cs="Times New Roman"/>
                <w:i w:val="0"/>
                <w:iCs w:val="0"/>
                <w:caps w:val="0"/>
                <w:color w:val="auto"/>
                <w:spacing w:val="0"/>
                <w:sz w:val="24"/>
                <w:szCs w:val="24"/>
                <w:highlight w:val="none"/>
                <w:shd w:val="clear" w:fill="FFFFFF"/>
              </w:rPr>
              <w:t>9</w:t>
            </w:r>
            <w:r>
              <w:rPr>
                <w:rFonts w:hint="eastAsia" w:ascii="宋体" w:hAnsi="宋体" w:eastAsia="宋体" w:cs="宋体"/>
                <w:i w:val="0"/>
                <w:iCs w:val="0"/>
                <w:caps w:val="0"/>
                <w:color w:val="auto"/>
                <w:spacing w:val="0"/>
                <w:sz w:val="24"/>
                <w:szCs w:val="24"/>
                <w:highlight w:val="none"/>
                <w:shd w:val="clear" w:fill="FFFFFF"/>
              </w:rPr>
              <w:t>月，省政府将安徽淮南园区区和安徽淮南高新技术产业开发区（筹）整合为安徽淮南高新技术产业开发区。</w:t>
            </w:r>
            <w:r>
              <w:rPr>
                <w:rFonts w:ascii="Times New Roman" w:cs="Times New Roman" w:hAnsiTheme="minorEastAsia"/>
                <w:color w:val="auto"/>
                <w:kern w:val="0"/>
                <w:sz w:val="24"/>
                <w:szCs w:val="24"/>
                <w:highlight w:val="none"/>
              </w:rPr>
              <w:t>2015年9月，市政府按照打造“园中园”的总体思路，将原淮南工业园区正式更名为“淮南高新区智造园区”。2018年2月28日，国务院正式批准淮南高新区升级国家级高新区，其中智造园区为第二区块。主导产业为机械制造、高新技术、新型材料三大产业。园区内道路交通设施较好，园区规划范围北起谢八路（东西部二通道）、南至102省道，东起新庄南路，西至新河泄洪沟，原批准规划面积为1.00平方公里，规划扩区面积为2.15平方公里，总的规划用地面积约为3.15平方公里。</w:t>
            </w:r>
          </w:p>
          <w:p w14:paraId="5D77E857">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ascii="Times New Roman" w:cs="Times New Roman" w:hAnsiTheme="minorEastAsia"/>
                <w:color w:val="auto"/>
                <w:kern w:val="0"/>
                <w:sz w:val="24"/>
                <w:szCs w:val="24"/>
                <w:highlight w:val="none"/>
              </w:rPr>
              <w:t>本项目产品为汽车零部件，属于C3670汽车零部件及配件制造，对照淮南高新区智造园区（原安徽淮南工业园区）总体发展规划用地布局规划图，项目用地性质为工业用地，符合总体规划要求。</w:t>
            </w:r>
          </w:p>
          <w:p w14:paraId="6A69340F">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ascii="Times New Roman" w:cs="Times New Roman" w:hAnsiTheme="minorEastAsia"/>
                <w:color w:val="auto"/>
                <w:kern w:val="0"/>
                <w:sz w:val="24"/>
                <w:szCs w:val="24"/>
                <w:highlight w:val="none"/>
              </w:rPr>
              <w:t>2、规划环境影响评价符合性分析</w:t>
            </w:r>
          </w:p>
          <w:p w14:paraId="6D6F7AEB">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ascii="Times New Roman" w:cs="Times New Roman" w:hAnsiTheme="minorEastAsia"/>
                <w:color w:val="auto"/>
                <w:kern w:val="0"/>
                <w:sz w:val="24"/>
                <w:szCs w:val="24"/>
                <w:highlight w:val="none"/>
              </w:rPr>
              <w:t>与《</w:t>
            </w:r>
            <w:r>
              <w:rPr>
                <w:rFonts w:hint="eastAsia" w:ascii="Times New Roman" w:cs="Times New Roman" w:hAnsiTheme="minorEastAsia"/>
                <w:color w:val="auto"/>
                <w:kern w:val="0"/>
                <w:sz w:val="24"/>
                <w:szCs w:val="24"/>
                <w:highlight w:val="none"/>
              </w:rPr>
              <w:t>安徽淮南工业园区总体发展规划（2013-2020年）环境影响报告书</w:t>
            </w:r>
            <w:r>
              <w:rPr>
                <w:rFonts w:ascii="Times New Roman" w:cs="Times New Roman" w:hAnsiTheme="minorEastAsia"/>
                <w:color w:val="auto"/>
                <w:kern w:val="0"/>
                <w:sz w:val="24"/>
                <w:szCs w:val="24"/>
                <w:highlight w:val="none"/>
              </w:rPr>
              <w:t>》及其审查意见符合性分析</w:t>
            </w:r>
          </w:p>
          <w:p w14:paraId="6F15D086">
            <w:pPr>
              <w:adjustRightInd w:val="0"/>
              <w:snapToGrid w:val="0"/>
              <w:spacing w:line="276" w:lineRule="auto"/>
              <w:jc w:val="center"/>
              <w:rPr>
                <w:rFonts w:ascii="Times New Roman" w:hAnsi="Times New Roman" w:eastAsia="黑体" w:cs="Times New Roman"/>
                <w:bCs/>
                <w:color w:val="auto"/>
                <w:kern w:val="0"/>
                <w:sz w:val="24"/>
                <w:szCs w:val="24"/>
                <w:highlight w:val="none"/>
              </w:rPr>
            </w:pPr>
            <w:r>
              <w:rPr>
                <w:rFonts w:ascii="Times New Roman" w:hAnsi="黑体" w:eastAsia="黑体" w:cs="Times New Roman"/>
                <w:bCs/>
                <w:color w:val="auto"/>
                <w:kern w:val="0"/>
                <w:sz w:val="24"/>
                <w:szCs w:val="24"/>
                <w:highlight w:val="none"/>
              </w:rPr>
              <w:t>表</w:t>
            </w:r>
            <w:r>
              <w:rPr>
                <w:rFonts w:ascii="Times New Roman" w:hAnsi="Times New Roman" w:eastAsia="黑体" w:cs="Times New Roman"/>
                <w:bCs/>
                <w:color w:val="auto"/>
                <w:kern w:val="0"/>
                <w:sz w:val="24"/>
                <w:szCs w:val="24"/>
                <w:highlight w:val="none"/>
              </w:rPr>
              <w:t>1-</w:t>
            </w:r>
            <w:r>
              <w:rPr>
                <w:rFonts w:hint="eastAsia" w:ascii="Times New Roman" w:hAnsi="Times New Roman" w:eastAsia="黑体" w:cs="Times New Roman"/>
                <w:bCs/>
                <w:color w:val="auto"/>
                <w:kern w:val="0"/>
                <w:sz w:val="24"/>
                <w:szCs w:val="24"/>
                <w:highlight w:val="none"/>
              </w:rPr>
              <w:t xml:space="preserve">2  </w:t>
            </w:r>
            <w:r>
              <w:rPr>
                <w:rFonts w:hint="eastAsia" w:ascii="Times New Roman" w:hAnsi="黑体" w:eastAsia="黑体" w:cs="Times New Roman"/>
                <w:bCs/>
                <w:color w:val="auto"/>
                <w:kern w:val="0"/>
                <w:sz w:val="24"/>
                <w:szCs w:val="24"/>
                <w:highlight w:val="none"/>
              </w:rPr>
              <w:t>与《安徽淮南工业园区总体发展规划（2013-2020年）环境影响报告书》及其审查意见符合性分析</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335"/>
              <w:gridCol w:w="3073"/>
              <w:gridCol w:w="3085"/>
              <w:gridCol w:w="693"/>
            </w:tblGrid>
            <w:tr w14:paraId="6CF9B60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492" w:hRule="atLeast"/>
                <w:jc w:val="center"/>
              </w:trPr>
              <w:tc>
                <w:tcPr>
                  <w:tcW w:w="200" w:type="pct"/>
                  <w:vAlign w:val="center"/>
                </w:tcPr>
                <w:p w14:paraId="742DDEB5">
                  <w:pPr>
                    <w:adjustRightInd w:val="0"/>
                    <w:snapToGrid w:val="0"/>
                    <w:spacing w:line="276" w:lineRule="auto"/>
                    <w:jc w:val="center"/>
                    <w:rPr>
                      <w:rFonts w:ascii="Times New Roman" w:hAnsi="Times New Roman" w:cs="Times New Roman"/>
                      <w:b/>
                      <w:color w:val="auto"/>
                      <w:kern w:val="0"/>
                      <w:szCs w:val="21"/>
                      <w:highlight w:val="none"/>
                    </w:rPr>
                  </w:pPr>
                  <w:r>
                    <w:rPr>
                      <w:rFonts w:hint="eastAsia" w:ascii="Times New Roman" w:cs="Times New Roman" w:hAnsiTheme="minorEastAsia"/>
                      <w:b/>
                      <w:color w:val="auto"/>
                      <w:kern w:val="0"/>
                      <w:szCs w:val="21"/>
                      <w:highlight w:val="none"/>
                    </w:rPr>
                    <w:t>序号</w:t>
                  </w:r>
                </w:p>
              </w:tc>
              <w:tc>
                <w:tcPr>
                  <w:tcW w:w="1833" w:type="pct"/>
                  <w:vAlign w:val="center"/>
                </w:tcPr>
                <w:p w14:paraId="1B2B2BE8">
                  <w:pPr>
                    <w:adjustRightInd w:val="0"/>
                    <w:snapToGrid w:val="0"/>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规划环评及审查意见要求</w:t>
                  </w:r>
                </w:p>
              </w:tc>
              <w:tc>
                <w:tcPr>
                  <w:tcW w:w="1840" w:type="pct"/>
                  <w:vAlign w:val="center"/>
                </w:tcPr>
                <w:p w14:paraId="5B63FB1C">
                  <w:pPr>
                    <w:adjustRightInd w:val="0"/>
                    <w:snapToGrid w:val="0"/>
                    <w:spacing w:line="276" w:lineRule="auto"/>
                    <w:jc w:val="center"/>
                    <w:rPr>
                      <w:rFonts w:ascii="Times New Roman" w:hAnsi="Times New Roman" w:cs="Times New Roman"/>
                      <w:b/>
                      <w:color w:val="auto"/>
                      <w:kern w:val="0"/>
                      <w:szCs w:val="21"/>
                      <w:highlight w:val="none"/>
                    </w:rPr>
                  </w:pPr>
                  <w:r>
                    <w:rPr>
                      <w:rFonts w:hint="eastAsia" w:ascii="Times New Roman" w:cs="Times New Roman" w:hAnsiTheme="minorEastAsia"/>
                      <w:b/>
                      <w:color w:val="auto"/>
                      <w:kern w:val="0"/>
                      <w:szCs w:val="21"/>
                      <w:highlight w:val="none"/>
                    </w:rPr>
                    <w:t>本项目</w:t>
                  </w:r>
                  <w:r>
                    <w:rPr>
                      <w:rFonts w:ascii="Times New Roman" w:cs="Times New Roman" w:hAnsiTheme="minorEastAsia"/>
                      <w:b/>
                      <w:color w:val="auto"/>
                      <w:kern w:val="0"/>
                      <w:szCs w:val="21"/>
                      <w:highlight w:val="none"/>
                    </w:rPr>
                    <w:t>情况分析</w:t>
                  </w:r>
                </w:p>
              </w:tc>
              <w:tc>
                <w:tcPr>
                  <w:tcW w:w="413" w:type="pct"/>
                  <w:vAlign w:val="center"/>
                </w:tcPr>
                <w:p w14:paraId="7B185BF3">
                  <w:pPr>
                    <w:adjustRightInd w:val="0"/>
                    <w:snapToGrid w:val="0"/>
                    <w:spacing w:line="276" w:lineRule="auto"/>
                    <w:jc w:val="center"/>
                    <w:rPr>
                      <w:rFonts w:ascii="Times New Roman" w:cs="Times New Roman" w:hAnsiTheme="minorEastAsia"/>
                      <w:b/>
                      <w:color w:val="auto"/>
                      <w:kern w:val="0"/>
                      <w:szCs w:val="21"/>
                      <w:highlight w:val="none"/>
                    </w:rPr>
                  </w:pPr>
                  <w:r>
                    <w:rPr>
                      <w:rFonts w:hint="eastAsia" w:ascii="Times New Roman" w:cs="Times New Roman" w:hAnsiTheme="minorEastAsia"/>
                      <w:b/>
                      <w:color w:val="auto"/>
                      <w:kern w:val="0"/>
                      <w:szCs w:val="21"/>
                      <w:highlight w:val="none"/>
                    </w:rPr>
                    <w:t>相符性</w:t>
                  </w:r>
                </w:p>
              </w:tc>
            </w:tr>
            <w:tr w14:paraId="4DAEF0B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200" w:type="pct"/>
                  <w:vAlign w:val="center"/>
                </w:tcPr>
                <w:p w14:paraId="355F3616">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1</w:t>
                  </w:r>
                </w:p>
              </w:tc>
              <w:tc>
                <w:tcPr>
                  <w:tcW w:w="1833" w:type="pct"/>
                  <w:vAlign w:val="center"/>
                </w:tcPr>
                <w:p w14:paraId="6678A3E2">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园区位于淮南</w:t>
                  </w:r>
                  <w:r>
                    <w:rPr>
                      <w:rFonts w:hint="eastAsia" w:ascii="Times New Roman" w:cs="Times New Roman" w:hAnsiTheme="minorEastAsia"/>
                      <w:color w:val="auto"/>
                      <w:kern w:val="0"/>
                      <w:szCs w:val="21"/>
                      <w:highlight w:val="none"/>
                    </w:rPr>
                    <w:t>滨</w:t>
                  </w:r>
                  <w:r>
                    <w:rPr>
                      <w:rFonts w:ascii="Times New Roman" w:cs="Times New Roman" w:hAnsiTheme="minorEastAsia"/>
                      <w:color w:val="auto"/>
                      <w:kern w:val="0"/>
                      <w:szCs w:val="21"/>
                      <w:highlight w:val="none"/>
                    </w:rPr>
                    <w:t>湖新城主导风向上风向，应严格控制有大气污染物排放的项目入区建设。不符合功能分区和定位的已建项目，不得扩大产能，并逐步实施调整或搬迁，需要设置卫生防护距离的企业，应按有关规定严格设定。严格控制园区周边用地规划，加强对环境敏感点保护</w:t>
                  </w:r>
                </w:p>
              </w:tc>
              <w:tc>
                <w:tcPr>
                  <w:tcW w:w="1840" w:type="pct"/>
                  <w:vAlign w:val="center"/>
                </w:tcPr>
                <w:p w14:paraId="174FE3E0">
                  <w:pPr>
                    <w:pStyle w:val="48"/>
                    <w:autoSpaceDE/>
                    <w:autoSpaceDN/>
                    <w:snapToGrid w:val="0"/>
                    <w:spacing w:line="276" w:lineRule="auto"/>
                    <w:jc w:val="center"/>
                    <w:rPr>
                      <w:rFonts w:ascii="Times New Roman" w:cs="Times New Roman" w:hAnsiTheme="minorEastAsia" w:eastAsiaTheme="minorEastAsia"/>
                      <w:color w:val="auto"/>
                      <w:kern w:val="2"/>
                      <w:sz w:val="21"/>
                      <w:szCs w:val="21"/>
                      <w:highlight w:val="none"/>
                    </w:rPr>
                  </w:pPr>
                  <w:r>
                    <w:rPr>
                      <w:rFonts w:ascii="Times New Roman" w:cs="Times New Roman" w:hAnsiTheme="minorEastAsia" w:eastAsiaTheme="minorEastAsia"/>
                      <w:color w:val="auto"/>
                      <w:kern w:val="2"/>
                      <w:sz w:val="21"/>
                      <w:szCs w:val="21"/>
                      <w:highlight w:val="none"/>
                    </w:rPr>
                    <w:t>本项目产品主要为</w:t>
                  </w:r>
                  <w:r>
                    <w:rPr>
                      <w:rFonts w:hint="eastAsia" w:ascii="Times New Roman" w:cs="Times New Roman" w:hAnsiTheme="minorEastAsia" w:eastAsiaTheme="minorEastAsia"/>
                      <w:bCs/>
                      <w:color w:val="auto"/>
                      <w:kern w:val="2"/>
                      <w:sz w:val="21"/>
                      <w:szCs w:val="21"/>
                      <w:highlight w:val="none"/>
                    </w:rPr>
                    <w:t>汽车</w:t>
                  </w:r>
                  <w:r>
                    <w:rPr>
                      <w:rFonts w:ascii="Times New Roman" w:cs="Times New Roman" w:hAnsiTheme="minorEastAsia" w:eastAsiaTheme="minorEastAsia"/>
                      <w:bCs/>
                      <w:color w:val="auto"/>
                      <w:kern w:val="2"/>
                      <w:sz w:val="21"/>
                      <w:szCs w:val="21"/>
                      <w:highlight w:val="none"/>
                    </w:rPr>
                    <w:t>零部件</w:t>
                  </w:r>
                  <w:r>
                    <w:rPr>
                      <w:rFonts w:ascii="Times New Roman" w:cs="Times New Roman" w:hAnsiTheme="minorEastAsia" w:eastAsiaTheme="minorEastAsia"/>
                      <w:color w:val="auto"/>
                      <w:kern w:val="2"/>
                      <w:sz w:val="21"/>
                      <w:szCs w:val="21"/>
                      <w:highlight w:val="none"/>
                    </w:rPr>
                    <w:t>，</w:t>
                  </w:r>
                  <w:r>
                    <w:rPr>
                      <w:rFonts w:hint="eastAsia" w:eastAsiaTheme="minorEastAsia"/>
                      <w:color w:val="auto"/>
                      <w:sz w:val="21"/>
                      <w:szCs w:val="21"/>
                      <w:highlight w:val="none"/>
                      <w:lang w:val="en-US" w:eastAsia="zh-CN"/>
                    </w:rPr>
                    <w:t>不属于负面清单中限制类（</w:t>
                  </w:r>
                  <w:r>
                    <w:rPr>
                      <w:color w:val="auto"/>
                      <w:sz w:val="21"/>
                      <w:szCs w:val="21"/>
                      <w:highlight w:val="none"/>
                    </w:rPr>
                    <w:t>化学原料和化学制品制造业</w:t>
                  </w:r>
                  <w:r>
                    <w:rPr>
                      <w:rFonts w:hint="eastAsia"/>
                      <w:color w:val="auto"/>
                      <w:sz w:val="21"/>
                      <w:szCs w:val="21"/>
                      <w:highlight w:val="none"/>
                      <w:lang w:eastAsia="zh-CN"/>
                    </w:rPr>
                    <w:t>）、</w:t>
                  </w:r>
                  <w:r>
                    <w:rPr>
                      <w:rFonts w:hint="eastAsia"/>
                      <w:color w:val="auto"/>
                      <w:sz w:val="21"/>
                      <w:szCs w:val="21"/>
                      <w:highlight w:val="none"/>
                      <w:lang w:val="en-US" w:eastAsia="zh-CN"/>
                    </w:rPr>
                    <w:t>禁止类（</w:t>
                  </w:r>
                  <w:r>
                    <w:rPr>
                      <w:rFonts w:hint="default" w:ascii="Times New Roman" w:hAnsi="Times New Roman" w:cs="Times New Roman"/>
                      <w:color w:val="auto"/>
                      <w:sz w:val="21"/>
                      <w:szCs w:val="21"/>
                      <w:highlight w:val="none"/>
                    </w:rPr>
                    <w:t>化工、含电镀工序项目</w:t>
                  </w: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rPr>
                    <w:t>与主导产业定位不相符的高能耗、高污染制造项目</w:t>
                  </w: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rPr>
                    <w:t>《产业结构调整指导目录（2019年本）》、《外商投资产业指导目录（2017年修订）》、《市场准入负面清单（2020年版）》等相关产业政策中禁止或淘汰类项目</w:t>
                  </w:r>
                  <w:r>
                    <w:rPr>
                      <w:rFonts w:hint="default" w:ascii="Times New Roman" w:hAnsi="Times New Roman" w:cs="Times New Roman"/>
                      <w:color w:val="auto"/>
                      <w:sz w:val="21"/>
                      <w:szCs w:val="21"/>
                      <w:highlight w:val="none"/>
                      <w:lang w:val="en-US" w:eastAsia="zh-CN"/>
                    </w:rPr>
                    <w:t>）项</w:t>
                  </w:r>
                  <w:r>
                    <w:rPr>
                      <w:rFonts w:hint="eastAsia"/>
                      <w:color w:val="auto"/>
                      <w:sz w:val="21"/>
                      <w:szCs w:val="21"/>
                      <w:highlight w:val="none"/>
                      <w:lang w:val="en-US" w:eastAsia="zh-CN"/>
                    </w:rPr>
                    <w:t>目</w:t>
                  </w:r>
                  <w:r>
                    <w:rPr>
                      <w:rFonts w:ascii="Times New Roman" w:cs="Times New Roman" w:hAnsiTheme="minorEastAsia" w:eastAsiaTheme="minorEastAsia"/>
                      <w:color w:val="auto"/>
                      <w:kern w:val="2"/>
                      <w:sz w:val="21"/>
                      <w:szCs w:val="21"/>
                      <w:highlight w:val="none"/>
                    </w:rPr>
                    <w:t>，与园区主导产业不冲突，</w:t>
                  </w:r>
                  <w:r>
                    <w:rPr>
                      <w:rFonts w:hint="eastAsia" w:ascii="Times New Roman" w:cs="Times New Roman" w:hAnsiTheme="minorEastAsia" w:eastAsiaTheme="minorEastAsia"/>
                      <w:color w:val="auto"/>
                      <w:kern w:val="2"/>
                      <w:sz w:val="21"/>
                      <w:szCs w:val="21"/>
                      <w:highlight w:val="none"/>
                    </w:rPr>
                    <w:t>为园区允许建设项目</w:t>
                  </w:r>
                  <w:r>
                    <w:rPr>
                      <w:rFonts w:ascii="Times New Roman" w:cs="Times New Roman" w:hAnsiTheme="minorEastAsia" w:eastAsiaTheme="minorEastAsia"/>
                      <w:color w:val="auto"/>
                      <w:kern w:val="2"/>
                      <w:sz w:val="21"/>
                      <w:szCs w:val="21"/>
                      <w:highlight w:val="none"/>
                    </w:rPr>
                    <w:t>；</w:t>
                  </w:r>
                  <w:r>
                    <w:rPr>
                      <w:rFonts w:hint="eastAsia" w:ascii="Times New Roman" w:cs="Times New Roman" w:hAnsiTheme="minorEastAsia" w:eastAsiaTheme="minorEastAsia"/>
                      <w:color w:val="auto"/>
                      <w:kern w:val="2"/>
                      <w:sz w:val="21"/>
                      <w:szCs w:val="21"/>
                      <w:highlight w:val="none"/>
                    </w:rPr>
                    <w:t>对照安徽淮南工业园区总体发展规划用地布局规划图，项目用地性质为工业用地</w:t>
                  </w:r>
                </w:p>
              </w:tc>
              <w:tc>
                <w:tcPr>
                  <w:tcW w:w="413" w:type="pct"/>
                  <w:vAlign w:val="center"/>
                </w:tcPr>
                <w:p w14:paraId="49FC52B4">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符合</w:t>
                  </w:r>
                </w:p>
              </w:tc>
            </w:tr>
            <w:tr w14:paraId="46BB5B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200" w:type="pct"/>
                  <w:vAlign w:val="center"/>
                </w:tcPr>
                <w:p w14:paraId="778861B3">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2</w:t>
                  </w:r>
                </w:p>
              </w:tc>
              <w:tc>
                <w:tcPr>
                  <w:tcW w:w="1833" w:type="pct"/>
                  <w:vAlign w:val="center"/>
                </w:tcPr>
                <w:p w14:paraId="06033C73">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积极推进企业内、企业间水资源的梯级利用和企业用水总量控制，切实提高水资源利用率。严禁建设国家明令禁止的项目，严格控制高耗水、高耗能、污水排放量大的项目建设；已建和拟入区建设项目应严格中性水环境保护相关标准和要求</w:t>
                  </w:r>
                </w:p>
              </w:tc>
              <w:tc>
                <w:tcPr>
                  <w:tcW w:w="1840" w:type="pct"/>
                  <w:vAlign w:val="center"/>
                </w:tcPr>
                <w:p w14:paraId="382859C0">
                  <w:pPr>
                    <w:pStyle w:val="48"/>
                    <w:autoSpaceDE/>
                    <w:autoSpaceDN/>
                    <w:snapToGrid w:val="0"/>
                    <w:spacing w:line="276" w:lineRule="auto"/>
                    <w:jc w:val="center"/>
                    <w:rPr>
                      <w:rFonts w:ascii="Times New Roman" w:cs="Times New Roman" w:hAnsiTheme="minorEastAsia" w:eastAsiaTheme="minorEastAsia"/>
                      <w:color w:val="auto"/>
                      <w:kern w:val="2"/>
                      <w:sz w:val="21"/>
                      <w:szCs w:val="21"/>
                      <w:highlight w:val="none"/>
                    </w:rPr>
                  </w:pPr>
                  <w:r>
                    <w:rPr>
                      <w:rFonts w:ascii="Times New Roman" w:cs="Times New Roman" w:hAnsiTheme="minorEastAsia" w:eastAsiaTheme="minorEastAsia"/>
                      <w:bCs/>
                      <w:color w:val="auto"/>
                      <w:kern w:val="2"/>
                      <w:sz w:val="21"/>
                      <w:szCs w:val="21"/>
                      <w:highlight w:val="none"/>
                    </w:rPr>
                    <w:t>本项目废水主要为生活污水。生活污水经化粪池后接管八公山污水处理厂处理</w:t>
                  </w:r>
                </w:p>
              </w:tc>
              <w:tc>
                <w:tcPr>
                  <w:tcW w:w="413" w:type="pct"/>
                  <w:vAlign w:val="center"/>
                </w:tcPr>
                <w:p w14:paraId="1A2BB086">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符合</w:t>
                  </w:r>
                </w:p>
              </w:tc>
            </w:tr>
            <w:tr w14:paraId="2D0DC81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200" w:type="pct"/>
                  <w:vAlign w:val="center"/>
                </w:tcPr>
                <w:p w14:paraId="5FE3D01A">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3</w:t>
                  </w:r>
                </w:p>
              </w:tc>
              <w:tc>
                <w:tcPr>
                  <w:tcW w:w="1833" w:type="pct"/>
                  <w:vAlign w:val="center"/>
                </w:tcPr>
                <w:p w14:paraId="125D64E5">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入区项目要采用先进的生产工艺和装备，采用高水平的污染治理措施。清洁生产水平现阶段要按国内先进水平要求，并逐步提高，最大限度控制园区污染物排放量和排放强度。建立并实施不符合规划、产业准入和环保准入条件项目的退出机制</w:t>
                  </w:r>
                </w:p>
              </w:tc>
              <w:tc>
                <w:tcPr>
                  <w:tcW w:w="1840" w:type="pct"/>
                  <w:vAlign w:val="center"/>
                </w:tcPr>
                <w:p w14:paraId="38DDAEDB">
                  <w:pPr>
                    <w:pStyle w:val="48"/>
                    <w:autoSpaceDE/>
                    <w:autoSpaceDN/>
                    <w:snapToGrid w:val="0"/>
                    <w:spacing w:line="276" w:lineRule="auto"/>
                    <w:jc w:val="center"/>
                    <w:rPr>
                      <w:rFonts w:ascii="Times New Roman" w:cs="Times New Roman" w:hAnsiTheme="minorEastAsia" w:eastAsiaTheme="minorEastAsia"/>
                      <w:color w:val="auto"/>
                      <w:kern w:val="2"/>
                      <w:sz w:val="21"/>
                      <w:szCs w:val="21"/>
                      <w:highlight w:val="none"/>
                    </w:rPr>
                  </w:pPr>
                  <w:r>
                    <w:rPr>
                      <w:rFonts w:ascii="Times New Roman" w:cs="Times New Roman" w:hAnsiTheme="minorEastAsia" w:eastAsiaTheme="minorEastAsia"/>
                      <w:color w:val="auto"/>
                      <w:kern w:val="2"/>
                      <w:sz w:val="21"/>
                      <w:szCs w:val="21"/>
                      <w:highlight w:val="none"/>
                    </w:rPr>
                    <w:t>本项目选址位于</w:t>
                  </w:r>
                  <w:r>
                    <w:rPr>
                      <w:rFonts w:hint="eastAsia" w:ascii="Times New Roman" w:cs="Times New Roman" w:hAnsiTheme="minorEastAsia" w:eastAsiaTheme="minorEastAsia"/>
                      <w:color w:val="auto"/>
                      <w:kern w:val="2"/>
                      <w:sz w:val="21"/>
                      <w:szCs w:val="21"/>
                      <w:highlight w:val="none"/>
                    </w:rPr>
                    <w:t>安徽省</w:t>
                  </w:r>
                  <w:r>
                    <w:rPr>
                      <w:rFonts w:ascii="Times New Roman" w:cs="Times New Roman" w:hAnsiTheme="minorEastAsia" w:eastAsiaTheme="minorEastAsia"/>
                      <w:color w:val="auto"/>
                      <w:kern w:val="2"/>
                      <w:sz w:val="21"/>
                      <w:szCs w:val="21"/>
                      <w:highlight w:val="none"/>
                    </w:rPr>
                    <w:t>淮南市谢家集区</w:t>
                  </w:r>
                  <w:r>
                    <w:rPr>
                      <w:rFonts w:hint="eastAsia" w:ascii="Times New Roman" w:cs="Times New Roman" w:hAnsiTheme="minorEastAsia" w:eastAsiaTheme="minorEastAsia"/>
                      <w:color w:val="auto"/>
                      <w:kern w:val="2"/>
                      <w:sz w:val="21"/>
                      <w:szCs w:val="21"/>
                      <w:highlight w:val="none"/>
                    </w:rPr>
                    <w:t>汽配产业园3号厂房</w:t>
                  </w:r>
                  <w:r>
                    <w:rPr>
                      <w:rFonts w:ascii="Times New Roman" w:cs="Times New Roman" w:hAnsiTheme="minorEastAsia" w:eastAsiaTheme="minorEastAsia"/>
                      <w:color w:val="auto"/>
                      <w:kern w:val="2"/>
                      <w:sz w:val="21"/>
                      <w:szCs w:val="21"/>
                      <w:highlight w:val="none"/>
                    </w:rPr>
                    <w:t>，本项目为</w:t>
                  </w:r>
                  <w:r>
                    <w:rPr>
                      <w:rFonts w:hint="eastAsia" w:ascii="Times New Roman" w:cs="Times New Roman" w:hAnsiTheme="minorEastAsia" w:eastAsiaTheme="minorEastAsia"/>
                      <w:color w:val="auto"/>
                      <w:kern w:val="2"/>
                      <w:sz w:val="21"/>
                      <w:szCs w:val="21"/>
                      <w:highlight w:val="none"/>
                    </w:rPr>
                    <w:t>汽车零部件及配件制造</w:t>
                  </w:r>
                  <w:r>
                    <w:rPr>
                      <w:rFonts w:ascii="Times New Roman" w:cs="Times New Roman" w:hAnsiTheme="minorEastAsia" w:eastAsiaTheme="minorEastAsia"/>
                      <w:color w:val="auto"/>
                      <w:kern w:val="2"/>
                      <w:sz w:val="21"/>
                      <w:szCs w:val="21"/>
                      <w:highlight w:val="none"/>
                    </w:rPr>
                    <w:t>，不属于园区负面清单，项目已取得备案，视为允许入园项目。项目采用清洁生产工艺且不属于污染严重、有重大环境风险隐患、高能耗、高水耗的项目。本项目符合国家产业政策、环保政策及高新区入园产业要求</w:t>
                  </w:r>
                </w:p>
              </w:tc>
              <w:tc>
                <w:tcPr>
                  <w:tcW w:w="413" w:type="pct"/>
                  <w:vAlign w:val="center"/>
                </w:tcPr>
                <w:p w14:paraId="1BA64C20">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符合</w:t>
                  </w:r>
                </w:p>
              </w:tc>
            </w:tr>
            <w:tr w14:paraId="52100D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200" w:type="pct"/>
                  <w:vAlign w:val="center"/>
                </w:tcPr>
                <w:p w14:paraId="5D11CA01">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4</w:t>
                  </w:r>
                </w:p>
              </w:tc>
              <w:tc>
                <w:tcPr>
                  <w:tcW w:w="1833" w:type="pct"/>
                  <w:vAlign w:val="center"/>
                </w:tcPr>
                <w:p w14:paraId="5447FBBB">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加强各类固体废物的收集和处理处置。生活垃圾应集中收集后送环卫部门妥善处理；危险废物应按有关规定安全收集、暂存、处置。确定专人对危险废物进行管理，建立危险废物环境管理台账和信息档案，严格执行危险废物转移联单制度</w:t>
                  </w:r>
                </w:p>
              </w:tc>
              <w:tc>
                <w:tcPr>
                  <w:tcW w:w="1840" w:type="pct"/>
                  <w:vAlign w:val="center"/>
                </w:tcPr>
                <w:p w14:paraId="0A8D3893">
                  <w:pPr>
                    <w:pStyle w:val="48"/>
                    <w:autoSpaceDE/>
                    <w:autoSpaceDN/>
                    <w:snapToGrid w:val="0"/>
                    <w:spacing w:line="276" w:lineRule="auto"/>
                    <w:jc w:val="center"/>
                    <w:rPr>
                      <w:rFonts w:ascii="Times New Roman" w:cs="Times New Roman" w:hAnsiTheme="minorEastAsia" w:eastAsiaTheme="minorEastAsia"/>
                      <w:color w:val="auto"/>
                      <w:kern w:val="2"/>
                      <w:sz w:val="21"/>
                      <w:szCs w:val="21"/>
                      <w:highlight w:val="none"/>
                    </w:rPr>
                  </w:pPr>
                  <w:r>
                    <w:rPr>
                      <w:rFonts w:ascii="Times New Roman" w:cs="Times New Roman" w:hAnsiTheme="minorEastAsia" w:eastAsiaTheme="minorEastAsia"/>
                      <w:color w:val="auto"/>
                      <w:kern w:val="2"/>
                      <w:sz w:val="21"/>
                      <w:szCs w:val="21"/>
                      <w:highlight w:val="none"/>
                    </w:rPr>
                    <w:t>项目在</w:t>
                  </w:r>
                  <w:r>
                    <w:rPr>
                      <w:rFonts w:hint="eastAsia" w:ascii="Times New Roman" w:cs="Times New Roman" w:hAnsiTheme="minorEastAsia" w:eastAsiaTheme="minorEastAsia"/>
                      <w:color w:val="auto"/>
                      <w:kern w:val="2"/>
                      <w:sz w:val="21"/>
                      <w:szCs w:val="21"/>
                      <w:highlight w:val="none"/>
                    </w:rPr>
                    <w:t>厂房</w:t>
                  </w:r>
                  <w:r>
                    <w:rPr>
                      <w:rFonts w:ascii="Times New Roman" w:cs="Times New Roman" w:hAnsiTheme="minorEastAsia" w:eastAsiaTheme="minorEastAsia"/>
                      <w:color w:val="auto"/>
                      <w:kern w:val="2"/>
                      <w:sz w:val="21"/>
                      <w:szCs w:val="21"/>
                      <w:highlight w:val="none"/>
                    </w:rPr>
                    <w:t>设置一座</w:t>
                  </w:r>
                  <w:r>
                    <w:rPr>
                      <w:rFonts w:hint="eastAsia" w:ascii="Times New Roman" w:cs="Times New Roman" w:hAnsiTheme="minorEastAsia" w:eastAsiaTheme="minorEastAsia"/>
                      <w:color w:val="auto"/>
                      <w:kern w:val="2"/>
                      <w:sz w:val="21"/>
                      <w:szCs w:val="21"/>
                      <w:highlight w:val="none"/>
                    </w:rPr>
                    <w:t>20</w:t>
                  </w:r>
                  <w:r>
                    <w:rPr>
                      <w:rFonts w:ascii="Times New Roman" w:cs="Times New Roman" w:hAnsiTheme="minorEastAsia" w:eastAsiaTheme="minorEastAsia"/>
                      <w:color w:val="auto"/>
                      <w:kern w:val="2"/>
                      <w:sz w:val="21"/>
                      <w:szCs w:val="21"/>
                      <w:highlight w:val="none"/>
                    </w:rPr>
                    <w:t>m</w:t>
                  </w:r>
                  <w:r>
                    <w:rPr>
                      <w:rFonts w:ascii="Times New Roman" w:cs="Times New Roman" w:hAnsiTheme="minorEastAsia" w:eastAsiaTheme="minorEastAsia"/>
                      <w:color w:val="auto"/>
                      <w:kern w:val="2"/>
                      <w:sz w:val="21"/>
                      <w:szCs w:val="21"/>
                      <w:highlight w:val="none"/>
                      <w:vertAlign w:val="superscript"/>
                    </w:rPr>
                    <w:t>2</w:t>
                  </w:r>
                  <w:r>
                    <w:rPr>
                      <w:rFonts w:ascii="Times New Roman" w:cs="Times New Roman" w:hAnsiTheme="minorEastAsia" w:eastAsiaTheme="minorEastAsia"/>
                      <w:color w:val="auto"/>
                      <w:kern w:val="2"/>
                      <w:sz w:val="21"/>
                      <w:szCs w:val="21"/>
                      <w:highlight w:val="none"/>
                    </w:rPr>
                    <w:t>的危险废物暂存间，厂区产生的危险废物在危废暂存间暂存后</w:t>
                  </w:r>
                  <w:r>
                    <w:rPr>
                      <w:rFonts w:hint="eastAsia" w:ascii="Times New Roman" w:cs="Times New Roman" w:hAnsiTheme="minorEastAsia" w:eastAsiaTheme="minorEastAsia"/>
                      <w:color w:val="auto"/>
                      <w:kern w:val="2"/>
                      <w:sz w:val="21"/>
                      <w:szCs w:val="21"/>
                      <w:highlight w:val="none"/>
                      <w:lang w:val="en-US" w:eastAsia="zh-CN"/>
                    </w:rPr>
                    <w:t>定期</w:t>
                  </w:r>
                  <w:r>
                    <w:rPr>
                      <w:rFonts w:ascii="Times New Roman" w:cs="Times New Roman" w:hAnsiTheme="minorEastAsia" w:eastAsiaTheme="minorEastAsia"/>
                      <w:color w:val="auto"/>
                      <w:kern w:val="2"/>
                      <w:sz w:val="21"/>
                      <w:szCs w:val="21"/>
                      <w:highlight w:val="none"/>
                    </w:rPr>
                    <w:t>委托有资质单位处理，生活垃圾委托环卫部门清运</w:t>
                  </w:r>
                  <w:r>
                    <w:rPr>
                      <w:rFonts w:hint="eastAsia" w:ascii="Times New Roman" w:cs="Times New Roman" w:hAnsiTheme="minorEastAsia" w:eastAsiaTheme="minorEastAsia"/>
                      <w:color w:val="auto"/>
                      <w:kern w:val="2"/>
                      <w:sz w:val="21"/>
                      <w:szCs w:val="21"/>
                      <w:highlight w:val="none"/>
                      <w:lang w:eastAsia="zh-CN"/>
                    </w:rPr>
                    <w:t>，</w:t>
                  </w:r>
                  <w:r>
                    <w:rPr>
                      <w:rFonts w:ascii="Times New Roman" w:cs="Times New Roman" w:hAnsiTheme="minorEastAsia" w:eastAsiaTheme="minorEastAsia"/>
                      <w:color w:val="auto"/>
                      <w:kern w:val="2"/>
                      <w:sz w:val="21"/>
                      <w:szCs w:val="21"/>
                      <w:highlight w:val="none"/>
                    </w:rPr>
                    <w:t>产生的一般工业固体废物暂存于一般工业固体废物暂存间内，外售综合利用。项目产生的各类固体废物均能得到有效处置，不会造成二次污染。</w:t>
                  </w:r>
                </w:p>
              </w:tc>
              <w:tc>
                <w:tcPr>
                  <w:tcW w:w="413" w:type="pct"/>
                  <w:vAlign w:val="center"/>
                </w:tcPr>
                <w:p w14:paraId="0096C4C5">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符合</w:t>
                  </w:r>
                </w:p>
              </w:tc>
            </w:tr>
            <w:tr w14:paraId="3CB490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200" w:type="pct"/>
                  <w:vAlign w:val="center"/>
                </w:tcPr>
                <w:p w14:paraId="142B9A34">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5</w:t>
                  </w:r>
                </w:p>
              </w:tc>
              <w:tc>
                <w:tcPr>
                  <w:tcW w:w="1833" w:type="pct"/>
                  <w:vAlign w:val="center"/>
                </w:tcPr>
                <w:p w14:paraId="57FB2098">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建立环境风险单位信息库，入区建设项目，应认真履行环保法律法规要求，严格执行环境影响评价制度和环保“三同时”制度，应按照污染物排放总量控制的要求严格执行</w:t>
                  </w:r>
                </w:p>
              </w:tc>
              <w:tc>
                <w:tcPr>
                  <w:tcW w:w="1840" w:type="pct"/>
                  <w:vAlign w:val="center"/>
                </w:tcPr>
                <w:p w14:paraId="66455D64">
                  <w:pPr>
                    <w:pStyle w:val="48"/>
                    <w:autoSpaceDE/>
                    <w:autoSpaceDN/>
                    <w:snapToGrid w:val="0"/>
                    <w:spacing w:line="276" w:lineRule="auto"/>
                    <w:jc w:val="center"/>
                    <w:rPr>
                      <w:rFonts w:ascii="Times New Roman" w:cs="Times New Roman" w:hAnsiTheme="minorEastAsia" w:eastAsiaTheme="minorEastAsia"/>
                      <w:color w:val="auto"/>
                      <w:kern w:val="2"/>
                      <w:sz w:val="21"/>
                      <w:szCs w:val="21"/>
                      <w:highlight w:val="none"/>
                    </w:rPr>
                  </w:pPr>
                  <w:r>
                    <w:rPr>
                      <w:rFonts w:ascii="Times New Roman" w:cs="Times New Roman" w:hAnsiTheme="minorEastAsia" w:eastAsiaTheme="minorEastAsia"/>
                      <w:color w:val="auto"/>
                      <w:kern w:val="2"/>
                      <w:sz w:val="21"/>
                      <w:szCs w:val="21"/>
                      <w:highlight w:val="none"/>
                    </w:rPr>
                    <w:t>本项目风险物质</w:t>
                  </w:r>
                  <w:r>
                    <w:rPr>
                      <w:rFonts w:hint="eastAsia" w:ascii="Times New Roman" w:cs="Times New Roman" w:hAnsiTheme="minorEastAsia" w:eastAsiaTheme="minorEastAsia"/>
                      <w:color w:val="auto"/>
                      <w:kern w:val="2"/>
                      <w:sz w:val="21"/>
                      <w:szCs w:val="21"/>
                      <w:highlight w:val="none"/>
                    </w:rPr>
                    <w:t>为水性</w:t>
                  </w:r>
                  <w:r>
                    <w:rPr>
                      <w:rFonts w:ascii="Times New Roman" w:cs="Times New Roman" w:hAnsiTheme="minorEastAsia" w:eastAsiaTheme="minorEastAsia"/>
                      <w:color w:val="auto"/>
                      <w:kern w:val="2"/>
                      <w:sz w:val="21"/>
                      <w:szCs w:val="21"/>
                      <w:highlight w:val="none"/>
                    </w:rPr>
                    <w:t>底漆、水性面漆、废漆渣、废活性炭、废涂料桶</w:t>
                  </w:r>
                  <w:r>
                    <w:rPr>
                      <w:rFonts w:hint="eastAsia" w:ascii="Times New Roman" w:cs="Times New Roman" w:hAnsiTheme="minorEastAsia" w:eastAsiaTheme="minorEastAsia"/>
                      <w:color w:val="auto"/>
                      <w:kern w:val="2"/>
                      <w:sz w:val="21"/>
                      <w:szCs w:val="21"/>
                      <w:highlight w:val="none"/>
                    </w:rPr>
                    <w:t>、</w:t>
                  </w:r>
                  <w:r>
                    <w:rPr>
                      <w:rFonts w:ascii="Times New Roman" w:cs="Times New Roman" w:hAnsiTheme="minorEastAsia" w:eastAsiaTheme="minorEastAsia"/>
                      <w:color w:val="auto"/>
                      <w:kern w:val="2"/>
                      <w:sz w:val="21"/>
                      <w:szCs w:val="21"/>
                      <w:highlight w:val="none"/>
                    </w:rPr>
                    <w:t>废过滤棉、水帘喷漆定期更换的废液</w:t>
                  </w:r>
                  <w:r>
                    <w:rPr>
                      <w:rFonts w:hint="eastAsia" w:ascii="Times New Roman" w:cs="Times New Roman" w:hAnsiTheme="minorEastAsia" w:eastAsiaTheme="minorEastAsia"/>
                      <w:color w:val="auto"/>
                      <w:kern w:val="2"/>
                      <w:sz w:val="21"/>
                      <w:szCs w:val="21"/>
                      <w:highlight w:val="none"/>
                    </w:rPr>
                    <w:t>、润滑油、废润滑油、废润滑油桶</w:t>
                  </w:r>
                  <w:r>
                    <w:rPr>
                      <w:rFonts w:hint="eastAsia" w:ascii="Times New Roman" w:cs="Times New Roman" w:hAnsiTheme="minorEastAsia" w:eastAsiaTheme="minorEastAsia"/>
                      <w:color w:val="auto"/>
                      <w:kern w:val="2"/>
                      <w:sz w:val="21"/>
                      <w:szCs w:val="21"/>
                      <w:highlight w:val="none"/>
                      <w:lang w:val="en-US" w:eastAsia="zh-CN"/>
                    </w:rPr>
                    <w:t>等</w:t>
                  </w:r>
                  <w:r>
                    <w:rPr>
                      <w:rFonts w:ascii="Times New Roman" w:cs="Times New Roman" w:hAnsiTheme="minorEastAsia" w:eastAsiaTheme="minorEastAsia"/>
                      <w:color w:val="auto"/>
                      <w:kern w:val="2"/>
                      <w:sz w:val="21"/>
                      <w:szCs w:val="21"/>
                      <w:highlight w:val="none"/>
                    </w:rPr>
                    <w:t>；本项目严格执行环境影响评价制度和环保“三同时”制度，且项目已申请总量，具体总量指标待生态环境部门核定</w:t>
                  </w:r>
                </w:p>
              </w:tc>
              <w:tc>
                <w:tcPr>
                  <w:tcW w:w="413" w:type="pct"/>
                  <w:vAlign w:val="center"/>
                </w:tcPr>
                <w:p w14:paraId="1B126291">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符合</w:t>
                  </w:r>
                </w:p>
              </w:tc>
            </w:tr>
          </w:tbl>
          <w:p w14:paraId="6ED45C4E">
            <w:pPr>
              <w:adjustRightInd w:val="0"/>
              <w:snapToGrid w:val="0"/>
              <w:spacing w:line="360" w:lineRule="auto"/>
              <w:ind w:firstLine="480" w:firstLineChars="200"/>
              <w:jc w:val="left"/>
              <w:rPr>
                <w:rFonts w:ascii="Times New Roman" w:cs="Times New Roman" w:hAnsiTheme="minorEastAsia"/>
                <w:color w:val="auto"/>
                <w:kern w:val="0"/>
                <w:sz w:val="24"/>
                <w:szCs w:val="24"/>
                <w:highlight w:val="none"/>
              </w:rPr>
            </w:pPr>
            <w:r>
              <w:rPr>
                <w:rFonts w:hint="eastAsia" w:ascii="Times New Roman" w:cs="Times New Roman" w:hAnsiTheme="minorEastAsia"/>
                <w:color w:val="auto"/>
                <w:kern w:val="0"/>
                <w:sz w:val="24"/>
                <w:szCs w:val="24"/>
                <w:highlight w:val="none"/>
              </w:rPr>
              <w:t>与</w:t>
            </w:r>
            <w:r>
              <w:rPr>
                <w:rFonts w:ascii="Times New Roman" w:cs="Times New Roman" w:hAnsiTheme="minorEastAsia"/>
                <w:color w:val="auto"/>
                <w:kern w:val="0"/>
                <w:sz w:val="24"/>
                <w:szCs w:val="24"/>
                <w:highlight w:val="none"/>
              </w:rPr>
              <w:t>《安徽淮南高新技术产业开发区（淮南市山南新区）智造园区总体发展规划环境影响跟踪评价报告书》及其审查意见的函符合性分析</w:t>
            </w:r>
            <w:r>
              <w:rPr>
                <w:rFonts w:hint="eastAsia" w:ascii="Times New Roman" w:cs="Times New Roman" w:hAnsiTheme="minorEastAsia"/>
                <w:color w:val="auto"/>
                <w:kern w:val="0"/>
                <w:sz w:val="24"/>
                <w:szCs w:val="24"/>
                <w:highlight w:val="none"/>
              </w:rPr>
              <w:t>详见表1-3</w:t>
            </w:r>
          </w:p>
          <w:p w14:paraId="0C8AB030">
            <w:pPr>
              <w:adjustRightInd w:val="0"/>
              <w:snapToGrid w:val="0"/>
              <w:spacing w:line="276" w:lineRule="auto"/>
              <w:jc w:val="center"/>
              <w:rPr>
                <w:rFonts w:ascii="Times New Roman" w:hAnsi="Times New Roman" w:eastAsia="黑体" w:cs="Times New Roman"/>
                <w:bCs/>
                <w:color w:val="auto"/>
                <w:kern w:val="0"/>
                <w:sz w:val="24"/>
                <w:szCs w:val="24"/>
                <w:highlight w:val="none"/>
              </w:rPr>
            </w:pPr>
            <w:r>
              <w:rPr>
                <w:rFonts w:ascii="Times New Roman" w:hAnsi="黑体" w:eastAsia="黑体" w:cs="Times New Roman"/>
                <w:bCs/>
                <w:color w:val="auto"/>
                <w:kern w:val="0"/>
                <w:sz w:val="24"/>
                <w:szCs w:val="24"/>
                <w:highlight w:val="none"/>
              </w:rPr>
              <w:t>表</w:t>
            </w:r>
            <w:r>
              <w:rPr>
                <w:rFonts w:ascii="Times New Roman" w:hAnsi="Times New Roman" w:eastAsia="黑体" w:cs="Times New Roman"/>
                <w:bCs/>
                <w:color w:val="auto"/>
                <w:kern w:val="0"/>
                <w:sz w:val="24"/>
                <w:szCs w:val="24"/>
                <w:highlight w:val="none"/>
              </w:rPr>
              <w:t>1-</w:t>
            </w:r>
            <w:r>
              <w:rPr>
                <w:rFonts w:hint="eastAsia" w:ascii="Times New Roman" w:hAnsi="Times New Roman" w:eastAsia="黑体" w:cs="Times New Roman"/>
                <w:bCs/>
                <w:color w:val="auto"/>
                <w:kern w:val="0"/>
                <w:sz w:val="24"/>
                <w:szCs w:val="24"/>
                <w:highlight w:val="none"/>
              </w:rPr>
              <w:t xml:space="preserve">3  </w:t>
            </w:r>
            <w:r>
              <w:rPr>
                <w:rFonts w:hint="eastAsia" w:ascii="Times New Roman" w:hAnsi="黑体" w:eastAsia="黑体" w:cs="Times New Roman"/>
                <w:bCs/>
                <w:color w:val="auto"/>
                <w:kern w:val="0"/>
                <w:sz w:val="24"/>
                <w:szCs w:val="24"/>
                <w:highlight w:val="none"/>
              </w:rPr>
              <w:t>与《</w:t>
            </w:r>
            <w:r>
              <w:rPr>
                <w:rFonts w:ascii="Times New Roman" w:hAnsi="黑体" w:eastAsia="黑体" w:cs="Times New Roman"/>
                <w:bCs/>
                <w:color w:val="auto"/>
                <w:kern w:val="0"/>
                <w:sz w:val="24"/>
                <w:szCs w:val="24"/>
                <w:highlight w:val="none"/>
              </w:rPr>
              <w:t>安徽淮南高新技术产业开发区（淮南市山南新区）智造园区总体发展规划环境影响跟踪评价报告书</w:t>
            </w:r>
            <w:r>
              <w:rPr>
                <w:rFonts w:hint="eastAsia" w:ascii="Times New Roman" w:hAnsi="黑体" w:eastAsia="黑体" w:cs="Times New Roman"/>
                <w:bCs/>
                <w:color w:val="auto"/>
                <w:kern w:val="0"/>
                <w:sz w:val="24"/>
                <w:szCs w:val="24"/>
                <w:highlight w:val="none"/>
              </w:rPr>
              <w:t>》及其审查意见符合性分析</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335"/>
              <w:gridCol w:w="3073"/>
              <w:gridCol w:w="3085"/>
              <w:gridCol w:w="693"/>
            </w:tblGrid>
            <w:tr w14:paraId="1F5DD9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492" w:hRule="atLeast"/>
                <w:jc w:val="center"/>
              </w:trPr>
              <w:tc>
                <w:tcPr>
                  <w:tcW w:w="233" w:type="pct"/>
                  <w:vAlign w:val="center"/>
                </w:tcPr>
                <w:p w14:paraId="2FBBD0A8">
                  <w:pPr>
                    <w:adjustRightInd w:val="0"/>
                    <w:snapToGrid w:val="0"/>
                    <w:spacing w:line="276" w:lineRule="auto"/>
                    <w:jc w:val="center"/>
                    <w:rPr>
                      <w:rFonts w:ascii="Times New Roman" w:hAnsi="Times New Roman" w:cs="Times New Roman"/>
                      <w:b/>
                      <w:color w:val="auto"/>
                      <w:kern w:val="0"/>
                      <w:szCs w:val="21"/>
                      <w:highlight w:val="none"/>
                    </w:rPr>
                  </w:pPr>
                  <w:r>
                    <w:rPr>
                      <w:rFonts w:hint="eastAsia" w:ascii="Times New Roman" w:cs="Times New Roman" w:hAnsiTheme="minorEastAsia"/>
                      <w:b/>
                      <w:color w:val="auto"/>
                      <w:kern w:val="0"/>
                      <w:szCs w:val="21"/>
                      <w:highlight w:val="none"/>
                    </w:rPr>
                    <w:t>序号</w:t>
                  </w:r>
                </w:p>
              </w:tc>
              <w:tc>
                <w:tcPr>
                  <w:tcW w:w="2138" w:type="pct"/>
                  <w:vAlign w:val="center"/>
                </w:tcPr>
                <w:p w14:paraId="5B1C3E85">
                  <w:pPr>
                    <w:adjustRightInd w:val="0"/>
                    <w:snapToGrid w:val="0"/>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规划环境影响跟踪评价及审查意见要求</w:t>
                  </w:r>
                </w:p>
              </w:tc>
              <w:tc>
                <w:tcPr>
                  <w:tcW w:w="2146" w:type="pct"/>
                  <w:vAlign w:val="center"/>
                </w:tcPr>
                <w:p w14:paraId="32EFBBCB">
                  <w:pPr>
                    <w:adjustRightInd w:val="0"/>
                    <w:snapToGrid w:val="0"/>
                    <w:spacing w:line="276" w:lineRule="auto"/>
                    <w:jc w:val="center"/>
                    <w:rPr>
                      <w:rFonts w:ascii="Times New Roman" w:hAnsi="Times New Roman" w:cs="Times New Roman"/>
                      <w:b/>
                      <w:color w:val="auto"/>
                      <w:kern w:val="0"/>
                      <w:szCs w:val="21"/>
                      <w:highlight w:val="none"/>
                    </w:rPr>
                  </w:pPr>
                  <w:r>
                    <w:rPr>
                      <w:rFonts w:hint="eastAsia" w:ascii="Times New Roman" w:cs="Times New Roman" w:hAnsiTheme="minorEastAsia"/>
                      <w:b/>
                      <w:color w:val="auto"/>
                      <w:kern w:val="0"/>
                      <w:szCs w:val="21"/>
                      <w:highlight w:val="none"/>
                    </w:rPr>
                    <w:t>本项目</w:t>
                  </w:r>
                  <w:r>
                    <w:rPr>
                      <w:rFonts w:ascii="Times New Roman" w:cs="Times New Roman" w:hAnsiTheme="minorEastAsia"/>
                      <w:b/>
                      <w:color w:val="auto"/>
                      <w:kern w:val="0"/>
                      <w:szCs w:val="21"/>
                      <w:highlight w:val="none"/>
                    </w:rPr>
                    <w:t>情况分析</w:t>
                  </w:r>
                </w:p>
              </w:tc>
              <w:tc>
                <w:tcPr>
                  <w:tcW w:w="482" w:type="pct"/>
                  <w:vAlign w:val="center"/>
                </w:tcPr>
                <w:p w14:paraId="59150F01">
                  <w:pPr>
                    <w:adjustRightInd w:val="0"/>
                    <w:snapToGrid w:val="0"/>
                    <w:spacing w:line="276" w:lineRule="auto"/>
                    <w:jc w:val="center"/>
                    <w:rPr>
                      <w:rFonts w:ascii="Times New Roman" w:cs="Times New Roman" w:hAnsiTheme="minorEastAsia"/>
                      <w:b/>
                      <w:color w:val="auto"/>
                      <w:kern w:val="0"/>
                      <w:szCs w:val="21"/>
                      <w:highlight w:val="none"/>
                    </w:rPr>
                  </w:pPr>
                  <w:r>
                    <w:rPr>
                      <w:rFonts w:hint="eastAsia" w:ascii="Times New Roman" w:cs="Times New Roman" w:hAnsiTheme="minorEastAsia"/>
                      <w:b/>
                      <w:color w:val="auto"/>
                      <w:kern w:val="0"/>
                      <w:szCs w:val="21"/>
                      <w:highlight w:val="none"/>
                    </w:rPr>
                    <w:t>相符性</w:t>
                  </w:r>
                </w:p>
              </w:tc>
            </w:tr>
            <w:tr w14:paraId="100B42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233" w:type="pct"/>
                  <w:vAlign w:val="center"/>
                </w:tcPr>
                <w:p w14:paraId="0F7251EB">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1</w:t>
                  </w:r>
                </w:p>
              </w:tc>
              <w:tc>
                <w:tcPr>
                  <w:tcW w:w="2138" w:type="pct"/>
                  <w:vAlign w:val="center"/>
                </w:tcPr>
                <w:p w14:paraId="49256184">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根据现状企业分布，适当调整产业布局，对现有不符合产业布局的项目应严格控制企业规模，未来逐步进行产业升级调整；禁止负面清单中行业企业入驻；新入驻项目应按照规划功能布局入驻</w:t>
                  </w:r>
                </w:p>
              </w:tc>
              <w:tc>
                <w:tcPr>
                  <w:tcW w:w="2146" w:type="pct"/>
                  <w:vAlign w:val="center"/>
                </w:tcPr>
                <w:p w14:paraId="429707A3">
                  <w:pPr>
                    <w:pStyle w:val="48"/>
                    <w:autoSpaceDE/>
                    <w:autoSpaceDN/>
                    <w:snapToGrid w:val="0"/>
                    <w:spacing w:line="276" w:lineRule="auto"/>
                    <w:jc w:val="center"/>
                    <w:rPr>
                      <w:rFonts w:ascii="Times New Roman" w:cs="Times New Roman" w:hAnsiTheme="minorEastAsia" w:eastAsiaTheme="minorEastAsia"/>
                      <w:color w:val="auto"/>
                      <w:kern w:val="2"/>
                      <w:sz w:val="21"/>
                      <w:szCs w:val="21"/>
                      <w:highlight w:val="none"/>
                    </w:rPr>
                  </w:pPr>
                  <w:r>
                    <w:rPr>
                      <w:rFonts w:ascii="Times New Roman" w:cs="Times New Roman" w:hAnsiTheme="minorEastAsia" w:eastAsiaTheme="minorEastAsia"/>
                      <w:color w:val="auto"/>
                      <w:kern w:val="2"/>
                      <w:sz w:val="21"/>
                      <w:szCs w:val="21"/>
                      <w:highlight w:val="none"/>
                    </w:rPr>
                    <w:t>本项目产品主要为</w:t>
                  </w:r>
                  <w:r>
                    <w:rPr>
                      <w:rFonts w:hint="eastAsia" w:ascii="Times New Roman" w:cs="Times New Roman" w:hAnsiTheme="minorEastAsia" w:eastAsiaTheme="minorEastAsia"/>
                      <w:bCs/>
                      <w:color w:val="auto"/>
                      <w:kern w:val="2"/>
                      <w:sz w:val="21"/>
                      <w:szCs w:val="21"/>
                      <w:highlight w:val="none"/>
                    </w:rPr>
                    <w:t>汽车</w:t>
                  </w:r>
                  <w:r>
                    <w:rPr>
                      <w:rFonts w:ascii="Times New Roman" w:cs="Times New Roman" w:hAnsiTheme="minorEastAsia" w:eastAsiaTheme="minorEastAsia"/>
                      <w:bCs/>
                      <w:color w:val="auto"/>
                      <w:kern w:val="2"/>
                      <w:sz w:val="21"/>
                      <w:szCs w:val="21"/>
                      <w:highlight w:val="none"/>
                    </w:rPr>
                    <w:t>零部件</w:t>
                  </w:r>
                  <w:r>
                    <w:rPr>
                      <w:rFonts w:ascii="Times New Roman" w:cs="Times New Roman" w:hAnsiTheme="minorEastAsia" w:eastAsiaTheme="minorEastAsia"/>
                      <w:color w:val="auto"/>
                      <w:kern w:val="2"/>
                      <w:sz w:val="21"/>
                      <w:szCs w:val="21"/>
                      <w:highlight w:val="none"/>
                    </w:rPr>
                    <w:t>，</w:t>
                  </w:r>
                  <w:r>
                    <w:rPr>
                      <w:rFonts w:hint="eastAsia" w:ascii="Times New Roman" w:cs="Times New Roman" w:hAnsiTheme="minorEastAsia" w:eastAsiaTheme="minorEastAsia"/>
                      <w:color w:val="auto"/>
                      <w:kern w:val="2"/>
                      <w:sz w:val="21"/>
                      <w:szCs w:val="21"/>
                      <w:highlight w:val="none"/>
                      <w:lang w:val="en-US" w:eastAsia="zh-CN"/>
                    </w:rPr>
                    <w:t>不属于第二产业区严格控制发展造纸、陶瓷、印染等高污染类产业项目，</w:t>
                  </w:r>
                  <w:r>
                    <w:rPr>
                      <w:rFonts w:ascii="Times New Roman" w:cs="Times New Roman" w:hAnsiTheme="minorEastAsia" w:eastAsiaTheme="minorEastAsia"/>
                      <w:color w:val="auto"/>
                      <w:kern w:val="2"/>
                      <w:sz w:val="21"/>
                      <w:szCs w:val="21"/>
                      <w:highlight w:val="none"/>
                    </w:rPr>
                    <w:t>不属于负面清单中禁止、限制类项目，与园区主导产业不冲突，</w:t>
                  </w:r>
                  <w:r>
                    <w:rPr>
                      <w:rFonts w:hint="eastAsia" w:ascii="Times New Roman" w:cs="Times New Roman" w:hAnsiTheme="minorEastAsia" w:eastAsiaTheme="minorEastAsia"/>
                      <w:color w:val="auto"/>
                      <w:kern w:val="2"/>
                      <w:sz w:val="21"/>
                      <w:szCs w:val="21"/>
                      <w:highlight w:val="none"/>
                    </w:rPr>
                    <w:t>为园区允许建设项目</w:t>
                  </w:r>
                  <w:r>
                    <w:rPr>
                      <w:rFonts w:ascii="Times New Roman" w:cs="Times New Roman" w:hAnsiTheme="minorEastAsia" w:eastAsiaTheme="minorEastAsia"/>
                      <w:color w:val="auto"/>
                      <w:kern w:val="2"/>
                      <w:sz w:val="21"/>
                      <w:szCs w:val="21"/>
                      <w:highlight w:val="none"/>
                    </w:rPr>
                    <w:t>；</w:t>
                  </w:r>
                  <w:r>
                    <w:rPr>
                      <w:rFonts w:hint="eastAsia" w:ascii="Times New Roman" w:cs="Times New Roman" w:hAnsiTheme="minorEastAsia" w:eastAsiaTheme="minorEastAsia"/>
                      <w:color w:val="auto"/>
                      <w:kern w:val="2"/>
                      <w:sz w:val="21"/>
                      <w:szCs w:val="21"/>
                      <w:highlight w:val="none"/>
                    </w:rPr>
                    <w:t>对照安徽淮南工业园区总体发展规划用地布局规划图，项目用地性质为工业用地</w:t>
                  </w:r>
                </w:p>
              </w:tc>
              <w:tc>
                <w:tcPr>
                  <w:tcW w:w="482" w:type="pct"/>
                  <w:vAlign w:val="center"/>
                </w:tcPr>
                <w:p w14:paraId="45255BE0">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符合</w:t>
                  </w:r>
                </w:p>
              </w:tc>
            </w:tr>
            <w:tr w14:paraId="7EA360D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233" w:type="pct"/>
                  <w:vAlign w:val="center"/>
                </w:tcPr>
                <w:p w14:paraId="5646FFC5">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2</w:t>
                  </w:r>
                </w:p>
              </w:tc>
              <w:tc>
                <w:tcPr>
                  <w:tcW w:w="2138" w:type="pct"/>
                  <w:vAlign w:val="center"/>
                </w:tcPr>
                <w:p w14:paraId="19CA72E9">
                  <w:pPr>
                    <w:adjustRightInd w:val="0"/>
                    <w:snapToGrid w:val="0"/>
                    <w:spacing w:line="276" w:lineRule="auto"/>
                    <w:jc w:val="center"/>
                    <w:rPr>
                      <w:rFonts w:ascii="Times New Roman" w:cs="Times New Roman" w:hAnsiTheme="minorEastAsia"/>
                      <w:color w:val="auto"/>
                      <w:kern w:val="0"/>
                      <w:szCs w:val="21"/>
                      <w:highlight w:val="none"/>
                    </w:rPr>
                  </w:pPr>
                  <w:r>
                    <w:rPr>
                      <w:rFonts w:hint="eastAsia" w:ascii="Times New Roman" w:cs="Times New Roman" w:hAnsiTheme="minorEastAsia"/>
                      <w:color w:val="auto"/>
                      <w:kern w:val="0"/>
                      <w:szCs w:val="21"/>
                      <w:highlight w:val="none"/>
                    </w:rPr>
                    <w:t>固体废物、危险废物应依法依规收集、处理处置</w:t>
                  </w:r>
                </w:p>
              </w:tc>
              <w:tc>
                <w:tcPr>
                  <w:tcW w:w="2146" w:type="pct"/>
                  <w:vAlign w:val="center"/>
                </w:tcPr>
                <w:p w14:paraId="4E8F99CB">
                  <w:pPr>
                    <w:pStyle w:val="48"/>
                    <w:autoSpaceDE/>
                    <w:autoSpaceDN/>
                    <w:snapToGrid w:val="0"/>
                    <w:spacing w:line="276" w:lineRule="auto"/>
                    <w:jc w:val="center"/>
                    <w:rPr>
                      <w:rFonts w:ascii="Times New Roman" w:cs="Times New Roman" w:hAnsiTheme="minorEastAsia"/>
                      <w:color w:val="auto"/>
                      <w:kern w:val="2"/>
                      <w:szCs w:val="21"/>
                      <w:highlight w:val="none"/>
                    </w:rPr>
                  </w:pPr>
                  <w:r>
                    <w:rPr>
                      <w:rFonts w:ascii="Times New Roman" w:cs="Times New Roman" w:hAnsiTheme="minorEastAsia" w:eastAsiaTheme="minorEastAsia"/>
                      <w:color w:val="auto"/>
                      <w:kern w:val="2"/>
                      <w:sz w:val="21"/>
                      <w:szCs w:val="21"/>
                      <w:highlight w:val="none"/>
                    </w:rPr>
                    <w:t>项目</w:t>
                  </w:r>
                  <w:r>
                    <w:rPr>
                      <w:rFonts w:hint="eastAsia" w:ascii="Times New Roman" w:cs="Times New Roman" w:hAnsiTheme="minorEastAsia" w:eastAsiaTheme="minorEastAsia"/>
                      <w:color w:val="auto"/>
                      <w:kern w:val="2"/>
                      <w:sz w:val="21"/>
                      <w:szCs w:val="21"/>
                      <w:highlight w:val="none"/>
                    </w:rPr>
                    <w:t>厂房</w:t>
                  </w:r>
                  <w:r>
                    <w:rPr>
                      <w:rFonts w:ascii="Times New Roman" w:cs="Times New Roman" w:hAnsiTheme="minorEastAsia" w:eastAsiaTheme="minorEastAsia"/>
                      <w:color w:val="auto"/>
                      <w:kern w:val="2"/>
                      <w:sz w:val="21"/>
                      <w:szCs w:val="21"/>
                      <w:highlight w:val="none"/>
                    </w:rPr>
                    <w:t>设置一座</w:t>
                  </w:r>
                  <w:r>
                    <w:rPr>
                      <w:rFonts w:hint="eastAsia" w:ascii="Times New Roman" w:cs="Times New Roman" w:hAnsiTheme="minorEastAsia" w:eastAsiaTheme="minorEastAsia"/>
                      <w:color w:val="auto"/>
                      <w:kern w:val="2"/>
                      <w:sz w:val="21"/>
                      <w:szCs w:val="21"/>
                      <w:highlight w:val="none"/>
                    </w:rPr>
                    <w:t>20</w:t>
                  </w:r>
                  <w:r>
                    <w:rPr>
                      <w:rFonts w:ascii="Times New Roman" w:cs="Times New Roman" w:hAnsiTheme="minorEastAsia" w:eastAsiaTheme="minorEastAsia"/>
                      <w:color w:val="auto"/>
                      <w:kern w:val="2"/>
                      <w:sz w:val="21"/>
                      <w:szCs w:val="21"/>
                      <w:highlight w:val="none"/>
                    </w:rPr>
                    <w:t>m</w:t>
                  </w:r>
                  <w:r>
                    <w:rPr>
                      <w:rFonts w:ascii="Times New Roman" w:cs="Times New Roman" w:hAnsiTheme="minorEastAsia" w:eastAsiaTheme="minorEastAsia"/>
                      <w:color w:val="auto"/>
                      <w:kern w:val="2"/>
                      <w:sz w:val="21"/>
                      <w:szCs w:val="21"/>
                      <w:highlight w:val="none"/>
                      <w:vertAlign w:val="superscript"/>
                    </w:rPr>
                    <w:t>2</w:t>
                  </w:r>
                  <w:r>
                    <w:rPr>
                      <w:rFonts w:ascii="Times New Roman" w:cs="Times New Roman" w:hAnsiTheme="minorEastAsia" w:eastAsiaTheme="minorEastAsia"/>
                      <w:color w:val="auto"/>
                      <w:kern w:val="2"/>
                      <w:sz w:val="21"/>
                      <w:szCs w:val="21"/>
                      <w:highlight w:val="none"/>
                    </w:rPr>
                    <w:t>的危险废物暂存间，厂区产生的危险废物在危废暂存间暂存后</w:t>
                  </w:r>
                  <w:r>
                    <w:rPr>
                      <w:rFonts w:hint="eastAsia" w:ascii="Times New Roman" w:cs="Times New Roman" w:hAnsiTheme="minorEastAsia" w:eastAsiaTheme="minorEastAsia"/>
                      <w:color w:val="auto"/>
                      <w:kern w:val="2"/>
                      <w:sz w:val="21"/>
                      <w:szCs w:val="21"/>
                      <w:highlight w:val="none"/>
                      <w:lang w:val="en-US" w:eastAsia="zh-CN"/>
                    </w:rPr>
                    <w:t>定期</w:t>
                  </w:r>
                  <w:r>
                    <w:rPr>
                      <w:rFonts w:ascii="Times New Roman" w:cs="Times New Roman" w:hAnsiTheme="minorEastAsia" w:eastAsiaTheme="minorEastAsia"/>
                      <w:color w:val="auto"/>
                      <w:kern w:val="2"/>
                      <w:sz w:val="21"/>
                      <w:szCs w:val="21"/>
                      <w:highlight w:val="none"/>
                    </w:rPr>
                    <w:t>委托有资质单位处理，生活垃圾委托环卫部门清运</w:t>
                  </w:r>
                  <w:r>
                    <w:rPr>
                      <w:rFonts w:hint="eastAsia" w:ascii="Times New Roman" w:cs="Times New Roman" w:hAnsiTheme="minorEastAsia" w:eastAsiaTheme="minorEastAsia"/>
                      <w:color w:val="auto"/>
                      <w:kern w:val="2"/>
                      <w:sz w:val="21"/>
                      <w:szCs w:val="21"/>
                      <w:highlight w:val="none"/>
                      <w:lang w:eastAsia="zh-CN"/>
                    </w:rPr>
                    <w:t>，</w:t>
                  </w:r>
                  <w:r>
                    <w:rPr>
                      <w:rFonts w:ascii="Times New Roman" w:cs="Times New Roman" w:hAnsiTheme="minorEastAsia" w:eastAsiaTheme="minorEastAsia"/>
                      <w:color w:val="auto"/>
                      <w:kern w:val="2"/>
                      <w:sz w:val="21"/>
                      <w:szCs w:val="21"/>
                      <w:highlight w:val="none"/>
                    </w:rPr>
                    <w:t>产生的一般工业固体废物暂存于一般工业固体废物暂存间内，外售综合利用。项目产生的各类固体废物均能得到有效处置，不会造成二次污染</w:t>
                  </w:r>
                </w:p>
              </w:tc>
              <w:tc>
                <w:tcPr>
                  <w:tcW w:w="482" w:type="pct"/>
                  <w:vAlign w:val="center"/>
                </w:tcPr>
                <w:p w14:paraId="2401655E">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符合</w:t>
                  </w:r>
                </w:p>
              </w:tc>
            </w:tr>
            <w:tr w14:paraId="0DAFDEF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233" w:type="pct"/>
                  <w:vAlign w:val="center"/>
                </w:tcPr>
                <w:p w14:paraId="71A5238C">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3</w:t>
                  </w:r>
                </w:p>
              </w:tc>
              <w:tc>
                <w:tcPr>
                  <w:tcW w:w="2138" w:type="pct"/>
                  <w:vAlign w:val="center"/>
                </w:tcPr>
                <w:p w14:paraId="4F8D407F">
                  <w:pPr>
                    <w:adjustRightInd w:val="0"/>
                    <w:snapToGrid w:val="0"/>
                    <w:spacing w:line="276" w:lineRule="auto"/>
                    <w:jc w:val="center"/>
                    <w:rPr>
                      <w:rFonts w:ascii="Times New Roman" w:cs="Times New Roman" w:hAnsiTheme="minorEastAsia"/>
                      <w:color w:val="auto"/>
                      <w:kern w:val="0"/>
                      <w:szCs w:val="21"/>
                      <w:highlight w:val="none"/>
                    </w:rPr>
                  </w:pPr>
                  <w:r>
                    <w:rPr>
                      <w:rFonts w:hint="eastAsia" w:ascii="Times New Roman" w:cs="Times New Roman" w:hAnsiTheme="minorEastAsia"/>
                      <w:color w:val="auto"/>
                      <w:kern w:val="0"/>
                      <w:szCs w:val="21"/>
                      <w:highlight w:val="none"/>
                    </w:rPr>
                    <w:t>在规划实施过程中要以促进改善区域环境质量为核心目标，以环境友好、科学发展为指导，坚持预防为主，保护优先。坚持高标准，严格项目环境准入。加快环保基础设施建设，全面落实各项污染防治和环境风险防范措施，强化环境管理</w:t>
                  </w:r>
                </w:p>
              </w:tc>
              <w:tc>
                <w:tcPr>
                  <w:tcW w:w="2146" w:type="pct"/>
                  <w:vAlign w:val="center"/>
                </w:tcPr>
                <w:p w14:paraId="3268A9C3">
                  <w:pPr>
                    <w:pStyle w:val="48"/>
                    <w:autoSpaceDE/>
                    <w:autoSpaceDN/>
                    <w:snapToGrid w:val="0"/>
                    <w:spacing w:line="276" w:lineRule="auto"/>
                    <w:jc w:val="center"/>
                    <w:rPr>
                      <w:rFonts w:ascii="Times New Roman" w:cs="Times New Roman" w:hAnsiTheme="minorEastAsia" w:eastAsiaTheme="minorEastAsia"/>
                      <w:color w:val="auto"/>
                      <w:kern w:val="2"/>
                      <w:sz w:val="21"/>
                      <w:szCs w:val="21"/>
                      <w:highlight w:val="none"/>
                    </w:rPr>
                  </w:pPr>
                  <w:r>
                    <w:rPr>
                      <w:rFonts w:ascii="Times New Roman" w:cs="Times New Roman" w:hAnsiTheme="minorEastAsia" w:eastAsiaTheme="minorEastAsia"/>
                      <w:color w:val="auto"/>
                      <w:kern w:val="2"/>
                      <w:sz w:val="21"/>
                      <w:szCs w:val="21"/>
                      <w:highlight w:val="none"/>
                    </w:rPr>
                    <w:t>本项目生产</w:t>
                  </w:r>
                  <w:r>
                    <w:rPr>
                      <w:rFonts w:hint="eastAsia" w:ascii="Times New Roman" w:cs="Times New Roman" w:hAnsiTheme="minorEastAsia" w:eastAsiaTheme="minorEastAsia"/>
                      <w:bCs/>
                      <w:color w:val="auto"/>
                      <w:kern w:val="2"/>
                      <w:sz w:val="21"/>
                      <w:szCs w:val="21"/>
                      <w:highlight w:val="none"/>
                    </w:rPr>
                    <w:t>汽车</w:t>
                  </w:r>
                  <w:r>
                    <w:rPr>
                      <w:rFonts w:ascii="Times New Roman" w:cs="Times New Roman" w:hAnsiTheme="minorEastAsia" w:eastAsiaTheme="minorEastAsia"/>
                      <w:bCs/>
                      <w:color w:val="auto"/>
                      <w:kern w:val="2"/>
                      <w:sz w:val="21"/>
                      <w:szCs w:val="21"/>
                      <w:highlight w:val="none"/>
                    </w:rPr>
                    <w:t>零部件</w:t>
                  </w:r>
                  <w:r>
                    <w:rPr>
                      <w:rFonts w:ascii="Times New Roman" w:cs="Times New Roman" w:hAnsiTheme="minorEastAsia" w:eastAsiaTheme="minorEastAsia"/>
                      <w:color w:val="auto"/>
                      <w:kern w:val="2"/>
                      <w:sz w:val="21"/>
                      <w:szCs w:val="21"/>
                      <w:highlight w:val="none"/>
                    </w:rPr>
                    <w:t>，</w:t>
                  </w:r>
                  <w:r>
                    <w:rPr>
                      <w:rFonts w:hint="eastAsia" w:eastAsiaTheme="minorEastAsia"/>
                      <w:color w:val="auto"/>
                      <w:sz w:val="21"/>
                      <w:szCs w:val="21"/>
                      <w:highlight w:val="none"/>
                      <w:lang w:val="en-US" w:eastAsia="zh-CN"/>
                    </w:rPr>
                    <w:t>不属于负面清单中限制类（</w:t>
                  </w:r>
                  <w:r>
                    <w:rPr>
                      <w:color w:val="auto"/>
                      <w:sz w:val="21"/>
                      <w:szCs w:val="21"/>
                      <w:highlight w:val="none"/>
                    </w:rPr>
                    <w:t>化学原料和化学制品制造业</w:t>
                  </w:r>
                  <w:r>
                    <w:rPr>
                      <w:rFonts w:hint="eastAsia"/>
                      <w:color w:val="auto"/>
                      <w:sz w:val="21"/>
                      <w:szCs w:val="21"/>
                      <w:highlight w:val="none"/>
                      <w:lang w:eastAsia="zh-CN"/>
                    </w:rPr>
                    <w:t>）、</w:t>
                  </w:r>
                  <w:r>
                    <w:rPr>
                      <w:rFonts w:hint="eastAsia"/>
                      <w:color w:val="auto"/>
                      <w:sz w:val="21"/>
                      <w:szCs w:val="21"/>
                      <w:highlight w:val="none"/>
                      <w:lang w:val="en-US" w:eastAsia="zh-CN"/>
                    </w:rPr>
                    <w:t>禁止类（</w:t>
                  </w:r>
                  <w:r>
                    <w:rPr>
                      <w:rFonts w:hint="default" w:ascii="Times New Roman" w:hAnsi="Times New Roman" w:cs="Times New Roman"/>
                      <w:color w:val="auto"/>
                      <w:sz w:val="21"/>
                      <w:szCs w:val="21"/>
                      <w:highlight w:val="none"/>
                    </w:rPr>
                    <w:t>化工、含电镀工序项目</w:t>
                  </w: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rPr>
                    <w:t>与主导产业定位不相符的高能耗、高污染制造项目</w:t>
                  </w: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rPr>
                    <w:t>《产业结构调整指导目录（2019年本）》、《外商投资产业指导目录（2017年修订）》、《市场准入负面清单（2020年版）》等相关产业政策中禁止或淘汰类项目</w:t>
                  </w:r>
                  <w:r>
                    <w:rPr>
                      <w:rFonts w:hint="default" w:ascii="Times New Roman" w:hAnsi="Times New Roman" w:cs="Times New Roman"/>
                      <w:color w:val="auto"/>
                      <w:sz w:val="21"/>
                      <w:szCs w:val="21"/>
                      <w:highlight w:val="none"/>
                      <w:lang w:val="en-US" w:eastAsia="zh-CN"/>
                    </w:rPr>
                    <w:t>）项</w:t>
                  </w:r>
                  <w:r>
                    <w:rPr>
                      <w:rFonts w:hint="eastAsia"/>
                      <w:color w:val="auto"/>
                      <w:sz w:val="21"/>
                      <w:szCs w:val="21"/>
                      <w:highlight w:val="none"/>
                      <w:lang w:val="en-US" w:eastAsia="zh-CN"/>
                    </w:rPr>
                    <w:t>目</w:t>
                  </w:r>
                  <w:r>
                    <w:rPr>
                      <w:rFonts w:ascii="Times New Roman" w:cs="Times New Roman" w:hAnsiTheme="minorEastAsia" w:eastAsiaTheme="minorEastAsia"/>
                      <w:color w:val="auto"/>
                      <w:kern w:val="2"/>
                      <w:sz w:val="21"/>
                      <w:szCs w:val="21"/>
                      <w:highlight w:val="none"/>
                    </w:rPr>
                    <w:t>，与园区主导产业不冲突，</w:t>
                  </w:r>
                  <w:r>
                    <w:rPr>
                      <w:rFonts w:hint="eastAsia" w:ascii="Times New Roman" w:cs="Times New Roman" w:hAnsiTheme="minorEastAsia" w:eastAsiaTheme="minorEastAsia"/>
                      <w:color w:val="auto"/>
                      <w:kern w:val="2"/>
                      <w:sz w:val="21"/>
                      <w:szCs w:val="21"/>
                      <w:highlight w:val="none"/>
                    </w:rPr>
                    <w:t>为园区允许建设项目</w:t>
                  </w:r>
                  <w:r>
                    <w:rPr>
                      <w:rFonts w:ascii="Times New Roman" w:cs="Times New Roman" w:hAnsiTheme="minorEastAsia" w:eastAsiaTheme="minorEastAsia"/>
                      <w:color w:val="auto"/>
                      <w:kern w:val="2"/>
                      <w:sz w:val="21"/>
                      <w:szCs w:val="21"/>
                      <w:highlight w:val="none"/>
                    </w:rPr>
                    <w:t>；本项目产生的各</w:t>
                  </w:r>
                  <w:r>
                    <w:rPr>
                      <w:rFonts w:hint="eastAsia" w:ascii="Times New Roman" w:cs="Times New Roman" w:hAnsiTheme="minorEastAsia" w:eastAsiaTheme="minorEastAsia"/>
                      <w:color w:val="auto"/>
                      <w:kern w:val="2"/>
                      <w:sz w:val="21"/>
                      <w:szCs w:val="21"/>
                      <w:highlight w:val="none"/>
                      <w:lang w:val="en-US" w:eastAsia="zh-CN"/>
                    </w:rPr>
                    <w:t>类废气污染物</w:t>
                  </w:r>
                  <w:r>
                    <w:rPr>
                      <w:rFonts w:ascii="Times New Roman" w:cs="Times New Roman" w:hAnsiTheme="minorEastAsia" w:eastAsiaTheme="minorEastAsia"/>
                      <w:color w:val="auto"/>
                      <w:kern w:val="2"/>
                      <w:sz w:val="21"/>
                      <w:szCs w:val="21"/>
                      <w:highlight w:val="none"/>
                    </w:rPr>
                    <w:t>均经有效处理后稳定达标排放，</w:t>
                  </w:r>
                  <w:r>
                    <w:rPr>
                      <w:rFonts w:hint="eastAsia" w:ascii="Times New Roman" w:cs="Times New Roman" w:hAnsiTheme="minorEastAsia" w:eastAsiaTheme="minorEastAsia"/>
                      <w:color w:val="auto"/>
                      <w:kern w:val="2"/>
                      <w:sz w:val="21"/>
                      <w:szCs w:val="21"/>
                      <w:highlight w:val="none"/>
                    </w:rPr>
                    <w:t>外排废水</w:t>
                  </w:r>
                  <w:r>
                    <w:rPr>
                      <w:rFonts w:hint="eastAsia" w:ascii="Times New Roman" w:cs="Times New Roman" w:hAnsiTheme="minorEastAsia" w:eastAsiaTheme="minorEastAsia"/>
                      <w:color w:val="auto"/>
                      <w:kern w:val="2"/>
                      <w:sz w:val="21"/>
                      <w:szCs w:val="21"/>
                      <w:highlight w:val="none"/>
                      <w:lang w:val="en-US" w:eastAsia="zh-CN"/>
                    </w:rPr>
                    <w:t>接管市政</w:t>
                  </w:r>
                  <w:r>
                    <w:rPr>
                      <w:rFonts w:ascii="Times New Roman" w:cs="Times New Roman" w:hAnsiTheme="minorEastAsia" w:eastAsiaTheme="minorEastAsia"/>
                      <w:color w:val="auto"/>
                      <w:kern w:val="2"/>
                      <w:sz w:val="21"/>
                      <w:szCs w:val="21"/>
                      <w:highlight w:val="none"/>
                    </w:rPr>
                    <w:t>污水处理厂，固废和危废均能做到妥善暂存、处置</w:t>
                  </w:r>
                </w:p>
              </w:tc>
              <w:tc>
                <w:tcPr>
                  <w:tcW w:w="482" w:type="pct"/>
                  <w:vAlign w:val="center"/>
                </w:tcPr>
                <w:p w14:paraId="1A50E40C">
                  <w:pPr>
                    <w:adjustRightInd w:val="0"/>
                    <w:snapToGrid w:val="0"/>
                    <w:spacing w:line="276" w:lineRule="auto"/>
                    <w:jc w:val="center"/>
                    <w:rPr>
                      <w:rFonts w:ascii="Times New Roman" w:cs="Times New Roman" w:hAnsiTheme="minorEastAsia"/>
                      <w:color w:val="auto"/>
                      <w:kern w:val="0"/>
                      <w:szCs w:val="21"/>
                      <w:highlight w:val="none"/>
                    </w:rPr>
                  </w:pPr>
                  <w:r>
                    <w:rPr>
                      <w:rFonts w:ascii="Times New Roman" w:cs="Times New Roman" w:hAnsiTheme="minorEastAsia"/>
                      <w:color w:val="auto"/>
                      <w:kern w:val="0"/>
                      <w:szCs w:val="21"/>
                      <w:highlight w:val="none"/>
                    </w:rPr>
                    <w:t>符合</w:t>
                  </w:r>
                </w:p>
              </w:tc>
            </w:tr>
          </w:tbl>
          <w:p w14:paraId="00179627">
            <w:pPr>
              <w:adjustRightInd w:val="0"/>
              <w:snapToGrid w:val="0"/>
              <w:spacing w:line="276" w:lineRule="auto"/>
              <w:rPr>
                <w:color w:val="auto"/>
                <w:kern w:val="0"/>
                <w:highlight w:val="none"/>
                <w:shd w:val="clear" w:color="auto" w:fill="FFFFFF"/>
              </w:rPr>
            </w:pPr>
          </w:p>
        </w:tc>
      </w:tr>
      <w:tr w14:paraId="3C7D72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93" w:type="pct"/>
            <w:vAlign w:val="center"/>
          </w:tcPr>
          <w:p w14:paraId="741F2633">
            <w:pPr>
              <w:adjustRightInd w:val="0"/>
              <w:snapToGrid w:val="0"/>
              <w:spacing w:line="276" w:lineRule="auto"/>
              <w:jc w:val="center"/>
              <w:rPr>
                <w:rFonts w:ascii="Times New Roman" w:hAnsi="Times New Roman" w:cs="Times New Roman"/>
                <w:color w:val="auto"/>
                <w:kern w:val="0"/>
                <w:sz w:val="24"/>
                <w:szCs w:val="24"/>
                <w:highlight w:val="none"/>
              </w:rPr>
            </w:pPr>
            <w:r>
              <w:rPr>
                <w:rFonts w:ascii="Times New Roman" w:hAnsi="Times New Roman" w:cs="Times New Roman"/>
                <w:bCs/>
                <w:color w:val="auto"/>
                <w:kern w:val="0"/>
                <w:sz w:val="24"/>
                <w:szCs w:val="24"/>
                <w:highlight w:val="none"/>
              </w:rPr>
              <w:t>其他符合性分析</w:t>
            </w:r>
          </w:p>
        </w:tc>
        <w:tc>
          <w:tcPr>
            <w:tcW w:w="4207" w:type="pct"/>
            <w:gridSpan w:val="4"/>
            <w:vAlign w:val="center"/>
          </w:tcPr>
          <w:p w14:paraId="3F96DD7B">
            <w:pPr>
              <w:adjustRightInd w:val="0"/>
              <w:snapToGrid w:val="0"/>
              <w:spacing w:line="360" w:lineRule="auto"/>
              <w:ind w:firstLine="482" w:firstLineChars="200"/>
              <w:rPr>
                <w:rFonts w:ascii="Times New Roman" w:hAnsi="Times New Roman" w:cs="Times New Roman"/>
                <w:b/>
                <w:color w:val="auto"/>
                <w:kern w:val="0"/>
                <w:sz w:val="24"/>
                <w:szCs w:val="24"/>
                <w:highlight w:val="none"/>
              </w:rPr>
            </w:pPr>
            <w:r>
              <w:rPr>
                <w:rFonts w:ascii="Times New Roman" w:hAnsi="Times New Roman" w:cs="Times New Roman"/>
                <w:b/>
                <w:color w:val="auto"/>
                <w:kern w:val="0"/>
                <w:sz w:val="24"/>
                <w:szCs w:val="24"/>
                <w:highlight w:val="none"/>
              </w:rPr>
              <w:t>1、产业政策符合性分析</w:t>
            </w:r>
          </w:p>
          <w:p w14:paraId="321BFD15">
            <w:pPr>
              <w:adjustRightInd w:val="0"/>
              <w:snapToGrid w:val="0"/>
              <w:spacing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cs="Times New Roman"/>
                <w:bCs/>
                <w:color w:val="auto"/>
                <w:kern w:val="0"/>
                <w:sz w:val="24"/>
                <w:highlight w:val="none"/>
              </w:rPr>
              <w:t>本项目属于</w:t>
            </w:r>
            <w:r>
              <w:rPr>
                <w:rFonts w:hint="eastAsia" w:ascii="Times New Roman" w:hAnsi="Times New Roman" w:cs="Times New Roman"/>
                <w:color w:val="auto"/>
                <w:kern w:val="0"/>
                <w:sz w:val="24"/>
                <w:highlight w:val="none"/>
              </w:rPr>
              <w:t>C3670汽车零部件及配件制造，</w:t>
            </w:r>
            <w:r>
              <w:rPr>
                <w:rFonts w:ascii="Times New Roman" w:hAnsi="Times New Roman" w:cs="Times New Roman"/>
                <w:bCs/>
                <w:color w:val="auto"/>
                <w:kern w:val="0"/>
                <w:sz w:val="24"/>
                <w:highlight w:val="none"/>
              </w:rPr>
              <w:t>根据国家产业政策，查阅《产业结构调整指导目录》</w:t>
            </w:r>
            <w:r>
              <w:rPr>
                <w:rFonts w:hint="eastAsia" w:ascii="Times New Roman" w:hAnsi="Times New Roman" w:cs="Times New Roman"/>
                <w:bCs/>
                <w:color w:val="auto"/>
                <w:kern w:val="0"/>
                <w:sz w:val="24"/>
                <w:szCs w:val="24"/>
                <w:highlight w:val="none"/>
              </w:rPr>
              <w:t>（</w:t>
            </w:r>
            <w:r>
              <w:rPr>
                <w:rFonts w:hint="eastAsia" w:ascii="Times New Roman" w:cs="Times New Roman"/>
                <w:color w:val="auto"/>
                <w:kern w:val="0"/>
                <w:sz w:val="24"/>
                <w:szCs w:val="24"/>
                <w:highlight w:val="none"/>
              </w:rPr>
              <w:t>2024年本）</w:t>
            </w:r>
            <w:r>
              <w:rPr>
                <w:rFonts w:ascii="Times New Roman" w:hAnsi="Times New Roman" w:cs="Times New Roman"/>
                <w:bCs/>
                <w:color w:val="auto"/>
                <w:kern w:val="0"/>
                <w:sz w:val="24"/>
                <w:szCs w:val="24"/>
                <w:highlight w:val="none"/>
              </w:rPr>
              <w:t>，</w:t>
            </w:r>
            <w:r>
              <w:rPr>
                <w:rFonts w:ascii="Times New Roman" w:hAnsi="Times New Roman" w:cs="Times New Roman"/>
                <w:bCs/>
                <w:color w:val="auto"/>
                <w:kern w:val="0"/>
                <w:sz w:val="24"/>
                <w:highlight w:val="none"/>
              </w:rPr>
              <w:t>本项目不属于限制类或淘汰类项目，不在园区准入负面清单内</w:t>
            </w:r>
            <w:r>
              <w:rPr>
                <w:rFonts w:hint="eastAsia" w:ascii="Times New Roman" w:hAnsi="Times New Roman" w:cs="Times New Roman"/>
                <w:bCs/>
                <w:color w:val="auto"/>
                <w:kern w:val="0"/>
                <w:sz w:val="24"/>
                <w:highlight w:val="none"/>
              </w:rPr>
              <w:t>，视</w:t>
            </w:r>
            <w:r>
              <w:rPr>
                <w:rFonts w:ascii="Times New Roman" w:hAnsi="Times New Roman" w:cs="Times New Roman"/>
                <w:bCs/>
                <w:color w:val="auto"/>
                <w:kern w:val="0"/>
                <w:sz w:val="24"/>
                <w:highlight w:val="none"/>
              </w:rPr>
              <w:t>为允许建设项目</w:t>
            </w:r>
            <w:r>
              <w:rPr>
                <w:rFonts w:hint="eastAsia" w:ascii="Times New Roman" w:hAnsi="Times New Roman" w:cs="Times New Roman"/>
                <w:bCs/>
                <w:color w:val="auto"/>
                <w:kern w:val="0"/>
                <w:sz w:val="24"/>
                <w:highlight w:val="none"/>
              </w:rPr>
              <w:t>。</w:t>
            </w:r>
            <w:r>
              <w:rPr>
                <w:rFonts w:ascii="Times New Roman" w:hAnsi="Times New Roman" w:cs="Times New Roman"/>
                <w:bCs/>
                <w:color w:val="auto"/>
                <w:kern w:val="0"/>
                <w:sz w:val="24"/>
                <w:highlight w:val="none"/>
              </w:rPr>
              <w:t>同时，</w:t>
            </w:r>
            <w:r>
              <w:rPr>
                <w:rFonts w:ascii="Times New Roman" w:hAnsi="Times New Roman" w:eastAsia="宋体" w:cs="Times New Roman"/>
                <w:color w:val="auto"/>
                <w:kern w:val="0"/>
                <w:sz w:val="24"/>
                <w:szCs w:val="24"/>
                <w:highlight w:val="none"/>
              </w:rPr>
              <w:t>项目已取得了淮南市谢家集区发展和改革委员会出具的备案文件，项目编码为</w:t>
            </w:r>
            <w:r>
              <w:rPr>
                <w:rFonts w:hint="eastAsia" w:ascii="Times New Roman" w:hAnsi="Times New Roman" w:eastAsia="宋体" w:cs="Times New Roman"/>
                <w:color w:val="auto"/>
                <w:kern w:val="0"/>
                <w:sz w:val="24"/>
                <w:szCs w:val="24"/>
                <w:highlight w:val="none"/>
              </w:rPr>
              <w:t>2503-340404-04-01-507916</w:t>
            </w:r>
            <w:r>
              <w:rPr>
                <w:rFonts w:ascii="Times New Roman" w:hAnsi="Times New Roman" w:eastAsia="宋体" w:cs="Times New Roman"/>
                <w:color w:val="auto"/>
                <w:kern w:val="0"/>
                <w:sz w:val="24"/>
                <w:szCs w:val="24"/>
                <w:highlight w:val="none"/>
              </w:rPr>
              <w:t>。因此，本项目建设符合国家产业政策要求。</w:t>
            </w:r>
          </w:p>
          <w:p w14:paraId="72D1B5F3">
            <w:pPr>
              <w:adjustRightInd w:val="0"/>
              <w:snapToGrid w:val="0"/>
              <w:spacing w:line="360" w:lineRule="auto"/>
              <w:ind w:firstLine="482" w:firstLineChars="200"/>
              <w:rPr>
                <w:rFonts w:ascii="Times New Roman" w:hAnsi="Times New Roman" w:eastAsia="宋体" w:cs="Times New Roman"/>
                <w:b/>
                <w:color w:val="auto"/>
                <w:kern w:val="0"/>
                <w:sz w:val="24"/>
                <w:szCs w:val="24"/>
                <w:highlight w:val="none"/>
              </w:rPr>
            </w:pPr>
            <w:r>
              <w:rPr>
                <w:rFonts w:hint="eastAsia" w:ascii="Times New Roman" w:hAnsi="Times New Roman" w:eastAsia="宋体" w:cs="Times New Roman"/>
                <w:b/>
                <w:color w:val="auto"/>
                <w:kern w:val="0"/>
                <w:sz w:val="24"/>
                <w:szCs w:val="24"/>
                <w:highlight w:val="none"/>
              </w:rPr>
              <w:t>2、选址符合性分析</w:t>
            </w:r>
          </w:p>
          <w:p w14:paraId="59790AD3">
            <w:pPr>
              <w:adjustRightInd w:val="0"/>
              <w:snapToGrid w:val="0"/>
              <w:spacing w:line="360" w:lineRule="auto"/>
              <w:ind w:firstLine="480" w:firstLineChars="200"/>
              <w:rPr>
                <w:rFonts w:ascii="Times New Roman" w:hAnsi="Times New Roman" w:eastAsia="宋体" w:cs="Times New Roman"/>
                <w:color w:val="auto"/>
                <w:kern w:val="0"/>
                <w:sz w:val="24"/>
                <w:szCs w:val="24"/>
                <w:highlight w:val="none"/>
              </w:rPr>
            </w:pPr>
            <w:r>
              <w:rPr>
                <w:rFonts w:hint="eastAsia" w:ascii="Times New Roman" w:hAnsi="Times New Roman" w:eastAsia="宋体" w:cs="Times New Roman"/>
                <w:color w:val="auto"/>
                <w:kern w:val="0"/>
                <w:sz w:val="24"/>
                <w:szCs w:val="24"/>
                <w:highlight w:val="none"/>
              </w:rPr>
              <w:t>（1）</w:t>
            </w:r>
            <w:r>
              <w:rPr>
                <w:rFonts w:ascii="Times New Roman" w:hAnsi="Times New Roman" w:eastAsia="宋体" w:cs="Times New Roman"/>
                <w:color w:val="auto"/>
                <w:kern w:val="0"/>
                <w:sz w:val="24"/>
                <w:szCs w:val="24"/>
                <w:highlight w:val="none"/>
              </w:rPr>
              <w:t>选址合理性分析</w:t>
            </w:r>
          </w:p>
          <w:p w14:paraId="4625E89F">
            <w:pPr>
              <w:adjustRightInd w:val="0"/>
              <w:snapToGrid w:val="0"/>
              <w:spacing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本项目</w:t>
            </w:r>
            <w:r>
              <w:rPr>
                <w:rFonts w:hint="eastAsia" w:ascii="Times New Roman" w:hAnsi="Times New Roman" w:eastAsia="宋体" w:cs="Times New Roman"/>
                <w:color w:val="auto"/>
                <w:kern w:val="0"/>
                <w:sz w:val="24"/>
                <w:szCs w:val="24"/>
                <w:highlight w:val="none"/>
              </w:rPr>
              <w:t>选址</w:t>
            </w:r>
            <w:r>
              <w:rPr>
                <w:rFonts w:ascii="Times New Roman" w:hAnsi="Times New Roman" w:eastAsia="宋体" w:cs="Times New Roman"/>
                <w:color w:val="auto"/>
                <w:kern w:val="0"/>
                <w:sz w:val="24"/>
                <w:szCs w:val="24"/>
                <w:highlight w:val="none"/>
              </w:rPr>
              <w:t>于</w:t>
            </w:r>
            <w:r>
              <w:rPr>
                <w:rFonts w:hint="eastAsia" w:ascii="Times New Roman" w:hAnsi="Times New Roman" w:cs="Times New Roman"/>
                <w:color w:val="auto"/>
                <w:sz w:val="24"/>
                <w:szCs w:val="24"/>
                <w:highlight w:val="none"/>
              </w:rPr>
              <w:t>安徽省淮南市谢家集区汽配产业园3号厂房</w:t>
            </w:r>
            <w:r>
              <w:rPr>
                <w:rFonts w:hint="eastAsia" w:ascii="Times New Roman" w:hAnsi="Times New Roman" w:eastAsia="宋体" w:cs="Times New Roman"/>
                <w:color w:val="auto"/>
                <w:kern w:val="0"/>
                <w:sz w:val="24"/>
                <w:szCs w:val="24"/>
                <w:highlight w:val="none"/>
              </w:rPr>
              <w:t>，根据</w:t>
            </w:r>
            <w:r>
              <w:rPr>
                <w:rFonts w:ascii="Times New Roman" w:cs="Times New Roman" w:hAnsiTheme="minorEastAsia"/>
                <w:color w:val="auto"/>
                <w:kern w:val="0"/>
                <w:sz w:val="24"/>
                <w:szCs w:val="24"/>
                <w:highlight w:val="none"/>
              </w:rPr>
              <w:t>淮南高新区智造园区（原安徽淮南工业园区）总体发展规划用地布局规划图</w:t>
            </w:r>
            <w:r>
              <w:rPr>
                <w:rFonts w:hint="eastAsia" w:ascii="Times New Roman" w:hAnsi="Times New Roman" w:eastAsia="宋体" w:cs="Times New Roman"/>
                <w:color w:val="auto"/>
                <w:kern w:val="0"/>
                <w:sz w:val="24"/>
                <w:szCs w:val="24"/>
                <w:highlight w:val="none"/>
              </w:rPr>
              <w:t>，本项目</w:t>
            </w:r>
            <w:r>
              <w:rPr>
                <w:rFonts w:ascii="Times New Roman" w:hAnsi="Times New Roman" w:eastAsia="宋体" w:cs="Times New Roman"/>
                <w:color w:val="auto"/>
                <w:kern w:val="0"/>
                <w:sz w:val="24"/>
                <w:szCs w:val="24"/>
                <w:highlight w:val="none"/>
              </w:rPr>
              <w:t>占地类型为工业用地</w:t>
            </w:r>
            <w:r>
              <w:rPr>
                <w:rFonts w:hint="eastAsia" w:ascii="Times New Roman" w:hAnsi="Times New Roman" w:eastAsia="宋体" w:cs="Times New Roman"/>
                <w:color w:val="auto"/>
                <w:kern w:val="0"/>
                <w:sz w:val="24"/>
                <w:szCs w:val="24"/>
                <w:highlight w:val="none"/>
              </w:rPr>
              <w:t>。</w:t>
            </w:r>
          </w:p>
          <w:p w14:paraId="3FC12AAB">
            <w:pPr>
              <w:adjustRightInd w:val="0"/>
              <w:snapToGrid w:val="0"/>
              <w:spacing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区域环境质量良好，</w:t>
            </w:r>
            <w:r>
              <w:rPr>
                <w:rFonts w:hint="eastAsia" w:ascii="Times New Roman" w:hAnsi="Times New Roman" w:eastAsia="宋体" w:cs="Times New Roman"/>
                <w:color w:val="auto"/>
                <w:kern w:val="0"/>
                <w:sz w:val="24"/>
                <w:szCs w:val="24"/>
                <w:highlight w:val="none"/>
              </w:rPr>
              <w:t>地表水环境满足《地表水环境质量标准》（GB3838</w:t>
            </w:r>
            <w:r>
              <w:rPr>
                <w:rFonts w:ascii="Times New Roman" w:hAnsi="Times New Roman" w:eastAsia="宋体" w:cs="Times New Roman"/>
                <w:color w:val="auto"/>
                <w:kern w:val="0"/>
                <w:sz w:val="24"/>
                <w:szCs w:val="24"/>
                <w:highlight w:val="none"/>
              </w:rPr>
              <w:t>-</w:t>
            </w:r>
            <w:r>
              <w:rPr>
                <w:rFonts w:hint="eastAsia" w:ascii="Times New Roman" w:hAnsi="Times New Roman" w:eastAsia="宋体" w:cs="Times New Roman"/>
                <w:color w:val="auto"/>
                <w:kern w:val="0"/>
                <w:sz w:val="24"/>
                <w:szCs w:val="24"/>
                <w:highlight w:val="none"/>
              </w:rPr>
              <w:t>2002）中</w:t>
            </w:r>
            <w:r>
              <w:rPr>
                <w:rFonts w:ascii="Times New Roman" w:hAnsi="Times New Roman" w:eastAsia="宋体" w:cs="Times New Roman"/>
                <w:color w:val="auto"/>
                <w:kern w:val="0"/>
                <w:sz w:val="24"/>
                <w:szCs w:val="24"/>
                <w:highlight w:val="none"/>
              </w:rPr>
              <w:t>Ⅲ类</w:t>
            </w:r>
            <w:r>
              <w:rPr>
                <w:rFonts w:hint="eastAsia" w:ascii="Times New Roman" w:hAnsi="Times New Roman" w:eastAsia="宋体" w:cs="Times New Roman"/>
                <w:color w:val="auto"/>
                <w:kern w:val="0"/>
                <w:sz w:val="24"/>
                <w:szCs w:val="24"/>
                <w:highlight w:val="none"/>
              </w:rPr>
              <w:t>标准要求；区域</w:t>
            </w:r>
            <w:r>
              <w:rPr>
                <w:rFonts w:ascii="Times New Roman" w:hAnsi="Times New Roman" w:eastAsia="宋体" w:cs="Times New Roman"/>
                <w:color w:val="auto"/>
                <w:kern w:val="0"/>
                <w:sz w:val="24"/>
                <w:szCs w:val="24"/>
                <w:highlight w:val="none"/>
              </w:rPr>
              <w:t>大气环境</w:t>
            </w:r>
            <w:r>
              <w:rPr>
                <w:rFonts w:hint="eastAsia" w:ascii="Times New Roman" w:hAnsi="Times New Roman" w:eastAsia="宋体" w:cs="Times New Roman"/>
                <w:color w:val="auto"/>
                <w:kern w:val="0"/>
                <w:sz w:val="24"/>
                <w:szCs w:val="24"/>
                <w:highlight w:val="none"/>
              </w:rPr>
              <w:t>（除PM</w:t>
            </w:r>
            <w:r>
              <w:rPr>
                <w:rFonts w:hint="eastAsia" w:ascii="Times New Roman" w:hAnsi="Times New Roman" w:eastAsia="宋体" w:cs="Times New Roman"/>
                <w:color w:val="auto"/>
                <w:kern w:val="0"/>
                <w:sz w:val="24"/>
                <w:szCs w:val="24"/>
                <w:highlight w:val="none"/>
                <w:vertAlign w:val="subscript"/>
              </w:rPr>
              <w:t>2.5</w:t>
            </w:r>
            <w:r>
              <w:rPr>
                <w:rFonts w:hint="eastAsia" w:ascii="Times New Roman" w:hAnsi="Times New Roman" w:eastAsia="宋体" w:cs="Times New Roman"/>
                <w:color w:val="auto"/>
                <w:kern w:val="0"/>
                <w:sz w:val="24"/>
                <w:szCs w:val="24"/>
                <w:highlight w:val="none"/>
              </w:rPr>
              <w:t>超标），其他基本污染物基本</w:t>
            </w:r>
            <w:r>
              <w:rPr>
                <w:rFonts w:ascii="Times New Roman" w:hAnsi="Times New Roman" w:eastAsia="宋体" w:cs="Times New Roman"/>
                <w:color w:val="auto"/>
                <w:kern w:val="0"/>
                <w:sz w:val="24"/>
                <w:szCs w:val="24"/>
                <w:highlight w:val="none"/>
              </w:rPr>
              <w:t>满足《环境空气质量标准》</w:t>
            </w:r>
            <w:r>
              <w:rPr>
                <w:rFonts w:hint="eastAsia" w:ascii="Times New Roman" w:hAnsi="Times New Roman" w:eastAsia="宋体" w:cs="Times New Roman"/>
                <w:color w:val="auto"/>
                <w:kern w:val="0"/>
                <w:sz w:val="24"/>
                <w:szCs w:val="24"/>
                <w:highlight w:val="none"/>
              </w:rPr>
              <w:t>（</w:t>
            </w:r>
            <w:r>
              <w:rPr>
                <w:rFonts w:ascii="Times New Roman" w:hAnsi="Times New Roman" w:eastAsia="宋体" w:cs="Times New Roman"/>
                <w:color w:val="auto"/>
                <w:kern w:val="0"/>
                <w:sz w:val="24"/>
                <w:szCs w:val="24"/>
                <w:highlight w:val="none"/>
              </w:rPr>
              <w:t>GB3095-2012</w:t>
            </w:r>
            <w:r>
              <w:rPr>
                <w:rFonts w:hint="eastAsia" w:ascii="Times New Roman" w:hAnsi="Times New Roman" w:eastAsia="宋体" w:cs="Times New Roman"/>
                <w:color w:val="auto"/>
                <w:kern w:val="0"/>
                <w:sz w:val="24"/>
                <w:szCs w:val="24"/>
                <w:highlight w:val="none"/>
              </w:rPr>
              <w:t>）</w:t>
            </w:r>
            <w:r>
              <w:rPr>
                <w:rFonts w:ascii="Times New Roman" w:hAnsi="Times New Roman" w:eastAsia="宋体" w:cs="Times New Roman"/>
                <w:color w:val="auto"/>
                <w:kern w:val="0"/>
                <w:sz w:val="24"/>
                <w:szCs w:val="24"/>
                <w:highlight w:val="none"/>
              </w:rPr>
              <w:t>中的二级标准要求，项目区域对项目无制约因素</w:t>
            </w:r>
            <w:r>
              <w:rPr>
                <w:rFonts w:hint="eastAsia" w:ascii="Times New Roman" w:hAnsi="Times New Roman" w:eastAsia="宋体" w:cs="Times New Roman"/>
                <w:color w:val="auto"/>
                <w:kern w:val="0"/>
                <w:sz w:val="24"/>
                <w:szCs w:val="24"/>
                <w:highlight w:val="none"/>
              </w:rPr>
              <w:t>。</w:t>
            </w:r>
          </w:p>
          <w:p w14:paraId="79912B2D">
            <w:pPr>
              <w:adjustRightInd w:val="0"/>
              <w:spacing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因此项目选址较为合理。</w:t>
            </w:r>
          </w:p>
          <w:p w14:paraId="7214A458">
            <w:pPr>
              <w:adjustRightInd w:val="0"/>
              <w:spacing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w:t>
            </w:r>
            <w:r>
              <w:rPr>
                <w:rFonts w:hint="eastAsia" w:ascii="Times New Roman" w:hAnsi="Times New Roman" w:eastAsia="宋体" w:cs="Times New Roman"/>
                <w:color w:val="auto"/>
                <w:kern w:val="0"/>
                <w:sz w:val="24"/>
                <w:szCs w:val="24"/>
                <w:highlight w:val="none"/>
              </w:rPr>
              <w:t>2</w:t>
            </w:r>
            <w:r>
              <w:rPr>
                <w:rFonts w:ascii="Times New Roman" w:hAnsi="Times New Roman" w:eastAsia="宋体" w:cs="Times New Roman"/>
                <w:color w:val="auto"/>
                <w:kern w:val="0"/>
                <w:sz w:val="24"/>
                <w:szCs w:val="24"/>
                <w:highlight w:val="none"/>
              </w:rPr>
              <w:t>）环境相容性分析</w:t>
            </w:r>
          </w:p>
          <w:p w14:paraId="3E065BB2">
            <w:pPr>
              <w:spacing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本项目</w:t>
            </w:r>
            <w:r>
              <w:rPr>
                <w:rFonts w:hint="eastAsia" w:ascii="Times New Roman" w:hAnsi="Times New Roman" w:eastAsia="宋体" w:cs="Times New Roman"/>
                <w:color w:val="auto"/>
                <w:kern w:val="0"/>
                <w:sz w:val="24"/>
                <w:szCs w:val="24"/>
                <w:highlight w:val="none"/>
              </w:rPr>
              <w:t>位于</w:t>
            </w:r>
            <w:r>
              <w:rPr>
                <w:rFonts w:hint="eastAsia" w:ascii="Times New Roman" w:hAnsi="Times New Roman" w:cs="Times New Roman"/>
                <w:color w:val="auto"/>
                <w:sz w:val="24"/>
                <w:szCs w:val="24"/>
                <w:highlight w:val="none"/>
              </w:rPr>
              <w:t>安徽省淮南市谢家集区汽配产业园3号厂房</w:t>
            </w:r>
            <w:r>
              <w:rPr>
                <w:rFonts w:ascii="Times New Roman" w:hAnsi="Times New Roman" w:eastAsia="宋体" w:cs="Times New Roman"/>
                <w:color w:val="auto"/>
                <w:kern w:val="0"/>
                <w:sz w:val="24"/>
                <w:szCs w:val="24"/>
                <w:highlight w:val="none"/>
              </w:rPr>
              <w:t>，周边无特殊保护文物古迹、自然保护区和特殊环境制约因素。</w:t>
            </w:r>
            <w:r>
              <w:rPr>
                <w:rFonts w:hint="eastAsia" w:ascii="Times New Roman" w:hAnsi="Times New Roman" w:eastAsia="宋体" w:cs="Times New Roman"/>
                <w:color w:val="auto"/>
                <w:kern w:val="0"/>
                <w:sz w:val="24"/>
                <w:szCs w:val="24"/>
                <w:highlight w:val="none"/>
              </w:rPr>
              <w:t>企业周边均为工业生产企业，本项目500m范围内存在2处敏感点，其中距离厂界最近的敏感点为东南侧的北路岗，距离厂界266m。本项目生产环节主要涉及汽车零部件的涂装，生产环节产生的</w:t>
            </w:r>
            <w:r>
              <w:rPr>
                <w:rFonts w:ascii="Times New Roman" w:hAnsi="Times New Roman" w:eastAsia="宋体" w:cs="Times New Roman"/>
                <w:bCs/>
                <w:color w:val="auto"/>
                <w:sz w:val="24"/>
                <w:szCs w:val="24"/>
                <w:highlight w:val="none"/>
              </w:rPr>
              <w:t>喷底漆废气</w:t>
            </w:r>
            <w:r>
              <w:rPr>
                <w:rFonts w:hint="eastAsia" w:ascii="Times New Roman" w:hAnsi="Times New Roman" w:eastAsia="宋体" w:cs="Times New Roman"/>
                <w:bCs/>
                <w:color w:val="auto"/>
                <w:sz w:val="24"/>
                <w:szCs w:val="24"/>
                <w:highlight w:val="none"/>
              </w:rPr>
              <w:t>、</w:t>
            </w:r>
            <w:r>
              <w:rPr>
                <w:rFonts w:ascii="Times New Roman" w:hAnsi="Times New Roman" w:eastAsia="宋体" w:cs="Times New Roman"/>
                <w:bCs/>
                <w:color w:val="auto"/>
                <w:sz w:val="24"/>
                <w:szCs w:val="24"/>
                <w:highlight w:val="none"/>
              </w:rPr>
              <w:t>喷</w:t>
            </w:r>
            <w:r>
              <w:rPr>
                <w:rFonts w:hint="eastAsia" w:ascii="Times New Roman" w:hAnsi="Times New Roman" w:eastAsia="宋体" w:cs="Times New Roman"/>
                <w:bCs/>
                <w:color w:val="auto"/>
                <w:sz w:val="24"/>
                <w:szCs w:val="24"/>
                <w:highlight w:val="none"/>
              </w:rPr>
              <w:t>面</w:t>
            </w:r>
            <w:r>
              <w:rPr>
                <w:rFonts w:ascii="Times New Roman" w:hAnsi="Times New Roman" w:eastAsia="宋体" w:cs="Times New Roman"/>
                <w:bCs/>
                <w:color w:val="auto"/>
                <w:sz w:val="24"/>
                <w:szCs w:val="24"/>
                <w:highlight w:val="none"/>
              </w:rPr>
              <w:t>漆废气</w:t>
            </w:r>
            <w:r>
              <w:rPr>
                <w:rFonts w:hint="eastAsia" w:ascii="Times New Roman" w:hAnsi="Times New Roman" w:eastAsia="宋体" w:cs="Times New Roman"/>
                <w:bCs/>
                <w:color w:val="auto"/>
                <w:sz w:val="24"/>
                <w:szCs w:val="24"/>
                <w:highlight w:val="none"/>
              </w:rPr>
              <w:t>、调底漆废气、调面漆废气、</w:t>
            </w:r>
            <w:r>
              <w:rPr>
                <w:rFonts w:hint="eastAsia" w:ascii="Times New Roman" w:hAnsi="Times New Roman" w:eastAsia="宋体" w:cs="Times New Roman"/>
                <w:bCs/>
                <w:color w:val="auto"/>
                <w:sz w:val="24"/>
                <w:szCs w:val="24"/>
                <w:highlight w:val="none"/>
                <w:lang w:val="en-US" w:eastAsia="zh-CN"/>
              </w:rPr>
              <w:t>喷漆</w:t>
            </w:r>
            <w:r>
              <w:rPr>
                <w:rFonts w:hint="eastAsia" w:ascii="Times New Roman" w:hAnsi="Times New Roman" w:eastAsia="宋体" w:cs="Times New Roman"/>
                <w:bCs/>
                <w:color w:val="auto"/>
                <w:sz w:val="24"/>
                <w:szCs w:val="24"/>
                <w:highlight w:val="none"/>
              </w:rPr>
              <w:t>烘干废气、危险废物暂存间废气</w:t>
            </w:r>
            <w:r>
              <w:rPr>
                <w:rFonts w:hint="eastAsia" w:ascii="Times New Roman" w:hAnsi="Times New Roman" w:eastAsia="宋体" w:cs="Times New Roman"/>
                <w:bCs/>
                <w:color w:val="auto"/>
                <w:sz w:val="24"/>
                <w:szCs w:val="24"/>
                <w:highlight w:val="none"/>
                <w:lang w:val="en-US" w:eastAsia="zh-CN"/>
              </w:rPr>
              <w:t>等</w:t>
            </w:r>
            <w:r>
              <w:rPr>
                <w:rFonts w:hint="eastAsia" w:ascii="Times New Roman" w:hAnsi="Times New Roman" w:eastAsia="宋体" w:cs="Times New Roman"/>
                <w:bCs/>
                <w:color w:val="auto"/>
                <w:sz w:val="24"/>
                <w:szCs w:val="24"/>
                <w:highlight w:val="none"/>
              </w:rPr>
              <w:t>通过废气收集和处理设施后均达标排放；</w:t>
            </w:r>
            <w:r>
              <w:rPr>
                <w:rFonts w:ascii="Times New Roman" w:hAnsi="Times New Roman" w:eastAsia="宋体" w:cs="Times New Roman"/>
                <w:color w:val="auto"/>
                <w:sz w:val="24"/>
                <w:szCs w:val="24"/>
                <w:highlight w:val="none"/>
              </w:rPr>
              <w:t>生活污水经化粪池预处理后排入八公山</w:t>
            </w:r>
            <w:r>
              <w:rPr>
                <w:rFonts w:hint="eastAsia" w:ascii="Times New Roman" w:hAnsi="Times New Roman" w:eastAsia="宋体" w:cs="Times New Roman"/>
                <w:color w:val="auto"/>
                <w:sz w:val="24"/>
                <w:szCs w:val="24"/>
                <w:highlight w:val="none"/>
              </w:rPr>
              <w:t>污水处理厂</w:t>
            </w:r>
            <w:r>
              <w:rPr>
                <w:rFonts w:ascii="Times New Roman" w:hAnsi="Times New Roman" w:eastAsia="宋体" w:cs="Times New Roman"/>
                <w:color w:val="auto"/>
                <w:sz w:val="24"/>
                <w:szCs w:val="24"/>
                <w:highlight w:val="none"/>
              </w:rPr>
              <w:t>处理，</w:t>
            </w:r>
            <w:r>
              <w:rPr>
                <w:rFonts w:hint="eastAsia" w:ascii="Times New Roman" w:hAnsi="Times New Roman" w:eastAsia="宋体" w:cs="Times New Roman"/>
                <w:bCs/>
                <w:color w:val="auto"/>
                <w:sz w:val="24"/>
                <w:szCs w:val="24"/>
                <w:highlight w:val="none"/>
              </w:rPr>
              <w:t>废涂料桶、废漆渣、废过滤棉、废活性炭、水帘喷漆装置定期更换的废液、废润滑油、废润滑油桶</w:t>
            </w:r>
            <w:r>
              <w:rPr>
                <w:rFonts w:hint="eastAsia" w:ascii="Times New Roman" w:hAnsi="Times New Roman" w:eastAsia="宋体" w:cs="Times New Roman"/>
                <w:bCs/>
                <w:color w:val="auto"/>
                <w:sz w:val="24"/>
                <w:szCs w:val="24"/>
                <w:highlight w:val="none"/>
                <w:lang w:val="en-US" w:eastAsia="zh-CN"/>
              </w:rPr>
              <w:t>等危险废物</w:t>
            </w:r>
            <w:r>
              <w:rPr>
                <w:rFonts w:hint="eastAsia" w:ascii="Times New Roman" w:hAnsi="Times New Roman" w:eastAsia="宋体" w:cs="Times New Roman"/>
                <w:bCs/>
                <w:color w:val="auto"/>
                <w:sz w:val="24"/>
                <w:szCs w:val="24"/>
                <w:highlight w:val="none"/>
              </w:rPr>
              <w:t>暂存</w:t>
            </w:r>
            <w:r>
              <w:rPr>
                <w:rFonts w:ascii="Times New Roman" w:hAnsi="Times New Roman" w:eastAsia="宋体" w:cs="Times New Roman"/>
                <w:bCs/>
                <w:color w:val="auto"/>
                <w:sz w:val="24"/>
                <w:szCs w:val="24"/>
                <w:highlight w:val="none"/>
              </w:rPr>
              <w:t>于危险废物暂存间内，定期委托有资质单位进行处置</w:t>
            </w:r>
            <w:r>
              <w:rPr>
                <w:rFonts w:hint="eastAsia" w:ascii="Times New Roman" w:hAnsi="Times New Roman" w:eastAsia="宋体" w:cs="Times New Roman"/>
                <w:color w:val="auto"/>
                <w:kern w:val="0"/>
                <w:sz w:val="24"/>
                <w:szCs w:val="24"/>
                <w:highlight w:val="none"/>
              </w:rPr>
              <w:t>；</w:t>
            </w:r>
            <w:r>
              <w:rPr>
                <w:rFonts w:hint="eastAsia" w:ascii="Times New Roman" w:hAnsi="Times New Roman" w:eastAsia="宋体" w:cs="Times New Roman"/>
                <w:color w:val="auto"/>
                <w:sz w:val="24"/>
                <w:szCs w:val="24"/>
                <w:highlight w:val="none"/>
              </w:rPr>
              <w:t>废羊毛球</w:t>
            </w:r>
            <w:r>
              <w:rPr>
                <w:rFonts w:ascii="Times New Roman" w:hAnsi="Times New Roman" w:eastAsia="宋体" w:cs="Times New Roman"/>
                <w:color w:val="auto"/>
                <w:sz w:val="24"/>
                <w:szCs w:val="24"/>
                <w:highlight w:val="none"/>
              </w:rPr>
              <w:t>定期外售综合利用</w:t>
            </w:r>
            <w:r>
              <w:rPr>
                <w:rFonts w:hint="eastAsia" w:ascii="Times New Roman" w:hAnsi="Times New Roman" w:eastAsia="宋体" w:cs="Times New Roman"/>
                <w:color w:val="auto"/>
                <w:sz w:val="24"/>
                <w:szCs w:val="24"/>
                <w:highlight w:val="none"/>
              </w:rPr>
              <w:t>；生活垃圾由环卫部门清运，</w:t>
            </w:r>
            <w:r>
              <w:rPr>
                <w:rFonts w:hint="eastAsia" w:ascii="Times New Roman" w:hAnsi="Times New Roman" w:eastAsia="宋体" w:cs="Times New Roman"/>
                <w:color w:val="auto"/>
                <w:kern w:val="0"/>
                <w:sz w:val="24"/>
                <w:szCs w:val="24"/>
                <w:highlight w:val="none"/>
              </w:rPr>
              <w:t>机械运转产生噪声采取选用低噪声设备、厂房隔声等措施。</w:t>
            </w:r>
          </w:p>
          <w:p w14:paraId="6AF7889A">
            <w:pPr>
              <w:spacing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本项目在</w:t>
            </w:r>
            <w:r>
              <w:rPr>
                <w:rFonts w:hint="eastAsia" w:ascii="Times New Roman" w:hAnsi="Times New Roman" w:eastAsia="宋体" w:cs="Times New Roman"/>
                <w:color w:val="auto"/>
                <w:kern w:val="0"/>
                <w:sz w:val="24"/>
                <w:szCs w:val="24"/>
                <w:highlight w:val="none"/>
                <w:lang w:val="en-US" w:eastAsia="zh-CN"/>
              </w:rPr>
              <w:t>运营期</w:t>
            </w:r>
            <w:r>
              <w:rPr>
                <w:rFonts w:ascii="Times New Roman" w:hAnsi="Times New Roman" w:eastAsia="宋体" w:cs="Times New Roman"/>
                <w:color w:val="auto"/>
                <w:kern w:val="0"/>
                <w:sz w:val="24"/>
                <w:szCs w:val="24"/>
                <w:highlight w:val="none"/>
              </w:rPr>
              <w:t>所产生的</w:t>
            </w:r>
            <w:r>
              <w:rPr>
                <w:rFonts w:hint="eastAsia" w:ascii="Times New Roman" w:hAnsi="Times New Roman" w:eastAsia="宋体" w:cs="Times New Roman"/>
                <w:color w:val="auto"/>
                <w:kern w:val="0"/>
                <w:sz w:val="24"/>
                <w:szCs w:val="24"/>
                <w:highlight w:val="none"/>
                <w:lang w:val="en-US" w:eastAsia="zh-CN"/>
              </w:rPr>
              <w:t>各类</w:t>
            </w:r>
            <w:r>
              <w:rPr>
                <w:rFonts w:ascii="Times New Roman" w:hAnsi="Times New Roman" w:eastAsia="宋体" w:cs="Times New Roman"/>
                <w:color w:val="auto"/>
                <w:kern w:val="0"/>
                <w:sz w:val="24"/>
                <w:szCs w:val="24"/>
                <w:highlight w:val="none"/>
              </w:rPr>
              <w:t>污染物经合理处置后，对项目区周围环境影响</w:t>
            </w:r>
            <w:r>
              <w:rPr>
                <w:rFonts w:hint="eastAsia" w:ascii="Times New Roman" w:hAnsi="Times New Roman" w:eastAsia="宋体" w:cs="Times New Roman"/>
                <w:color w:val="auto"/>
                <w:kern w:val="0"/>
                <w:sz w:val="24"/>
                <w:szCs w:val="24"/>
                <w:highlight w:val="none"/>
                <w:lang w:val="en-US" w:eastAsia="zh-CN"/>
              </w:rPr>
              <w:t>较小</w:t>
            </w:r>
            <w:r>
              <w:rPr>
                <w:rFonts w:ascii="Times New Roman" w:hAnsi="Times New Roman" w:eastAsia="宋体" w:cs="Times New Roman"/>
                <w:color w:val="auto"/>
                <w:kern w:val="0"/>
                <w:sz w:val="24"/>
                <w:szCs w:val="24"/>
                <w:highlight w:val="none"/>
              </w:rPr>
              <w:t>，不会改变当地的环境功能，因此，本项目的建设与周围环境具有相容性，选址合理。</w:t>
            </w:r>
          </w:p>
          <w:p w14:paraId="3E32C5A3">
            <w:pPr>
              <w:adjustRightInd w:val="0"/>
              <w:spacing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综上所述，从规划符合性、环境相容性等方面考虑，本项目建设选址是可行的。</w:t>
            </w:r>
          </w:p>
          <w:p w14:paraId="77E28CC6">
            <w:pPr>
              <w:adjustRightInd w:val="0"/>
              <w:snapToGrid w:val="0"/>
              <w:spacing w:line="276" w:lineRule="auto"/>
              <w:ind w:firstLine="482" w:firstLineChars="200"/>
              <w:rPr>
                <w:rFonts w:ascii="Times New Roman" w:hAnsi="Times New Roman" w:cs="Times New Roman"/>
                <w:b/>
                <w:color w:val="auto"/>
                <w:kern w:val="0"/>
                <w:sz w:val="24"/>
                <w:szCs w:val="24"/>
                <w:highlight w:val="none"/>
              </w:rPr>
            </w:pPr>
            <w:r>
              <w:rPr>
                <w:rFonts w:hint="eastAsia" w:ascii="Times New Roman" w:hAnsi="Times New Roman" w:cs="Times New Roman"/>
                <w:b/>
                <w:color w:val="auto"/>
                <w:kern w:val="0"/>
                <w:sz w:val="24"/>
                <w:szCs w:val="24"/>
                <w:highlight w:val="none"/>
                <w:lang w:val="en-US" w:eastAsia="zh-CN"/>
              </w:rPr>
              <w:t>3</w:t>
            </w:r>
            <w:r>
              <w:rPr>
                <w:rFonts w:ascii="Times New Roman" w:hAnsi="Times New Roman" w:cs="Times New Roman"/>
                <w:b/>
                <w:color w:val="auto"/>
                <w:kern w:val="0"/>
                <w:sz w:val="24"/>
                <w:szCs w:val="24"/>
                <w:highlight w:val="none"/>
              </w:rPr>
              <w:t>、与《挥发性有机物治理实用手册》相符性分析</w:t>
            </w:r>
          </w:p>
          <w:p w14:paraId="671F9E90">
            <w:pPr>
              <w:adjustRightInd w:val="0"/>
              <w:snapToGrid w:val="0"/>
              <w:spacing w:line="276" w:lineRule="auto"/>
              <w:jc w:val="center"/>
              <w:rPr>
                <w:rFonts w:ascii="Times New Roman" w:hAnsi="Times New Roman" w:eastAsia="黑体" w:cs="Times New Roman"/>
                <w:color w:val="auto"/>
                <w:kern w:val="0"/>
                <w:sz w:val="24"/>
                <w:szCs w:val="24"/>
                <w:highlight w:val="none"/>
              </w:rPr>
            </w:pPr>
            <w:r>
              <w:rPr>
                <w:rFonts w:ascii="Times New Roman" w:hAnsi="Times New Roman" w:eastAsia="黑体" w:cs="Times New Roman"/>
                <w:color w:val="auto"/>
                <w:kern w:val="0"/>
                <w:sz w:val="24"/>
                <w:szCs w:val="24"/>
                <w:highlight w:val="none"/>
              </w:rPr>
              <w:t>表1-</w:t>
            </w:r>
            <w:r>
              <w:rPr>
                <w:rFonts w:hint="eastAsia" w:ascii="Times New Roman" w:hAnsi="Times New Roman" w:eastAsia="黑体" w:cs="Times New Roman"/>
                <w:color w:val="auto"/>
                <w:kern w:val="0"/>
                <w:sz w:val="24"/>
                <w:szCs w:val="24"/>
                <w:highlight w:val="none"/>
                <w:lang w:val="en-US" w:eastAsia="zh-CN"/>
              </w:rPr>
              <w:t>4</w:t>
            </w:r>
            <w:r>
              <w:rPr>
                <w:rFonts w:hint="eastAsia" w:ascii="Times New Roman" w:hAnsi="Times New Roman" w:eastAsia="黑体" w:cs="Times New Roman"/>
                <w:color w:val="auto"/>
                <w:kern w:val="0"/>
                <w:sz w:val="24"/>
                <w:szCs w:val="24"/>
                <w:highlight w:val="none"/>
              </w:rPr>
              <w:t xml:space="preserve">  </w:t>
            </w:r>
            <w:r>
              <w:rPr>
                <w:rFonts w:ascii="Times New Roman" w:hAnsi="Times New Roman" w:eastAsia="黑体" w:cs="Times New Roman"/>
                <w:color w:val="auto"/>
                <w:kern w:val="0"/>
                <w:sz w:val="24"/>
                <w:highlight w:val="none"/>
              </w:rPr>
              <w:t>与《挥发性有机物治理实用手册》相符性分析</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454"/>
              <w:gridCol w:w="3750"/>
              <w:gridCol w:w="2527"/>
              <w:gridCol w:w="455"/>
            </w:tblGrid>
            <w:tr w14:paraId="7F13479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PrEx>
              <w:trPr>
                <w:jc w:val="center"/>
              </w:trPr>
              <w:tc>
                <w:tcPr>
                  <w:tcW w:w="454" w:type="dxa"/>
                  <w:shd w:val="clear" w:color="auto" w:fill="auto"/>
                  <w:vAlign w:val="center"/>
                </w:tcPr>
                <w:p w14:paraId="18F158DA">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序号</w:t>
                  </w:r>
                </w:p>
              </w:tc>
              <w:tc>
                <w:tcPr>
                  <w:tcW w:w="3749" w:type="dxa"/>
                  <w:shd w:val="clear" w:color="auto" w:fill="auto"/>
                  <w:vAlign w:val="center"/>
                </w:tcPr>
                <w:p w14:paraId="5A6E90E8">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措施内容</w:t>
                  </w:r>
                </w:p>
              </w:tc>
              <w:tc>
                <w:tcPr>
                  <w:tcW w:w="2527" w:type="dxa"/>
                  <w:shd w:val="clear" w:color="auto" w:fill="auto"/>
                  <w:vAlign w:val="center"/>
                </w:tcPr>
                <w:p w14:paraId="084D8F47">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本项目措施</w:t>
                  </w:r>
                </w:p>
              </w:tc>
              <w:tc>
                <w:tcPr>
                  <w:tcW w:w="455" w:type="dxa"/>
                  <w:shd w:val="clear" w:color="auto" w:fill="auto"/>
                  <w:vAlign w:val="center"/>
                </w:tcPr>
                <w:p w14:paraId="01E35020">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相符性</w:t>
                  </w:r>
                </w:p>
              </w:tc>
            </w:tr>
            <w:tr w14:paraId="1F535CC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54" w:type="dxa"/>
                  <w:shd w:val="clear" w:color="auto" w:fill="auto"/>
                  <w:vAlign w:val="center"/>
                </w:tcPr>
                <w:p w14:paraId="41256800">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3749" w:type="dxa"/>
                  <w:shd w:val="clear" w:color="auto" w:fill="auto"/>
                  <w:vAlign w:val="center"/>
                </w:tcPr>
                <w:p w14:paraId="2D03FEDC">
                  <w:pPr>
                    <w:pStyle w:val="48"/>
                    <w:autoSpaceDE/>
                    <w:autoSpaceDN/>
                    <w:snapToGrid w:val="0"/>
                    <w:spacing w:line="276" w:lineRule="auto"/>
                    <w:rPr>
                      <w:rFonts w:ascii="Times New Roman" w:cs="Times New Roman"/>
                      <w:color w:val="auto"/>
                      <w:kern w:val="2"/>
                      <w:sz w:val="21"/>
                      <w:szCs w:val="21"/>
                      <w:highlight w:val="none"/>
                    </w:rPr>
                  </w:pPr>
                  <w:r>
                    <w:rPr>
                      <w:rFonts w:ascii="Times New Roman" w:cs="Times New Roman"/>
                      <w:color w:val="auto"/>
                      <w:kern w:val="2"/>
                      <w:sz w:val="21"/>
                      <w:szCs w:val="21"/>
                      <w:highlight w:val="none"/>
                    </w:rPr>
                    <w:t>源头削减</w:t>
                  </w:r>
                </w:p>
                <w:p w14:paraId="69668FBE">
                  <w:pPr>
                    <w:pStyle w:val="48"/>
                    <w:autoSpaceDE/>
                    <w:autoSpaceDN/>
                    <w:snapToGrid w:val="0"/>
                    <w:spacing w:line="276" w:lineRule="auto"/>
                    <w:jc w:val="center"/>
                    <w:rPr>
                      <w:rFonts w:ascii="Times New Roman" w:cs="Times New Roman"/>
                      <w:color w:val="auto"/>
                      <w:kern w:val="2"/>
                      <w:sz w:val="21"/>
                      <w:szCs w:val="21"/>
                      <w:highlight w:val="none"/>
                    </w:rPr>
                  </w:pPr>
                  <w:r>
                    <w:rPr>
                      <w:rFonts w:ascii="Times New Roman" w:cs="Times New Roman"/>
                      <w:color w:val="auto"/>
                      <w:kern w:val="2"/>
                      <w:sz w:val="21"/>
                      <w:szCs w:val="21"/>
                      <w:highlight w:val="none"/>
                    </w:rPr>
                    <w:t>（1）含VOCs原辅材料：使用的涂料、清洗剂、胶粘剂中VOCs含量的限值应符合2020年12月1日起实施的《工业防护涂料中有害物质限量》（GB30981-2020）、《胶粘剂挥发性有机化合物限量》（GB33372-2020）、《清洗剂挥发性有机化合物含量限值》（GB38508-2020）等标准的要求。在同一个工序内，同时使用符合《低挥发性有机化合物含量涂料产品技术要求》(GB/T38597--2020)规定的粉末、无溶剂、辐射固化涂料产品，符合《清洗剂挥发性有机化合物含量限值》(GB38508--2020)规定的水基、半水基清洗剂产品，符合《胶粘剂挥发性有机化合物限量》(GB33372-2020)规定的水基型、本体型胶粘剂产品时，排放浓度稳定达标的，相应生产工序可不执行末端治理设施处理效率不应低于80%的要求。</w:t>
                  </w:r>
                </w:p>
                <w:p w14:paraId="17D33251">
                  <w:pPr>
                    <w:pStyle w:val="48"/>
                    <w:autoSpaceDE/>
                    <w:autoSpaceDN/>
                    <w:snapToGrid w:val="0"/>
                    <w:spacing w:line="276" w:lineRule="auto"/>
                    <w:jc w:val="center"/>
                    <w:rPr>
                      <w:rFonts w:ascii="Times New Roman" w:cs="Times New Roman"/>
                      <w:color w:val="auto"/>
                      <w:kern w:val="2"/>
                      <w:sz w:val="21"/>
                      <w:szCs w:val="21"/>
                      <w:highlight w:val="none"/>
                    </w:rPr>
                  </w:pPr>
                  <w:r>
                    <w:rPr>
                      <w:rFonts w:ascii="Times New Roman" w:cs="Times New Roman"/>
                      <w:color w:val="auto"/>
                      <w:kern w:val="2"/>
                      <w:sz w:val="21"/>
                      <w:szCs w:val="21"/>
                      <w:highlight w:val="none"/>
                    </w:rPr>
                    <w:t>（2）喷涂工艺：除大型工件特殊作业（例如，船舶制造行业的分段总组、船台、船坞、造船码头等涂装工序）外，禁止敞开式喷涂、晾（风）干作业。</w:t>
                  </w:r>
                </w:p>
                <w:p w14:paraId="17B0B5F5">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宜采用静电喷涂、自动喷涂、高压无气喷涂或高流量低压力（HVLP）喷枪等高效涂装技术，减少使用手动空气喷涂技术。</w:t>
                  </w:r>
                </w:p>
              </w:tc>
              <w:tc>
                <w:tcPr>
                  <w:tcW w:w="2527" w:type="dxa"/>
                  <w:shd w:val="clear" w:color="auto" w:fill="auto"/>
                  <w:vAlign w:val="center"/>
                </w:tcPr>
                <w:p w14:paraId="34580822">
                  <w:pPr>
                    <w:adjustRightInd w:val="0"/>
                    <w:snapToGrid w:val="0"/>
                    <w:spacing w:line="276" w:lineRule="auto"/>
                    <w:jc w:val="center"/>
                    <w:rPr>
                      <w:rFonts w:ascii="Times New Roman" w:hAnsi="Times New Roman" w:cs="Times New Roman"/>
                      <w:bCs/>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（1）本项目</w:t>
                  </w:r>
                  <w:r>
                    <w:rPr>
                      <w:rFonts w:hint="eastAsia" w:ascii="Times New Roman" w:hAnsi="Times New Roman" w:cs="Times New Roman"/>
                      <w:bCs/>
                      <w:color w:val="auto"/>
                      <w:kern w:val="0"/>
                      <w:szCs w:val="21"/>
                      <w:highlight w:val="none"/>
                      <w:shd w:val="clear" w:color="auto" w:fill="FFFFFF"/>
                    </w:rPr>
                    <w:t>水性底漆和水性面漆即用状态下</w:t>
                  </w:r>
                  <w:r>
                    <w:rPr>
                      <w:rFonts w:ascii="Times New Roman" w:hAnsi="Times New Roman" w:cs="Times New Roman"/>
                      <w:bCs/>
                      <w:color w:val="auto"/>
                      <w:kern w:val="0"/>
                      <w:szCs w:val="21"/>
                      <w:highlight w:val="none"/>
                      <w:shd w:val="clear" w:color="auto" w:fill="FFFFFF"/>
                    </w:rPr>
                    <w:t>VOCs</w:t>
                  </w:r>
                  <w:r>
                    <w:rPr>
                      <w:rFonts w:hint="eastAsia" w:ascii="Times New Roman" w:hAnsi="Times New Roman" w:cs="Times New Roman"/>
                      <w:bCs/>
                      <w:color w:val="auto"/>
                      <w:kern w:val="0"/>
                      <w:szCs w:val="21"/>
                      <w:highlight w:val="none"/>
                      <w:shd w:val="clear" w:color="auto" w:fill="FFFFFF"/>
                    </w:rPr>
                    <w:t>含量满足《低挥发性有机化合物含量涂料产品技术要求》（GB/T38597-2020）表1水性涂料中VOC含量的要求“汽车原厂涂料（乘用车）”底漆限量值</w:t>
                  </w:r>
                  <w:r>
                    <w:rPr>
                      <w:rFonts w:hint="eastAsia" w:ascii="Times New Roman" w:hAnsi="Times New Roman" w:cs="Times New Roman"/>
                      <w:b/>
                      <w:bCs/>
                      <w:color w:val="auto"/>
                      <w:kern w:val="0"/>
                      <w:szCs w:val="21"/>
                      <w:highlight w:val="none"/>
                      <w:shd w:val="clear" w:color="auto" w:fill="FFFFFF"/>
                    </w:rPr>
                    <w:t>不高于</w:t>
                  </w:r>
                  <w:r>
                    <w:rPr>
                      <w:rFonts w:hint="eastAsia" w:ascii="Times New Roman" w:hAnsi="Times New Roman" w:cs="Times New Roman"/>
                      <w:b/>
                      <w:bCs/>
                      <w:color w:val="auto"/>
                      <w:kern w:val="0"/>
                      <w:szCs w:val="21"/>
                      <w:highlight w:val="none"/>
                      <w:shd w:val="clear" w:color="auto" w:fill="FFFFFF"/>
                      <w:lang w:val="en-US" w:eastAsia="zh-CN"/>
                    </w:rPr>
                    <w:t>420</w:t>
                  </w:r>
                  <w:r>
                    <w:rPr>
                      <w:rFonts w:hint="eastAsia" w:ascii="Times New Roman" w:hAnsi="Times New Roman" w:cs="Times New Roman"/>
                      <w:b/>
                      <w:bCs/>
                      <w:color w:val="auto"/>
                      <w:kern w:val="0"/>
                      <w:szCs w:val="21"/>
                      <w:highlight w:val="none"/>
                      <w:shd w:val="clear" w:color="auto" w:fill="FFFFFF"/>
                    </w:rPr>
                    <w:t>g/L、面漆限量值不高于</w:t>
                  </w:r>
                  <w:r>
                    <w:rPr>
                      <w:rFonts w:hint="eastAsia" w:ascii="Times New Roman" w:hAnsi="Times New Roman" w:cs="Times New Roman"/>
                      <w:b/>
                      <w:bCs/>
                      <w:color w:val="auto"/>
                      <w:kern w:val="0"/>
                      <w:szCs w:val="21"/>
                      <w:highlight w:val="none"/>
                      <w:shd w:val="clear" w:color="auto" w:fill="FFFFFF"/>
                      <w:lang w:val="en-US" w:eastAsia="zh-CN"/>
                    </w:rPr>
                    <w:t>35</w:t>
                  </w:r>
                  <w:r>
                    <w:rPr>
                      <w:rFonts w:hint="eastAsia" w:ascii="Times New Roman" w:hAnsi="Times New Roman" w:cs="Times New Roman"/>
                      <w:b/>
                      <w:bCs/>
                      <w:color w:val="auto"/>
                      <w:kern w:val="0"/>
                      <w:szCs w:val="21"/>
                      <w:highlight w:val="none"/>
                      <w:shd w:val="clear" w:color="auto" w:fill="FFFFFF"/>
                    </w:rPr>
                    <w:t>0g/L</w:t>
                  </w:r>
                  <w:r>
                    <w:rPr>
                      <w:rFonts w:hint="eastAsia" w:ascii="Times New Roman" w:hAnsi="Times New Roman" w:cs="Times New Roman"/>
                      <w:bCs/>
                      <w:color w:val="auto"/>
                      <w:kern w:val="0"/>
                      <w:szCs w:val="21"/>
                      <w:highlight w:val="none"/>
                      <w:shd w:val="clear" w:color="auto" w:fill="FFFFFF"/>
                    </w:rPr>
                    <w:t>的要求，底漆和面漆中甲苯和二甲苯含量为0%，满足《</w:t>
                  </w:r>
                  <w:r>
                    <w:rPr>
                      <w:rFonts w:hint="eastAsia" w:ascii="Times New Roman" w:hAnsi="Times New Roman" w:cs="Times New Roman"/>
                      <w:bCs/>
                      <w:color w:val="auto"/>
                      <w:kern w:val="0"/>
                      <w:szCs w:val="21"/>
                      <w:highlight w:val="none"/>
                      <w:shd w:val="clear" w:color="auto" w:fill="FFFFFF"/>
                      <w:lang w:val="en-US" w:eastAsia="zh-CN"/>
                    </w:rPr>
                    <w:t>涂料中有害物质限量 第2部分：工业涂料</w:t>
                  </w:r>
                  <w:r>
                    <w:rPr>
                      <w:rFonts w:hint="eastAsia" w:ascii="Times New Roman" w:hAnsi="Times New Roman" w:cs="Times New Roman"/>
                      <w:bCs/>
                      <w:color w:val="auto"/>
                      <w:kern w:val="0"/>
                      <w:szCs w:val="21"/>
                      <w:highlight w:val="none"/>
                      <w:shd w:val="clear" w:color="auto" w:fill="FFFFFF"/>
                    </w:rPr>
                    <w:t>》（GB</w:t>
                  </w:r>
                  <w:r>
                    <w:rPr>
                      <w:rFonts w:hint="eastAsia" w:ascii="Times New Roman" w:hAnsi="Times New Roman" w:cs="Times New Roman"/>
                      <w:bCs/>
                      <w:color w:val="auto"/>
                      <w:kern w:val="0"/>
                      <w:szCs w:val="21"/>
                      <w:highlight w:val="none"/>
                      <w:shd w:val="clear" w:color="auto" w:fill="FFFFFF"/>
                      <w:lang w:val="en-US" w:eastAsia="zh-CN"/>
                    </w:rPr>
                    <w:t>30981.2-2025</w:t>
                  </w:r>
                  <w:r>
                    <w:rPr>
                      <w:rFonts w:hint="eastAsia" w:ascii="Times New Roman" w:hAnsi="Times New Roman" w:cs="Times New Roman"/>
                      <w:bCs/>
                      <w:color w:val="auto"/>
                      <w:kern w:val="0"/>
                      <w:szCs w:val="21"/>
                      <w:highlight w:val="none"/>
                      <w:shd w:val="clear" w:color="auto" w:fill="FFFFFF"/>
                    </w:rPr>
                    <w:t>）中甲苯和二甲苯总含量≤</w:t>
                  </w:r>
                  <w:r>
                    <w:rPr>
                      <w:rFonts w:hint="eastAsia" w:ascii="Times New Roman" w:hAnsi="Times New Roman" w:cs="Times New Roman"/>
                      <w:bCs/>
                      <w:color w:val="auto"/>
                      <w:kern w:val="0"/>
                      <w:szCs w:val="21"/>
                      <w:highlight w:val="none"/>
                      <w:shd w:val="clear" w:color="auto" w:fill="FFFFFF"/>
                      <w:lang w:val="en-US" w:eastAsia="zh-CN"/>
                    </w:rPr>
                    <w:t>20</w:t>
                  </w:r>
                  <w:r>
                    <w:rPr>
                      <w:rFonts w:hint="eastAsia" w:ascii="Times New Roman" w:hAnsi="Times New Roman" w:cs="Times New Roman"/>
                      <w:bCs/>
                      <w:color w:val="auto"/>
                      <w:kern w:val="0"/>
                      <w:szCs w:val="21"/>
                      <w:highlight w:val="none"/>
                      <w:shd w:val="clear" w:color="auto" w:fill="FFFFFF"/>
                    </w:rPr>
                    <w:t>%的要求。</w:t>
                  </w:r>
                </w:p>
                <w:p w14:paraId="71CBF804">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bCs/>
                      <w:color w:val="auto"/>
                      <w:kern w:val="0"/>
                      <w:szCs w:val="21"/>
                      <w:highlight w:val="none"/>
                      <w:shd w:val="clear" w:color="auto" w:fill="FFFFFF"/>
                    </w:rPr>
                    <w:t>（2）</w:t>
                  </w:r>
                  <w:r>
                    <w:rPr>
                      <w:rFonts w:ascii="Times New Roman" w:hAnsi="Times New Roman" w:cs="Times New Roman"/>
                      <w:color w:val="auto"/>
                      <w:kern w:val="0"/>
                      <w:szCs w:val="21"/>
                      <w:highlight w:val="none"/>
                      <w:shd w:val="clear" w:color="auto" w:fill="FFFFFF"/>
                    </w:rPr>
                    <w:t>本项目采用自动喷涂技术，</w:t>
                  </w:r>
                  <w:r>
                    <w:rPr>
                      <w:rFonts w:hint="eastAsia" w:ascii="Times New Roman" w:hAnsi="Times New Roman" w:cs="Times New Roman"/>
                      <w:color w:val="auto"/>
                      <w:kern w:val="0"/>
                      <w:szCs w:val="21"/>
                      <w:highlight w:val="none"/>
                      <w:shd w:val="clear" w:color="auto" w:fill="FFFFFF"/>
                    </w:rPr>
                    <w:t>喷漆在密闭的喷底漆房和喷面漆房中进行</w:t>
                  </w:r>
                </w:p>
              </w:tc>
              <w:tc>
                <w:tcPr>
                  <w:tcW w:w="455" w:type="dxa"/>
                  <w:shd w:val="clear" w:color="auto" w:fill="auto"/>
                  <w:vAlign w:val="center"/>
                </w:tcPr>
                <w:p w14:paraId="431E8C43">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符合</w:t>
                  </w:r>
                </w:p>
              </w:tc>
            </w:tr>
            <w:tr w14:paraId="085D3F1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54" w:type="dxa"/>
                  <w:shd w:val="clear" w:color="auto" w:fill="auto"/>
                  <w:vAlign w:val="center"/>
                </w:tcPr>
                <w:p w14:paraId="687C771B">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2</w:t>
                  </w:r>
                </w:p>
              </w:tc>
              <w:tc>
                <w:tcPr>
                  <w:tcW w:w="3749" w:type="dxa"/>
                  <w:shd w:val="clear" w:color="auto" w:fill="auto"/>
                  <w:vAlign w:val="center"/>
                </w:tcPr>
                <w:p w14:paraId="0C72C080">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过程控制</w:t>
                  </w:r>
                </w:p>
                <w:p w14:paraId="04658EE5">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（1）储存：涂料、稀释剂、清洗剂、固化剂、胶粘剂、密封胶等VOCs物料密闭储存。</w:t>
                  </w:r>
                </w:p>
                <w:p w14:paraId="2CADEEEF">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盛装VOCs物料的容器或包装袋应存放于室内，或存放于设置有雨棚、遮阳和防渗设施的专用场地。</w:t>
                  </w:r>
                </w:p>
                <w:p w14:paraId="2D5E63E8">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盛装VOCs物料的容器或包装袋在非取用状态时应加盖、封口，保持密闭。</w:t>
                  </w:r>
                </w:p>
                <w:p w14:paraId="18E511B4">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废涂料、废稀释剂、废清洗剂、废活性炭等含VOCs废料（渣、液）以及VOCs物料废包装物等危险废物密封储存于危废储存间。</w:t>
                  </w:r>
                </w:p>
                <w:p w14:paraId="22243842">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（2）转移和输送：VOCs物料转移和输送应采用密闭管道或密闭容器等。</w:t>
                  </w:r>
                </w:p>
                <w:p w14:paraId="31DDA00A">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宜采用集中供漆系统。</w:t>
                  </w:r>
                </w:p>
                <w:p w14:paraId="5A904892">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（3）调配：涂料、稀释剂等VOCs物料的调配过程应采用密闭设备或在密闭空间内操作，废气应排至VOCs废气收集处理系统；无法密闭的，应采取局部气体收集措施，废气应排至VOCs废气收集处理系统。</w:t>
                  </w:r>
                </w:p>
                <w:p w14:paraId="399B2CC3">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宜设置专门的密闭调配间。</w:t>
                  </w:r>
                </w:p>
                <w:p w14:paraId="41B0C3EA">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（4）喷涂：喷涂过程应采用密闭设备或在密闭空间内操作，废气应排至VOCs废气收集处理系统；无法密闭的，应采取局部气体收集措施，废气应排至VOCs废气收集处理系统。</w:t>
                  </w:r>
                </w:p>
                <w:p w14:paraId="09420C23">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新建线宜建设干式喷漆晾干房，鼓励使用全自动喷漆和循环风工艺；使用湿式喷漆晾干房时，循环水泵间和刮渣间应密闭，废气应排至VOCs废气收集处理系统。</w:t>
                  </w:r>
                </w:p>
                <w:p w14:paraId="0DB8294E">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涂装车间应根据相应的技术规范设计送排风速率，禁止通过加大送排风量或其他通风措施故意稀释排放。</w:t>
                  </w:r>
                </w:p>
                <w:p w14:paraId="32E584D8">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（5）干燥：干燥（烘干、风干、干燥等）过程应在密闭空间内操作，废气应排至VOCs废气收集处理系统；无法密闭的，应采取局部气体收集措施，废气应排放至VOCs废气收集处理系统。</w:t>
                  </w:r>
                </w:p>
                <w:p w14:paraId="6017928D">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（6）清洗：设备清洗应采取密闭设备或在密闭空间内操作，换色清洗应在密闭空间内操作，产生的废气应排至VOCs废气收集处理系统；无法密闭的，应采取局部气体收集措施，废气应排至VOCs废气收集处理系统。</w:t>
                  </w:r>
                </w:p>
                <w:p w14:paraId="1C27108F">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使用多种颜色漆料的，宜设置分色区，相同颜色集中喷涂，减少换色清洗频次和清洗溶剂消耗量。</w:t>
                  </w:r>
                </w:p>
                <w:p w14:paraId="35E9436B">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（7）回收：涂装作业结束时，除集中供漆外，应将所有剩余的VOCs物料密闭储存，送回至调配间或储存间。</w:t>
                  </w:r>
                </w:p>
                <w:p w14:paraId="6E70A9AE">
                  <w:pPr>
                    <w:widowControl/>
                    <w:adjustRightInd w:val="0"/>
                    <w:snapToGrid w:val="0"/>
                    <w:spacing w:line="276" w:lineRule="auto"/>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设备清洗和换色过程产生的废清洗溶剂宜采用密闭回收废溶剂系统进行回收。</w:t>
                  </w:r>
                </w:p>
              </w:tc>
              <w:tc>
                <w:tcPr>
                  <w:tcW w:w="2527" w:type="dxa"/>
                  <w:shd w:val="clear" w:color="auto" w:fill="auto"/>
                  <w:vAlign w:val="center"/>
                </w:tcPr>
                <w:p w14:paraId="7164892C">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r>
                    <w:rPr>
                      <w:rFonts w:ascii="Times New Roman" w:hAnsi="Times New Roman" w:cs="Times New Roman"/>
                      <w:color w:val="auto"/>
                      <w:kern w:val="0"/>
                      <w:szCs w:val="21"/>
                      <w:highlight w:val="none"/>
                      <w:shd w:val="clear" w:color="auto" w:fill="FFFFFF"/>
                    </w:rPr>
                    <w:t>本项目使用的底漆和面漆密闭桶装储存于供漆室；废漆渣</w:t>
                  </w:r>
                  <w:r>
                    <w:rPr>
                      <w:rFonts w:ascii="Times New Roman" w:hAnsi="Times New Roman" w:eastAsia="宋体" w:cs="Times New Roman"/>
                      <w:color w:val="auto"/>
                      <w:kern w:val="0"/>
                      <w:szCs w:val="21"/>
                      <w:highlight w:val="none"/>
                    </w:rPr>
                    <w:t>、废漆桶、废过滤棉、废活性炭、水帘喷漆定期更换的废液等含VOCs废料（渣、液）</w:t>
                  </w:r>
                  <w:r>
                    <w:rPr>
                      <w:rFonts w:hint="eastAsia" w:ascii="Times New Roman" w:hAnsi="Times New Roman" w:eastAsia="宋体" w:cs="Times New Roman"/>
                      <w:color w:val="auto"/>
                      <w:kern w:val="0"/>
                      <w:szCs w:val="21"/>
                      <w:highlight w:val="none"/>
                    </w:rPr>
                    <w:t>、</w:t>
                  </w:r>
                  <w:r>
                    <w:rPr>
                      <w:rFonts w:ascii="Times New Roman" w:hAnsi="Times New Roman" w:eastAsia="宋体" w:cs="Times New Roman"/>
                      <w:color w:val="auto"/>
                      <w:kern w:val="0"/>
                      <w:szCs w:val="21"/>
                      <w:highlight w:val="none"/>
                    </w:rPr>
                    <w:t>VOCs物料废包装物等危险废物</w:t>
                  </w:r>
                  <w:r>
                    <w:rPr>
                      <w:rFonts w:hint="eastAsia" w:ascii="Times New Roman" w:hAnsi="Times New Roman" w:eastAsia="宋体" w:cs="Times New Roman"/>
                      <w:color w:val="auto"/>
                      <w:kern w:val="0"/>
                      <w:szCs w:val="21"/>
                      <w:highlight w:val="none"/>
                    </w:rPr>
                    <w:t>以及废润滑油、废润滑油桶采用封闭桶装，</w:t>
                  </w:r>
                  <w:r>
                    <w:rPr>
                      <w:rFonts w:ascii="Times New Roman" w:hAnsi="Times New Roman" w:eastAsia="宋体" w:cs="Times New Roman"/>
                      <w:color w:val="auto"/>
                      <w:kern w:val="0"/>
                      <w:szCs w:val="21"/>
                      <w:highlight w:val="none"/>
                    </w:rPr>
                    <w:t>储存于危险废物暂存间；</w:t>
                  </w:r>
                </w:p>
                <w:p w14:paraId="07AFA192">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（2）项目底漆和面漆密闭桶装送入</w:t>
                  </w:r>
                  <w:r>
                    <w:rPr>
                      <w:rFonts w:hint="eastAsia" w:ascii="Times New Roman" w:hAnsi="Times New Roman" w:cs="Times New Roman"/>
                      <w:color w:val="auto"/>
                      <w:kern w:val="0"/>
                      <w:szCs w:val="21"/>
                      <w:highlight w:val="none"/>
                      <w:shd w:val="clear" w:color="auto" w:fill="FFFFFF"/>
                    </w:rPr>
                    <w:t>调漆室进行调配，调配完成后经管道泵入喷漆室内</w:t>
                  </w:r>
                  <w:r>
                    <w:rPr>
                      <w:rFonts w:ascii="Times New Roman" w:hAnsi="Times New Roman" w:cs="Times New Roman"/>
                      <w:color w:val="auto"/>
                      <w:kern w:val="0"/>
                      <w:szCs w:val="21"/>
                      <w:highlight w:val="none"/>
                      <w:shd w:val="clear" w:color="auto" w:fill="FFFFFF"/>
                    </w:rPr>
                    <w:t>；</w:t>
                  </w:r>
                </w:p>
                <w:p w14:paraId="4D74C131">
                  <w:pPr>
                    <w:adjustRightInd w:val="0"/>
                    <w:snapToGrid w:val="0"/>
                    <w:spacing w:line="276" w:lineRule="auto"/>
                    <w:jc w:val="center"/>
                    <w:rPr>
                      <w:rFonts w:ascii="Times New Roman" w:hAnsi="Times New Roman" w:cs="Times New Roman"/>
                      <w:bCs/>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（3）</w:t>
                  </w:r>
                  <w:r>
                    <w:rPr>
                      <w:rFonts w:ascii="Times New Roman" w:hAnsi="Times New Roman" w:cs="Times New Roman"/>
                      <w:color w:val="auto"/>
                      <w:kern w:val="0"/>
                      <w:highlight w:val="none"/>
                    </w:rPr>
                    <w:t>本项目</w:t>
                  </w:r>
                  <w:r>
                    <w:rPr>
                      <w:rFonts w:hint="eastAsia" w:ascii="Times New Roman" w:hAnsi="Times New Roman" w:cs="Times New Roman"/>
                      <w:color w:val="auto"/>
                      <w:kern w:val="0"/>
                      <w:highlight w:val="none"/>
                    </w:rPr>
                    <w:t>调漆房及</w:t>
                  </w:r>
                  <w:r>
                    <w:rPr>
                      <w:rFonts w:ascii="Times New Roman" w:hAnsi="Times New Roman" w:cs="Times New Roman"/>
                      <w:color w:val="auto"/>
                      <w:kern w:val="0"/>
                      <w:szCs w:val="21"/>
                      <w:highlight w:val="none"/>
                      <w:shd w:val="clear" w:color="auto" w:fill="FFFFFF"/>
                    </w:rPr>
                    <w:t>喷漆房</w:t>
                  </w:r>
                  <w:r>
                    <w:rPr>
                      <w:rFonts w:hint="eastAsia" w:ascii="Times New Roman" w:hAnsi="Times New Roman" w:cs="Times New Roman"/>
                      <w:color w:val="auto"/>
                      <w:kern w:val="0"/>
                      <w:szCs w:val="21"/>
                      <w:highlight w:val="none"/>
                      <w:shd w:val="clear" w:color="auto" w:fill="FFFFFF"/>
                    </w:rPr>
                    <w:t>作业时均设置为密闭空间</w:t>
                  </w:r>
                  <w:r>
                    <w:rPr>
                      <w:rFonts w:ascii="Times New Roman" w:hAnsi="Times New Roman" w:cs="Times New Roman"/>
                      <w:color w:val="auto"/>
                      <w:kern w:val="0"/>
                      <w:szCs w:val="21"/>
                      <w:highlight w:val="none"/>
                      <w:shd w:val="clear" w:color="auto" w:fill="FFFFFF"/>
                    </w:rPr>
                    <w:t>，烘干设备为密闭设备；</w:t>
                  </w:r>
                  <w:r>
                    <w:rPr>
                      <w:rFonts w:hint="eastAsia" w:ascii="Times New Roman" w:hAnsi="Times New Roman" w:cs="Times New Roman"/>
                      <w:bCs/>
                      <w:color w:val="auto"/>
                      <w:kern w:val="0"/>
                      <w:szCs w:val="21"/>
                      <w:highlight w:val="none"/>
                      <w:shd w:val="clear" w:color="auto" w:fill="FFFFFF"/>
                    </w:rPr>
                    <w:t>调漆、喷漆</w:t>
                  </w:r>
                  <w:r>
                    <w:rPr>
                      <w:rFonts w:hint="eastAsia" w:ascii="Times New Roman" w:hAnsi="Times New Roman" w:cs="Times New Roman"/>
                      <w:bCs/>
                      <w:color w:val="auto"/>
                      <w:kern w:val="0"/>
                      <w:szCs w:val="21"/>
                      <w:highlight w:val="none"/>
                      <w:shd w:val="clear" w:color="auto" w:fill="FFFFFF"/>
                      <w:lang w:val="en-US" w:eastAsia="zh-CN"/>
                    </w:rPr>
                    <w:t>废气经负压收集</w:t>
                  </w:r>
                  <w:r>
                    <w:rPr>
                      <w:rFonts w:hint="eastAsia" w:ascii="Times New Roman" w:hAnsi="Times New Roman" w:cs="Times New Roman"/>
                      <w:bCs/>
                      <w:color w:val="auto"/>
                      <w:kern w:val="0"/>
                      <w:szCs w:val="21"/>
                      <w:highlight w:val="none"/>
                      <w:shd w:val="clear" w:color="auto" w:fill="FFFFFF"/>
                    </w:rPr>
                    <w:t>、烘干废气经密闭收集后进入喷漆房废气处理系统。</w:t>
                  </w:r>
                </w:p>
                <w:p w14:paraId="07AC4D41">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本项目喷枪使用前需要清洗，在密闭的喷漆晾干房中进行</w:t>
                  </w:r>
                  <w:r>
                    <w:rPr>
                      <w:rFonts w:hint="eastAsia" w:ascii="Times New Roman" w:hAnsi="Times New Roman" w:cs="Times New Roman"/>
                      <w:color w:val="auto"/>
                      <w:kern w:val="0"/>
                      <w:szCs w:val="21"/>
                      <w:highlight w:val="none"/>
                      <w:shd w:val="clear" w:color="auto" w:fill="FFFFFF"/>
                    </w:rPr>
                    <w:t>；喷枪清洗采用自来水清洗，不使用溶剂，不涉及清洗废气。喷漆作业结束后，未使用完的涂料加盖密闭储存。</w:t>
                  </w:r>
                </w:p>
              </w:tc>
              <w:tc>
                <w:tcPr>
                  <w:tcW w:w="455" w:type="dxa"/>
                  <w:shd w:val="clear" w:color="auto" w:fill="auto"/>
                  <w:vAlign w:val="center"/>
                </w:tcPr>
                <w:p w14:paraId="4535C72D">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符合</w:t>
                  </w:r>
                </w:p>
              </w:tc>
            </w:tr>
            <w:tr w14:paraId="0C11C62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54" w:type="dxa"/>
                  <w:shd w:val="clear" w:color="auto" w:fill="auto"/>
                  <w:vAlign w:val="center"/>
                </w:tcPr>
                <w:p w14:paraId="6C200885">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3</w:t>
                  </w:r>
                </w:p>
              </w:tc>
              <w:tc>
                <w:tcPr>
                  <w:tcW w:w="3749" w:type="dxa"/>
                  <w:shd w:val="clear" w:color="auto" w:fill="auto"/>
                  <w:vAlign w:val="center"/>
                </w:tcPr>
                <w:p w14:paraId="0C0F2D21">
                  <w:pPr>
                    <w:pStyle w:val="48"/>
                    <w:autoSpaceDE/>
                    <w:autoSpaceDN/>
                    <w:snapToGrid w:val="0"/>
                    <w:spacing w:line="276" w:lineRule="auto"/>
                    <w:rPr>
                      <w:rFonts w:ascii="Times New Roman" w:cs="Times New Roman"/>
                      <w:color w:val="auto"/>
                      <w:kern w:val="2"/>
                      <w:sz w:val="21"/>
                      <w:szCs w:val="21"/>
                      <w:highlight w:val="none"/>
                    </w:rPr>
                  </w:pPr>
                  <w:r>
                    <w:rPr>
                      <w:rFonts w:ascii="Times New Roman" w:cs="Times New Roman"/>
                      <w:color w:val="auto"/>
                      <w:kern w:val="2"/>
                      <w:sz w:val="21"/>
                      <w:szCs w:val="21"/>
                      <w:highlight w:val="none"/>
                    </w:rPr>
                    <w:t>末端治理</w:t>
                  </w:r>
                </w:p>
                <w:p w14:paraId="2DEBD212">
                  <w:pPr>
                    <w:pStyle w:val="48"/>
                    <w:autoSpaceDE/>
                    <w:autoSpaceDN/>
                    <w:snapToGrid w:val="0"/>
                    <w:spacing w:line="276" w:lineRule="auto"/>
                    <w:rPr>
                      <w:rFonts w:ascii="Times New Roman" w:cs="Times New Roman"/>
                      <w:color w:val="auto"/>
                      <w:kern w:val="2"/>
                      <w:sz w:val="21"/>
                      <w:szCs w:val="21"/>
                      <w:highlight w:val="none"/>
                    </w:rPr>
                  </w:pPr>
                  <w:r>
                    <w:rPr>
                      <w:rFonts w:ascii="Times New Roman" w:cs="Times New Roman"/>
                      <w:color w:val="auto"/>
                      <w:kern w:val="2"/>
                      <w:sz w:val="21"/>
                      <w:szCs w:val="21"/>
                      <w:highlight w:val="none"/>
                    </w:rPr>
                    <w:t>（1）喷涂、晾（风）干</w:t>
                  </w:r>
                </w:p>
                <w:p w14:paraId="25191872">
                  <w:pPr>
                    <w:pStyle w:val="48"/>
                    <w:autoSpaceDE/>
                    <w:autoSpaceDN/>
                    <w:snapToGrid w:val="0"/>
                    <w:spacing w:line="276" w:lineRule="auto"/>
                    <w:rPr>
                      <w:rFonts w:ascii="Times New Roman" w:cs="Times New Roman"/>
                      <w:color w:val="auto"/>
                      <w:kern w:val="2"/>
                      <w:sz w:val="21"/>
                      <w:szCs w:val="21"/>
                      <w:highlight w:val="none"/>
                    </w:rPr>
                  </w:pPr>
                  <w:r>
                    <w:rPr>
                      <w:rFonts w:ascii="Times New Roman" w:cs="Times New Roman"/>
                      <w:color w:val="auto"/>
                      <w:kern w:val="2"/>
                      <w:sz w:val="21"/>
                      <w:szCs w:val="21"/>
                      <w:highlight w:val="none"/>
                    </w:rPr>
                    <w:t>应设置高效漆雾处理装置，宜采用文丘里/水旋/水幕湿法漆雾捕集+多级干式过滤除湿联合装置，新建线宜用干式漆雾捕集过滤系统。</w:t>
                  </w:r>
                </w:p>
                <w:p w14:paraId="484B3EEA">
                  <w:pPr>
                    <w:pStyle w:val="48"/>
                    <w:autoSpaceDE/>
                    <w:autoSpaceDN/>
                    <w:snapToGrid w:val="0"/>
                    <w:spacing w:line="276" w:lineRule="auto"/>
                    <w:rPr>
                      <w:rFonts w:ascii="Times New Roman" w:cs="Times New Roman"/>
                      <w:color w:val="auto"/>
                      <w:kern w:val="2"/>
                      <w:sz w:val="21"/>
                      <w:szCs w:val="21"/>
                      <w:highlight w:val="none"/>
                    </w:rPr>
                  </w:pPr>
                  <w:r>
                    <w:rPr>
                      <w:rFonts w:ascii="Times New Roman" w:cs="Times New Roman"/>
                      <w:color w:val="auto"/>
                      <w:kern w:val="2"/>
                      <w:sz w:val="21"/>
                      <w:szCs w:val="21"/>
                      <w:highlight w:val="none"/>
                    </w:rPr>
                    <w:t>喷涂、晾（风）干废气宜采用吸附浓缩+燃烧或其他等效方式处置，小风量低浓度或不适宜浓缩脱附的废气可采用一次性活性炭吸附等工艺。</w:t>
                  </w:r>
                </w:p>
                <w:p w14:paraId="72D9C2F5">
                  <w:pPr>
                    <w:pStyle w:val="48"/>
                    <w:autoSpaceDE/>
                    <w:autoSpaceDN/>
                    <w:snapToGrid w:val="0"/>
                    <w:spacing w:line="276" w:lineRule="auto"/>
                    <w:rPr>
                      <w:rFonts w:ascii="Times New Roman" w:cs="Times New Roman"/>
                      <w:color w:val="auto"/>
                      <w:kern w:val="2"/>
                      <w:sz w:val="21"/>
                      <w:szCs w:val="21"/>
                      <w:highlight w:val="none"/>
                    </w:rPr>
                  </w:pPr>
                  <w:r>
                    <w:rPr>
                      <w:rFonts w:ascii="Times New Roman" w:cs="Times New Roman"/>
                      <w:color w:val="auto"/>
                      <w:kern w:val="2"/>
                      <w:sz w:val="21"/>
                      <w:szCs w:val="21"/>
                      <w:highlight w:val="none"/>
                    </w:rPr>
                    <w:t>（2）烘干</w:t>
                  </w:r>
                </w:p>
                <w:p w14:paraId="21C9FBC3">
                  <w:pPr>
                    <w:pStyle w:val="48"/>
                    <w:autoSpaceDE/>
                    <w:autoSpaceDN/>
                    <w:snapToGrid w:val="0"/>
                    <w:spacing w:line="276" w:lineRule="auto"/>
                    <w:rPr>
                      <w:rFonts w:ascii="Times New Roman" w:cs="Times New Roman"/>
                      <w:color w:val="auto"/>
                      <w:kern w:val="2"/>
                      <w:sz w:val="21"/>
                      <w:szCs w:val="21"/>
                      <w:highlight w:val="none"/>
                    </w:rPr>
                  </w:pPr>
                  <w:r>
                    <w:rPr>
                      <w:rFonts w:ascii="Times New Roman" w:cs="Times New Roman"/>
                      <w:color w:val="auto"/>
                      <w:kern w:val="2"/>
                      <w:sz w:val="21"/>
                      <w:szCs w:val="21"/>
                      <w:highlight w:val="none"/>
                    </w:rPr>
                    <w:t>烘干废气宜采用热力焚烧/催化燃烧或其他等效方式处置。</w:t>
                  </w:r>
                </w:p>
                <w:p w14:paraId="46E93EE4">
                  <w:pPr>
                    <w:pStyle w:val="48"/>
                    <w:autoSpaceDE/>
                    <w:autoSpaceDN/>
                    <w:snapToGrid w:val="0"/>
                    <w:spacing w:line="276" w:lineRule="auto"/>
                    <w:rPr>
                      <w:rFonts w:ascii="Times New Roman" w:cs="Times New Roman"/>
                      <w:color w:val="auto"/>
                      <w:kern w:val="2"/>
                      <w:sz w:val="21"/>
                      <w:szCs w:val="21"/>
                      <w:highlight w:val="none"/>
                    </w:rPr>
                  </w:pPr>
                  <w:r>
                    <w:rPr>
                      <w:rFonts w:ascii="Times New Roman" w:cs="Times New Roman"/>
                      <w:color w:val="auto"/>
                      <w:kern w:val="2"/>
                      <w:sz w:val="21"/>
                      <w:szCs w:val="21"/>
                      <w:highlight w:val="none"/>
                    </w:rPr>
                    <w:t>使用溶剂型涂料的生产线，烘干废气宜单独处理，具备条件的可采用回收式热力燃烧装置。</w:t>
                  </w:r>
                </w:p>
              </w:tc>
              <w:tc>
                <w:tcPr>
                  <w:tcW w:w="2527" w:type="dxa"/>
                  <w:shd w:val="clear" w:color="auto" w:fill="auto"/>
                  <w:vAlign w:val="center"/>
                </w:tcPr>
                <w:p w14:paraId="049157A3">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项目</w:t>
                  </w:r>
                  <w:r>
                    <w:rPr>
                      <w:rFonts w:hint="eastAsia" w:ascii="Times New Roman" w:hAnsi="Times New Roman" w:cs="Times New Roman"/>
                      <w:color w:val="auto"/>
                      <w:kern w:val="0"/>
                      <w:szCs w:val="21"/>
                      <w:highlight w:val="none"/>
                      <w:shd w:val="clear" w:color="auto" w:fill="FFFFFF"/>
                    </w:rPr>
                    <w:t>设置高效漆雾处理装置，</w:t>
                  </w:r>
                  <w:r>
                    <w:rPr>
                      <w:rFonts w:ascii="Times New Roman" w:hAnsi="Times New Roman" w:cs="Times New Roman"/>
                      <w:color w:val="auto"/>
                      <w:kern w:val="0"/>
                      <w:szCs w:val="21"/>
                      <w:highlight w:val="none"/>
                      <w:shd w:val="clear" w:color="auto" w:fill="FFFFFF"/>
                    </w:rPr>
                    <w:t>喷漆</w:t>
                  </w:r>
                  <w:r>
                    <w:rPr>
                      <w:rFonts w:hint="eastAsia" w:ascii="Times New Roman" w:hAnsi="Times New Roman" w:cs="Times New Roman"/>
                      <w:color w:val="auto"/>
                      <w:kern w:val="0"/>
                      <w:szCs w:val="21"/>
                      <w:highlight w:val="none"/>
                      <w:shd w:val="clear" w:color="auto" w:fill="FFFFFF"/>
                    </w:rPr>
                    <w:t>工序产生的漆雾通过水帘装置加两级过滤棉过滤处理；</w:t>
                  </w:r>
                  <w:r>
                    <w:rPr>
                      <w:rFonts w:ascii="Times New Roman" w:hAnsi="Times New Roman" w:cs="Times New Roman"/>
                      <w:color w:val="auto"/>
                      <w:kern w:val="0"/>
                      <w:szCs w:val="21"/>
                      <w:highlight w:val="none"/>
                      <w:shd w:val="clear" w:color="auto" w:fill="FFFFFF"/>
                    </w:rPr>
                    <w:t>项目采用</w:t>
                  </w:r>
                  <w:r>
                    <w:rPr>
                      <w:rFonts w:hint="eastAsia" w:ascii="Times New Roman" w:hAnsi="Times New Roman" w:cs="Times New Roman"/>
                      <w:color w:val="auto"/>
                      <w:kern w:val="0"/>
                      <w:szCs w:val="21"/>
                      <w:highlight w:val="none"/>
                      <w:shd w:val="clear" w:color="auto" w:fill="FFFFFF"/>
                    </w:rPr>
                    <w:t>电加热</w:t>
                  </w:r>
                  <w:r>
                    <w:rPr>
                      <w:rFonts w:ascii="Times New Roman" w:hAnsi="Times New Roman" w:cs="Times New Roman"/>
                      <w:color w:val="auto"/>
                      <w:kern w:val="0"/>
                      <w:szCs w:val="21"/>
                      <w:highlight w:val="none"/>
                      <w:shd w:val="clear" w:color="auto" w:fill="FFFFFF"/>
                    </w:rPr>
                    <w:t>烘干，</w:t>
                  </w:r>
                  <w:r>
                    <w:rPr>
                      <w:rFonts w:hint="eastAsia" w:ascii="Times New Roman" w:hAnsi="Times New Roman" w:cs="Times New Roman"/>
                      <w:color w:val="auto"/>
                      <w:kern w:val="0"/>
                      <w:szCs w:val="21"/>
                      <w:highlight w:val="none"/>
                      <w:shd w:val="clear" w:color="auto" w:fill="FFFFFF"/>
                    </w:rPr>
                    <w:t>根据工程分析可知，项目喷漆及烘干工序等</w:t>
                  </w:r>
                  <w:r>
                    <w:rPr>
                      <w:rFonts w:ascii="Times New Roman" w:hAnsi="Times New Roman" w:cs="Times New Roman"/>
                      <w:color w:val="auto"/>
                      <w:kern w:val="0"/>
                      <w:szCs w:val="21"/>
                      <w:highlight w:val="none"/>
                      <w:shd w:val="clear" w:color="auto" w:fill="FFFFFF"/>
                    </w:rPr>
                    <w:t>产生的有机废气为中低浓度有机废气，采用“</w:t>
                  </w:r>
                  <w:r>
                    <w:rPr>
                      <w:rFonts w:hint="eastAsia"/>
                      <w:color w:val="auto"/>
                      <w:kern w:val="0"/>
                      <w:highlight w:val="none"/>
                    </w:rPr>
                    <w:t>两级活性炭吸附装置</w:t>
                  </w:r>
                  <w:r>
                    <w:rPr>
                      <w:rFonts w:ascii="Times New Roman" w:hAnsi="Times New Roman" w:cs="Times New Roman"/>
                      <w:color w:val="auto"/>
                      <w:kern w:val="0"/>
                      <w:szCs w:val="21"/>
                      <w:highlight w:val="none"/>
                      <w:shd w:val="clear" w:color="auto" w:fill="FFFFFF"/>
                    </w:rPr>
                    <w:t>”处理</w:t>
                  </w:r>
                </w:p>
              </w:tc>
              <w:tc>
                <w:tcPr>
                  <w:tcW w:w="455" w:type="dxa"/>
                  <w:shd w:val="clear" w:color="auto" w:fill="auto"/>
                  <w:vAlign w:val="center"/>
                </w:tcPr>
                <w:p w14:paraId="324F6B6C">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符合</w:t>
                  </w:r>
                </w:p>
              </w:tc>
            </w:tr>
          </w:tbl>
          <w:p w14:paraId="57E16B51">
            <w:pPr>
              <w:adjustRightInd w:val="0"/>
              <w:snapToGrid w:val="0"/>
              <w:spacing w:line="360" w:lineRule="auto"/>
              <w:ind w:firstLine="480" w:firstLineChars="20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根据上表可知，本项目与</w:t>
            </w:r>
            <w:r>
              <w:rPr>
                <w:rFonts w:ascii="Times New Roman" w:hAnsi="Times New Roman" w:eastAsia="宋体" w:cs="宋体"/>
                <w:color w:val="auto"/>
                <w:kern w:val="0"/>
                <w:sz w:val="24"/>
                <w:szCs w:val="24"/>
                <w:highlight w:val="none"/>
              </w:rPr>
              <w:t>《挥发性有机物治理实用手册》</w:t>
            </w:r>
            <w:r>
              <w:rPr>
                <w:rFonts w:hint="eastAsia" w:ascii="Times New Roman" w:hAnsi="Times New Roman" w:eastAsia="宋体" w:cs="宋体"/>
                <w:color w:val="auto"/>
                <w:kern w:val="0"/>
                <w:sz w:val="24"/>
                <w:szCs w:val="24"/>
                <w:highlight w:val="none"/>
              </w:rPr>
              <w:t>中的规定相符。</w:t>
            </w:r>
          </w:p>
          <w:p w14:paraId="4BA211FC">
            <w:pPr>
              <w:adjustRightInd w:val="0"/>
              <w:snapToGrid w:val="0"/>
              <w:spacing w:line="276" w:lineRule="auto"/>
              <w:ind w:firstLine="482" w:firstLineChars="200"/>
              <w:rPr>
                <w:rFonts w:ascii="Times New Roman" w:hAnsi="Times New Roman" w:cs="Times New Roman"/>
                <w:b/>
                <w:color w:val="auto"/>
                <w:kern w:val="0"/>
                <w:sz w:val="24"/>
                <w:szCs w:val="24"/>
                <w:highlight w:val="none"/>
              </w:rPr>
            </w:pPr>
            <w:r>
              <w:rPr>
                <w:rFonts w:hint="eastAsia" w:ascii="Times New Roman" w:hAnsi="Times New Roman" w:cs="Times New Roman"/>
                <w:b/>
                <w:color w:val="auto"/>
                <w:kern w:val="0"/>
                <w:sz w:val="24"/>
                <w:szCs w:val="24"/>
                <w:highlight w:val="none"/>
              </w:rPr>
              <w:t>6</w:t>
            </w:r>
            <w:r>
              <w:rPr>
                <w:rFonts w:ascii="Times New Roman" w:hAnsi="Times New Roman" w:cs="Times New Roman"/>
                <w:b/>
                <w:color w:val="auto"/>
                <w:kern w:val="0"/>
                <w:sz w:val="24"/>
                <w:szCs w:val="24"/>
                <w:highlight w:val="none"/>
              </w:rPr>
              <w:t>、与《挥发性有机物无组织排放控制标准》相符性分析</w:t>
            </w:r>
          </w:p>
          <w:p w14:paraId="2EC7B927">
            <w:pPr>
              <w:adjustRightInd w:val="0"/>
              <w:snapToGrid w:val="0"/>
              <w:spacing w:line="276" w:lineRule="auto"/>
              <w:jc w:val="center"/>
              <w:rPr>
                <w:rFonts w:ascii="Times New Roman" w:hAnsi="Times New Roman" w:eastAsia="黑体" w:cs="Times New Roman"/>
                <w:color w:val="auto"/>
                <w:kern w:val="0"/>
                <w:sz w:val="24"/>
                <w:szCs w:val="24"/>
                <w:highlight w:val="none"/>
              </w:rPr>
            </w:pPr>
            <w:r>
              <w:rPr>
                <w:rFonts w:ascii="Times New Roman" w:hAnsi="Times New Roman" w:eastAsia="黑体" w:cs="Times New Roman"/>
                <w:color w:val="auto"/>
                <w:kern w:val="0"/>
                <w:sz w:val="24"/>
                <w:szCs w:val="24"/>
                <w:highlight w:val="none"/>
              </w:rPr>
              <w:t>表1-</w:t>
            </w:r>
            <w:r>
              <w:rPr>
                <w:rFonts w:hint="eastAsia" w:ascii="Times New Roman" w:hAnsi="Times New Roman" w:eastAsia="黑体" w:cs="Times New Roman"/>
                <w:color w:val="auto"/>
                <w:kern w:val="0"/>
                <w:sz w:val="24"/>
                <w:szCs w:val="24"/>
                <w:highlight w:val="none"/>
              </w:rPr>
              <w:t xml:space="preserve">7  </w:t>
            </w:r>
            <w:r>
              <w:rPr>
                <w:rFonts w:ascii="Times New Roman" w:hAnsi="Times New Roman" w:eastAsia="黑体" w:cs="Times New Roman"/>
                <w:color w:val="auto"/>
                <w:kern w:val="0"/>
                <w:sz w:val="24"/>
                <w:highlight w:val="none"/>
              </w:rPr>
              <w:t>与《挥发性有机物无组织排放控制标准》相符性分析</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480"/>
              <w:gridCol w:w="3158"/>
              <w:gridCol w:w="2890"/>
              <w:gridCol w:w="658"/>
            </w:tblGrid>
            <w:tr w14:paraId="4C8A644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80" w:type="dxa"/>
                  <w:shd w:val="clear" w:color="auto" w:fill="auto"/>
                  <w:vAlign w:val="center"/>
                </w:tcPr>
                <w:p w14:paraId="3DE8AF49">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序号</w:t>
                  </w:r>
                </w:p>
              </w:tc>
              <w:tc>
                <w:tcPr>
                  <w:tcW w:w="3158" w:type="dxa"/>
                  <w:shd w:val="clear" w:color="auto" w:fill="auto"/>
                  <w:vAlign w:val="center"/>
                </w:tcPr>
                <w:p w14:paraId="68E191B7">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措施内容</w:t>
                  </w:r>
                </w:p>
              </w:tc>
              <w:tc>
                <w:tcPr>
                  <w:tcW w:w="2890" w:type="dxa"/>
                  <w:shd w:val="clear" w:color="auto" w:fill="auto"/>
                  <w:vAlign w:val="center"/>
                </w:tcPr>
                <w:p w14:paraId="4CA26413">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本项目措施</w:t>
                  </w:r>
                </w:p>
              </w:tc>
              <w:tc>
                <w:tcPr>
                  <w:tcW w:w="657" w:type="dxa"/>
                  <w:shd w:val="clear" w:color="auto" w:fill="auto"/>
                  <w:vAlign w:val="center"/>
                </w:tcPr>
                <w:p w14:paraId="5330EB2D">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相符性</w:t>
                  </w:r>
                </w:p>
              </w:tc>
            </w:tr>
            <w:tr w14:paraId="64CBDF5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80" w:type="dxa"/>
                  <w:shd w:val="clear" w:color="auto" w:fill="auto"/>
                  <w:vAlign w:val="center"/>
                </w:tcPr>
                <w:p w14:paraId="237788DB">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3158" w:type="dxa"/>
                  <w:shd w:val="clear" w:color="auto" w:fill="auto"/>
                  <w:vAlign w:val="center"/>
                </w:tcPr>
                <w:p w14:paraId="38C1DEDB">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暂存：VOCs物料应储存于密闭的储罐、储库中。VOCs物料储罐应密封良好，采用固定顶罐，排放的废气应收集处理，处理效率不低于90%。VOCs物料应利用完整的围护结构将污染物质与周围空间阻隔，该封闭区域除人员、车辆、设备、物料进出时随时保持关闭状态。</w:t>
                  </w:r>
                </w:p>
                <w:p w14:paraId="4C58409B">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盛装VOCs物料的容器或包装袋应存放于室内，或存放于设置有雨棚、遮阳和防渗设施的专用场地。盛装VOCs物料的容器或包装袋在非取用状态时应加盖、封口，保持密闭</w:t>
                  </w:r>
                </w:p>
              </w:tc>
              <w:tc>
                <w:tcPr>
                  <w:tcW w:w="2890" w:type="dxa"/>
                  <w:shd w:val="clear" w:color="auto" w:fill="auto"/>
                  <w:vAlign w:val="center"/>
                </w:tcPr>
                <w:p w14:paraId="64149477">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shd w:val="clear" w:color="auto" w:fill="FFFFFF"/>
                    </w:rPr>
                    <w:t>本项目使用的底漆和面漆</w:t>
                  </w:r>
                  <w:r>
                    <w:rPr>
                      <w:rFonts w:hint="eastAsia" w:ascii="Times New Roman" w:hAnsi="Times New Roman" w:cs="Times New Roman"/>
                      <w:color w:val="auto"/>
                      <w:kern w:val="0"/>
                      <w:szCs w:val="21"/>
                      <w:highlight w:val="none"/>
                      <w:shd w:val="clear" w:color="auto" w:fill="FFFFFF"/>
                    </w:rPr>
                    <w:t>通过</w:t>
                  </w:r>
                  <w:r>
                    <w:rPr>
                      <w:rFonts w:ascii="Times New Roman" w:hAnsi="Times New Roman" w:cs="Times New Roman"/>
                      <w:color w:val="auto"/>
                      <w:kern w:val="0"/>
                      <w:szCs w:val="21"/>
                      <w:highlight w:val="none"/>
                      <w:shd w:val="clear" w:color="auto" w:fill="FFFFFF"/>
                    </w:rPr>
                    <w:t>密闭桶装储存在供漆室；企业在不使用时</w:t>
                  </w:r>
                  <w:r>
                    <w:rPr>
                      <w:rFonts w:hint="eastAsia" w:ascii="Times New Roman" w:hAnsi="Times New Roman" w:cs="Times New Roman"/>
                      <w:color w:val="auto"/>
                      <w:kern w:val="0"/>
                      <w:szCs w:val="21"/>
                      <w:highlight w:val="none"/>
                      <w:shd w:val="clear" w:color="auto" w:fill="FFFFFF"/>
                    </w:rPr>
                    <w:t>包装桶均采用</w:t>
                  </w:r>
                  <w:r>
                    <w:rPr>
                      <w:rFonts w:ascii="Times New Roman" w:hAnsi="Times New Roman" w:cs="Times New Roman"/>
                      <w:color w:val="auto"/>
                      <w:kern w:val="0"/>
                      <w:szCs w:val="21"/>
                      <w:highlight w:val="none"/>
                      <w:shd w:val="clear" w:color="auto" w:fill="FFFFFF"/>
                    </w:rPr>
                    <w:t>加盖、封口</w:t>
                  </w:r>
                  <w:r>
                    <w:rPr>
                      <w:rFonts w:hint="eastAsia" w:ascii="Times New Roman" w:hAnsi="Times New Roman" w:cs="Times New Roman"/>
                      <w:color w:val="auto"/>
                      <w:kern w:val="0"/>
                      <w:szCs w:val="21"/>
                      <w:highlight w:val="none"/>
                      <w:shd w:val="clear" w:color="auto" w:fill="FFFFFF"/>
                    </w:rPr>
                    <w:t>措施</w:t>
                  </w:r>
                  <w:r>
                    <w:rPr>
                      <w:rFonts w:ascii="Times New Roman" w:hAnsi="Times New Roman" w:cs="Times New Roman"/>
                      <w:color w:val="auto"/>
                      <w:kern w:val="0"/>
                      <w:szCs w:val="21"/>
                      <w:highlight w:val="none"/>
                      <w:shd w:val="clear" w:color="auto" w:fill="FFFFFF"/>
                    </w:rPr>
                    <w:t>，保持密闭</w:t>
                  </w:r>
                  <w:r>
                    <w:rPr>
                      <w:rFonts w:hint="eastAsia" w:ascii="Times New Roman" w:hAnsi="Times New Roman" w:cs="Times New Roman"/>
                      <w:color w:val="auto"/>
                      <w:kern w:val="0"/>
                      <w:szCs w:val="21"/>
                      <w:highlight w:val="none"/>
                      <w:shd w:val="clear" w:color="auto" w:fill="FFFFFF"/>
                    </w:rPr>
                    <w:t>状态</w:t>
                  </w:r>
                </w:p>
              </w:tc>
              <w:tc>
                <w:tcPr>
                  <w:tcW w:w="657" w:type="dxa"/>
                  <w:shd w:val="clear" w:color="auto" w:fill="auto"/>
                  <w:vAlign w:val="center"/>
                </w:tcPr>
                <w:p w14:paraId="1F7F7029">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符合</w:t>
                  </w:r>
                </w:p>
              </w:tc>
            </w:tr>
            <w:tr w14:paraId="7016C7B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80" w:type="dxa"/>
                  <w:shd w:val="clear" w:color="auto" w:fill="auto"/>
                  <w:vAlign w:val="center"/>
                </w:tcPr>
                <w:p w14:paraId="51C3354F">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2</w:t>
                  </w:r>
                </w:p>
              </w:tc>
              <w:tc>
                <w:tcPr>
                  <w:tcW w:w="3158" w:type="dxa"/>
                  <w:shd w:val="clear" w:color="auto" w:fill="auto"/>
                  <w:vAlign w:val="center"/>
                </w:tcPr>
                <w:p w14:paraId="1DBA3E0B">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生产：VOCs质量占比大于等于10%的含VOCs产品，其使用过程中应采用密闭设备或在密闭空间内操作，废气应排至VOCs废气收集处理系统；无法密闭的，应采取局部气体收集措施，废气应排至VOCs废气收集处理系统。含VOCs产品的使用过程包括但不限于以下作业：</w:t>
                  </w:r>
                </w:p>
                <w:p w14:paraId="4A19D28B">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a）调配（混合、搅拌等）；</w:t>
                  </w:r>
                </w:p>
                <w:p w14:paraId="6F7253E8">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b）涂装（喷涂、浸涂、淋涂、辊涂、刷涂、涂布等）</w:t>
                  </w:r>
                </w:p>
              </w:tc>
              <w:tc>
                <w:tcPr>
                  <w:tcW w:w="2890" w:type="dxa"/>
                  <w:shd w:val="clear" w:color="auto" w:fill="auto"/>
                  <w:vAlign w:val="center"/>
                </w:tcPr>
                <w:p w14:paraId="5D0981E7">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本项目</w:t>
                  </w:r>
                  <w:r>
                    <w:rPr>
                      <w:rFonts w:hint="eastAsia" w:ascii="Times New Roman" w:hAnsi="Times New Roman" w:cs="Times New Roman"/>
                      <w:color w:val="auto"/>
                      <w:kern w:val="0"/>
                      <w:szCs w:val="21"/>
                      <w:highlight w:val="none"/>
                      <w:shd w:val="clear" w:color="auto" w:fill="FFFFFF"/>
                    </w:rPr>
                    <w:t>涂装工序使用的水性底漆和水性面漆，根据建设单位提供的涂料的MSDS成分报告可知，上述涂料的</w:t>
                  </w:r>
                  <w:r>
                    <w:rPr>
                      <w:rFonts w:ascii="Times New Roman" w:hAnsi="Times New Roman" w:cs="Times New Roman"/>
                      <w:color w:val="auto"/>
                      <w:kern w:val="0"/>
                      <w:szCs w:val="21"/>
                      <w:highlight w:val="none"/>
                      <w:shd w:val="clear" w:color="auto" w:fill="FFFFFF"/>
                    </w:rPr>
                    <w:t>VOCs质量占比</w:t>
                  </w:r>
                  <w:r>
                    <w:rPr>
                      <w:rFonts w:hint="eastAsia" w:ascii="Times New Roman" w:hAnsi="Times New Roman" w:cs="Times New Roman"/>
                      <w:color w:val="auto"/>
                      <w:kern w:val="0"/>
                      <w:szCs w:val="21"/>
                      <w:highlight w:val="none"/>
                      <w:shd w:val="clear" w:color="auto" w:fill="FFFFFF"/>
                    </w:rPr>
                    <w:t>为4%，小于</w:t>
                  </w:r>
                  <w:r>
                    <w:rPr>
                      <w:rFonts w:ascii="Times New Roman" w:hAnsi="Times New Roman" w:cs="Times New Roman"/>
                      <w:color w:val="auto"/>
                      <w:kern w:val="0"/>
                      <w:szCs w:val="21"/>
                      <w:highlight w:val="none"/>
                      <w:shd w:val="clear" w:color="auto" w:fill="FFFFFF"/>
                    </w:rPr>
                    <w:t>10%</w:t>
                  </w:r>
                  <w:r>
                    <w:rPr>
                      <w:rFonts w:hint="eastAsia" w:ascii="Times New Roman" w:hAnsi="Times New Roman" w:cs="Times New Roman"/>
                      <w:color w:val="auto"/>
                      <w:kern w:val="0"/>
                      <w:szCs w:val="21"/>
                      <w:highlight w:val="none"/>
                      <w:shd w:val="clear" w:color="auto" w:fill="FFFFFF"/>
                    </w:rPr>
                    <w:t>；涂料调漆、喷漆</w:t>
                  </w:r>
                  <w:r>
                    <w:rPr>
                      <w:rFonts w:ascii="Times New Roman" w:hAnsi="Times New Roman" w:cs="Times New Roman"/>
                      <w:color w:val="auto"/>
                      <w:kern w:val="0"/>
                      <w:szCs w:val="21"/>
                      <w:highlight w:val="none"/>
                      <w:shd w:val="clear" w:color="auto" w:fill="FFFFFF"/>
                    </w:rPr>
                    <w:t>采用</w:t>
                  </w:r>
                  <w:r>
                    <w:rPr>
                      <w:rFonts w:hint="eastAsia" w:ascii="Times New Roman" w:hAnsi="Times New Roman" w:cs="Times New Roman"/>
                      <w:color w:val="auto"/>
                      <w:kern w:val="0"/>
                      <w:szCs w:val="21"/>
                      <w:highlight w:val="none"/>
                      <w:shd w:val="clear" w:color="auto" w:fill="FFFFFF"/>
                    </w:rPr>
                    <w:t>自动</w:t>
                  </w:r>
                  <w:r>
                    <w:rPr>
                      <w:rFonts w:ascii="Times New Roman" w:hAnsi="Times New Roman" w:cs="Times New Roman"/>
                      <w:color w:val="auto"/>
                      <w:kern w:val="0"/>
                      <w:szCs w:val="21"/>
                      <w:highlight w:val="none"/>
                      <w:shd w:val="clear" w:color="auto" w:fill="FFFFFF"/>
                    </w:rPr>
                    <w:t>喷涂技术，</w:t>
                  </w:r>
                  <w:r>
                    <w:rPr>
                      <w:rFonts w:hint="eastAsia" w:ascii="Times New Roman" w:hAnsi="Times New Roman" w:cs="Times New Roman"/>
                      <w:color w:val="auto"/>
                      <w:kern w:val="0"/>
                      <w:szCs w:val="21"/>
                      <w:highlight w:val="none"/>
                      <w:shd w:val="clear" w:color="auto" w:fill="FFFFFF"/>
                    </w:rPr>
                    <w:t>调漆在密闭的调漆房中进行、</w:t>
                  </w:r>
                  <w:r>
                    <w:rPr>
                      <w:rFonts w:ascii="Times New Roman" w:hAnsi="Times New Roman" w:cs="Times New Roman"/>
                      <w:color w:val="auto"/>
                      <w:kern w:val="0"/>
                      <w:szCs w:val="21"/>
                      <w:highlight w:val="none"/>
                      <w:shd w:val="clear" w:color="auto" w:fill="FFFFFF"/>
                    </w:rPr>
                    <w:t>喷漆在密闭的喷底漆房和喷面漆房中进行、烘干工序在密闭</w:t>
                  </w:r>
                  <w:r>
                    <w:rPr>
                      <w:rFonts w:hint="eastAsia" w:ascii="Times New Roman" w:hAnsi="Times New Roman" w:cs="Times New Roman"/>
                      <w:color w:val="auto"/>
                      <w:kern w:val="0"/>
                      <w:szCs w:val="21"/>
                      <w:highlight w:val="none"/>
                      <w:shd w:val="clear" w:color="auto" w:fill="FFFFFF"/>
                    </w:rPr>
                    <w:t>烘烤箱</w:t>
                  </w:r>
                  <w:r>
                    <w:rPr>
                      <w:rFonts w:hint="eastAsia" w:ascii="Times New Roman" w:hAnsi="Times New Roman" w:cs="Times New Roman"/>
                      <w:color w:val="auto"/>
                      <w:kern w:val="0"/>
                      <w:szCs w:val="21"/>
                      <w:highlight w:val="none"/>
                      <w:shd w:val="clear" w:color="auto" w:fill="FFFFFF"/>
                      <w:lang w:val="en-US" w:eastAsia="zh-CN"/>
                    </w:rPr>
                    <w:t>和烘道</w:t>
                  </w:r>
                  <w:r>
                    <w:rPr>
                      <w:rFonts w:hint="eastAsia" w:ascii="Times New Roman" w:hAnsi="Times New Roman" w:cs="Times New Roman"/>
                      <w:color w:val="auto"/>
                      <w:kern w:val="0"/>
                      <w:szCs w:val="21"/>
                      <w:highlight w:val="none"/>
                      <w:shd w:val="clear" w:color="auto" w:fill="FFFFFF"/>
                    </w:rPr>
                    <w:t>中进行</w:t>
                  </w:r>
                  <w:r>
                    <w:rPr>
                      <w:rFonts w:ascii="Times New Roman" w:hAnsi="Times New Roman" w:cs="Times New Roman"/>
                      <w:color w:val="auto"/>
                      <w:kern w:val="0"/>
                      <w:szCs w:val="21"/>
                      <w:highlight w:val="none"/>
                      <w:shd w:val="clear" w:color="auto" w:fill="FFFFFF"/>
                    </w:rPr>
                    <w:t>，</w:t>
                  </w:r>
                </w:p>
                <w:p w14:paraId="24BCB2D2">
                  <w:pPr>
                    <w:adjustRightInd w:val="0"/>
                    <w:snapToGrid w:val="0"/>
                    <w:spacing w:line="276" w:lineRule="auto"/>
                    <w:jc w:val="center"/>
                    <w:rPr>
                      <w:rFonts w:ascii="Times New Roman" w:hAnsi="Times New Roman" w:cs="Times New Roman"/>
                      <w:bCs/>
                      <w:color w:val="auto"/>
                      <w:kern w:val="0"/>
                      <w:szCs w:val="21"/>
                      <w:highlight w:val="none"/>
                      <w:shd w:val="clear" w:color="auto" w:fill="FFFFFF"/>
                    </w:rPr>
                  </w:pPr>
                  <w:r>
                    <w:rPr>
                      <w:rFonts w:hint="eastAsia" w:ascii="Times New Roman" w:hAnsi="Times New Roman" w:cs="Times New Roman"/>
                      <w:bCs/>
                      <w:color w:val="auto"/>
                      <w:kern w:val="0"/>
                      <w:szCs w:val="21"/>
                      <w:highlight w:val="none"/>
                      <w:shd w:val="clear" w:color="auto" w:fill="FFFFFF"/>
                    </w:rPr>
                    <w:t>上述工序作业过程中产生的含</w:t>
                  </w:r>
                  <w:r>
                    <w:rPr>
                      <w:rFonts w:ascii="Times New Roman" w:hAnsi="Times New Roman" w:cs="Times New Roman"/>
                      <w:color w:val="auto"/>
                      <w:kern w:val="0"/>
                      <w:szCs w:val="21"/>
                      <w:highlight w:val="none"/>
                      <w:shd w:val="clear" w:color="auto" w:fill="FFFFFF"/>
                    </w:rPr>
                    <w:t>VOCs废气</w:t>
                  </w:r>
                  <w:r>
                    <w:rPr>
                      <w:rFonts w:hint="eastAsia" w:ascii="Times New Roman" w:hAnsi="Times New Roman" w:cs="Times New Roman"/>
                      <w:bCs/>
                      <w:color w:val="auto"/>
                      <w:kern w:val="0"/>
                      <w:szCs w:val="21"/>
                      <w:highlight w:val="none"/>
                      <w:shd w:val="clear" w:color="auto" w:fill="FFFFFF"/>
                    </w:rPr>
                    <w:t>由负压收集后进入活性炭吸附处理</w:t>
                  </w:r>
                </w:p>
              </w:tc>
              <w:tc>
                <w:tcPr>
                  <w:tcW w:w="657" w:type="dxa"/>
                  <w:shd w:val="clear" w:color="auto" w:fill="auto"/>
                  <w:vAlign w:val="center"/>
                </w:tcPr>
                <w:p w14:paraId="0F12C25C">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符合</w:t>
                  </w:r>
                </w:p>
              </w:tc>
            </w:tr>
            <w:tr w14:paraId="0E343F8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80" w:type="dxa"/>
                  <w:shd w:val="clear" w:color="auto" w:fill="auto"/>
                  <w:vAlign w:val="center"/>
                </w:tcPr>
                <w:p w14:paraId="10F6875D">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3</w:t>
                  </w:r>
                </w:p>
              </w:tc>
              <w:tc>
                <w:tcPr>
                  <w:tcW w:w="3158" w:type="dxa"/>
                  <w:shd w:val="clear" w:color="auto" w:fill="auto"/>
                  <w:vAlign w:val="center"/>
                </w:tcPr>
                <w:p w14:paraId="63E99C3B">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企业应建立台账，记录含VOCs原辅材料和含VOCs产品的名称、使用量、回收量、废弃量、去向以及VOCs含量等信息。台账保存期限不少于</w:t>
                  </w:r>
                  <w:r>
                    <w:rPr>
                      <w:rFonts w:hint="eastAsia" w:ascii="Times New Roman" w:hAnsi="Times New Roman" w:cs="Times New Roman"/>
                      <w:color w:val="auto"/>
                      <w:kern w:val="0"/>
                      <w:szCs w:val="21"/>
                      <w:highlight w:val="none"/>
                      <w:shd w:val="clear" w:color="auto" w:fill="FFFFFF"/>
                    </w:rPr>
                    <w:t>5</w:t>
                  </w:r>
                  <w:r>
                    <w:rPr>
                      <w:rFonts w:ascii="Times New Roman" w:hAnsi="Times New Roman" w:cs="Times New Roman"/>
                      <w:color w:val="auto"/>
                      <w:kern w:val="0"/>
                      <w:szCs w:val="21"/>
                      <w:highlight w:val="none"/>
                      <w:shd w:val="clear" w:color="auto" w:fill="FFFFFF"/>
                    </w:rPr>
                    <w:t>年</w:t>
                  </w:r>
                </w:p>
              </w:tc>
              <w:tc>
                <w:tcPr>
                  <w:tcW w:w="2890" w:type="dxa"/>
                  <w:shd w:val="clear" w:color="auto" w:fill="auto"/>
                  <w:vAlign w:val="center"/>
                </w:tcPr>
                <w:p w14:paraId="17345CD7">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rPr>
                    <w:t>环评要求企业漆进出库均设置台账记录。废漆渣、废</w:t>
                  </w:r>
                  <w:r>
                    <w:rPr>
                      <w:rFonts w:hint="eastAsia" w:ascii="Times New Roman" w:hAnsi="Times New Roman" w:cs="Times New Roman"/>
                      <w:color w:val="auto"/>
                      <w:kern w:val="0"/>
                      <w:szCs w:val="21"/>
                      <w:highlight w:val="none"/>
                    </w:rPr>
                    <w:t>涂料</w:t>
                  </w:r>
                  <w:r>
                    <w:rPr>
                      <w:rFonts w:ascii="Times New Roman" w:hAnsi="Times New Roman" w:cs="Times New Roman"/>
                      <w:color w:val="auto"/>
                      <w:kern w:val="0"/>
                      <w:szCs w:val="21"/>
                      <w:highlight w:val="none"/>
                    </w:rPr>
                    <w:t>桶、废过滤棉、废活性炭、水帘喷漆定期更换的废液</w:t>
                  </w:r>
                  <w:r>
                    <w:rPr>
                      <w:rFonts w:hint="eastAsia" w:ascii="Times New Roman" w:hAnsi="Times New Roman" w:cs="Times New Roman"/>
                      <w:color w:val="auto"/>
                      <w:kern w:val="0"/>
                      <w:szCs w:val="21"/>
                      <w:highlight w:val="none"/>
                    </w:rPr>
                    <w:t>、废润滑油、废润滑油桶</w:t>
                  </w:r>
                  <w:r>
                    <w:rPr>
                      <w:rFonts w:ascii="Times New Roman" w:hAnsi="Times New Roman" w:cs="Times New Roman"/>
                      <w:color w:val="auto"/>
                      <w:kern w:val="0"/>
                      <w:szCs w:val="21"/>
                      <w:highlight w:val="none"/>
                    </w:rPr>
                    <w:t>等危险废物进出库也需设立台账记录。台账保存期限不少于</w:t>
                  </w:r>
                  <w:r>
                    <w:rPr>
                      <w:rFonts w:hint="eastAsia" w:ascii="Times New Roman" w:hAnsi="Times New Roman" w:cs="Times New Roman"/>
                      <w:color w:val="auto"/>
                      <w:kern w:val="0"/>
                      <w:szCs w:val="21"/>
                      <w:highlight w:val="none"/>
                    </w:rPr>
                    <w:t>5</w:t>
                  </w:r>
                  <w:r>
                    <w:rPr>
                      <w:rFonts w:ascii="Times New Roman" w:hAnsi="Times New Roman" w:cs="Times New Roman"/>
                      <w:color w:val="auto"/>
                      <w:kern w:val="0"/>
                      <w:szCs w:val="21"/>
                      <w:highlight w:val="none"/>
                    </w:rPr>
                    <w:t>年</w:t>
                  </w:r>
                </w:p>
              </w:tc>
              <w:tc>
                <w:tcPr>
                  <w:tcW w:w="657" w:type="dxa"/>
                  <w:shd w:val="clear" w:color="auto" w:fill="auto"/>
                  <w:vAlign w:val="center"/>
                </w:tcPr>
                <w:p w14:paraId="2094005C">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符合</w:t>
                  </w:r>
                </w:p>
              </w:tc>
            </w:tr>
          </w:tbl>
          <w:p w14:paraId="216510D9">
            <w:pPr>
              <w:adjustRightInd w:val="0"/>
              <w:snapToGrid w:val="0"/>
              <w:spacing w:line="360" w:lineRule="auto"/>
              <w:ind w:firstLine="480" w:firstLineChars="20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根据上表可知，本项目与</w:t>
            </w:r>
            <w:r>
              <w:rPr>
                <w:rFonts w:ascii="Times New Roman" w:hAnsi="Times New Roman" w:eastAsia="宋体" w:cs="宋体"/>
                <w:color w:val="auto"/>
                <w:kern w:val="0"/>
                <w:sz w:val="24"/>
                <w:szCs w:val="24"/>
                <w:highlight w:val="none"/>
              </w:rPr>
              <w:t>《挥发性有机物无组织排放控制标准》</w:t>
            </w:r>
            <w:r>
              <w:rPr>
                <w:rFonts w:hint="eastAsia" w:ascii="Times New Roman" w:hAnsi="Times New Roman" w:eastAsia="宋体" w:cs="宋体"/>
                <w:color w:val="auto"/>
                <w:kern w:val="0"/>
                <w:sz w:val="24"/>
                <w:szCs w:val="24"/>
                <w:highlight w:val="none"/>
              </w:rPr>
              <w:t>中的规定相符。</w:t>
            </w:r>
          </w:p>
          <w:p w14:paraId="056FD247">
            <w:pPr>
              <w:adjustRightInd w:val="0"/>
              <w:snapToGrid w:val="0"/>
              <w:spacing w:line="276" w:lineRule="auto"/>
              <w:ind w:firstLine="482" w:firstLineChars="200"/>
              <w:rPr>
                <w:rFonts w:ascii="Times New Roman" w:hAnsi="Times New Roman" w:cs="Times New Roman"/>
                <w:b/>
                <w:color w:val="auto"/>
                <w:kern w:val="0"/>
                <w:sz w:val="24"/>
                <w:szCs w:val="24"/>
                <w:highlight w:val="none"/>
              </w:rPr>
            </w:pPr>
            <w:r>
              <w:rPr>
                <w:rFonts w:hint="eastAsia" w:ascii="Times New Roman" w:hAnsi="Times New Roman" w:cs="Times New Roman"/>
                <w:b/>
                <w:color w:val="auto"/>
                <w:kern w:val="0"/>
                <w:sz w:val="24"/>
                <w:szCs w:val="24"/>
                <w:highlight w:val="none"/>
              </w:rPr>
              <w:t>7、与《安徽省低挥发性有机物含量原辅材料替代工作方案》的相符性分析</w:t>
            </w:r>
          </w:p>
          <w:p w14:paraId="31D9FC97">
            <w:pPr>
              <w:adjustRightInd w:val="0"/>
              <w:snapToGrid w:val="0"/>
              <w:spacing w:line="276" w:lineRule="auto"/>
              <w:jc w:val="center"/>
              <w:rPr>
                <w:rFonts w:ascii="Times New Roman" w:hAnsi="Times New Roman" w:eastAsia="黑体" w:cs="Times New Roman"/>
                <w:color w:val="auto"/>
                <w:kern w:val="0"/>
                <w:sz w:val="24"/>
                <w:highlight w:val="none"/>
              </w:rPr>
            </w:pPr>
            <w:r>
              <w:rPr>
                <w:rFonts w:ascii="Times New Roman" w:hAnsi="Times New Roman" w:eastAsia="黑体" w:cs="Times New Roman"/>
                <w:color w:val="auto"/>
                <w:kern w:val="0"/>
                <w:sz w:val="24"/>
                <w:szCs w:val="24"/>
                <w:highlight w:val="none"/>
              </w:rPr>
              <w:t>表1-</w:t>
            </w:r>
            <w:r>
              <w:rPr>
                <w:rFonts w:hint="eastAsia" w:ascii="Times New Roman" w:hAnsi="Times New Roman" w:eastAsia="黑体" w:cs="Times New Roman"/>
                <w:color w:val="auto"/>
                <w:kern w:val="0"/>
                <w:sz w:val="24"/>
                <w:szCs w:val="24"/>
                <w:highlight w:val="none"/>
              </w:rPr>
              <w:t xml:space="preserve">8  </w:t>
            </w:r>
            <w:r>
              <w:rPr>
                <w:rFonts w:ascii="Times New Roman" w:hAnsi="Times New Roman" w:eastAsia="黑体" w:cs="Times New Roman"/>
                <w:color w:val="auto"/>
                <w:kern w:val="0"/>
                <w:sz w:val="24"/>
                <w:highlight w:val="none"/>
              </w:rPr>
              <w:t>与</w:t>
            </w:r>
            <w:r>
              <w:rPr>
                <w:rFonts w:hint="eastAsia" w:ascii="Times New Roman" w:hAnsi="Times New Roman" w:eastAsia="黑体" w:cs="Times New Roman"/>
                <w:color w:val="auto"/>
                <w:kern w:val="0"/>
                <w:sz w:val="24"/>
                <w:highlight w:val="none"/>
              </w:rPr>
              <w:t>《安徽省低挥发性有机物含量原辅材料替代工作方案》</w:t>
            </w:r>
          </w:p>
          <w:p w14:paraId="6748A24B">
            <w:pPr>
              <w:adjustRightInd w:val="0"/>
              <w:snapToGrid w:val="0"/>
              <w:spacing w:line="276" w:lineRule="auto"/>
              <w:jc w:val="center"/>
              <w:rPr>
                <w:rFonts w:ascii="Times New Roman" w:hAnsi="Times New Roman" w:eastAsia="黑体" w:cs="Times New Roman"/>
                <w:color w:val="auto"/>
                <w:kern w:val="0"/>
                <w:sz w:val="24"/>
                <w:highlight w:val="none"/>
              </w:rPr>
            </w:pPr>
            <w:r>
              <w:rPr>
                <w:rFonts w:ascii="Times New Roman" w:hAnsi="Times New Roman" w:eastAsia="黑体" w:cs="Times New Roman"/>
                <w:color w:val="auto"/>
                <w:kern w:val="0"/>
                <w:sz w:val="24"/>
                <w:highlight w:val="none"/>
              </w:rPr>
              <w:t>相符性分析</w:t>
            </w:r>
          </w:p>
          <w:tbl>
            <w:tblPr>
              <w:tblStyle w:val="18"/>
              <w:tblW w:w="5000" w:type="pct"/>
              <w:tblInd w:w="0" w:type="dxa"/>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931"/>
              <w:gridCol w:w="2335"/>
              <w:gridCol w:w="920"/>
            </w:tblGrid>
            <w:tr w14:paraId="2128DD84">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45" w:type="pct"/>
                  <w:vAlign w:val="center"/>
                </w:tcPr>
                <w:p w14:paraId="2BAEC41D">
                  <w:pPr>
                    <w:adjustRightInd w:val="0"/>
                    <w:snapToGrid w:val="0"/>
                    <w:spacing w:line="276" w:lineRule="auto"/>
                    <w:jc w:val="center"/>
                    <w:rPr>
                      <w:rFonts w:ascii="Times New Roman" w:hAnsi="Times New Roman" w:cs="Times New Roman"/>
                      <w:b/>
                      <w:color w:val="auto"/>
                      <w:kern w:val="0"/>
                      <w:szCs w:val="21"/>
                      <w:highlight w:val="none"/>
                    </w:rPr>
                  </w:pPr>
                  <w:r>
                    <w:rPr>
                      <w:rFonts w:hint="eastAsia" w:ascii="Times New Roman" w:hAnsi="Times New Roman" w:cs="Times New Roman"/>
                      <w:b/>
                      <w:color w:val="auto"/>
                      <w:kern w:val="0"/>
                      <w:szCs w:val="21"/>
                      <w:highlight w:val="none"/>
                    </w:rPr>
                    <w:t>方案内容</w:t>
                  </w:r>
                </w:p>
              </w:tc>
              <w:tc>
                <w:tcPr>
                  <w:tcW w:w="1393" w:type="pct"/>
                  <w:vAlign w:val="center"/>
                </w:tcPr>
                <w:p w14:paraId="66B2A01E">
                  <w:pPr>
                    <w:adjustRightInd w:val="0"/>
                    <w:snapToGrid w:val="0"/>
                    <w:spacing w:line="276" w:lineRule="auto"/>
                    <w:jc w:val="center"/>
                    <w:rPr>
                      <w:rFonts w:ascii="Times New Roman" w:hAnsi="Times New Roman" w:cs="Times New Roman"/>
                      <w:b/>
                      <w:color w:val="auto"/>
                      <w:kern w:val="0"/>
                      <w:szCs w:val="21"/>
                      <w:highlight w:val="none"/>
                    </w:rPr>
                  </w:pPr>
                  <w:r>
                    <w:rPr>
                      <w:rFonts w:hint="eastAsia" w:ascii="Times New Roman" w:hAnsi="Times New Roman" w:cs="Times New Roman"/>
                      <w:b/>
                      <w:color w:val="auto"/>
                      <w:kern w:val="0"/>
                      <w:szCs w:val="21"/>
                      <w:highlight w:val="none"/>
                    </w:rPr>
                    <w:t>本项目</w:t>
                  </w:r>
                </w:p>
              </w:tc>
              <w:tc>
                <w:tcPr>
                  <w:tcW w:w="549" w:type="pct"/>
                  <w:vAlign w:val="center"/>
                </w:tcPr>
                <w:p w14:paraId="16CBAA28">
                  <w:pPr>
                    <w:adjustRightInd w:val="0"/>
                    <w:snapToGrid w:val="0"/>
                    <w:spacing w:line="276" w:lineRule="auto"/>
                    <w:jc w:val="center"/>
                    <w:rPr>
                      <w:rFonts w:ascii="Times New Roman" w:hAnsi="Times New Roman" w:cs="Times New Roman"/>
                      <w:b/>
                      <w:color w:val="auto"/>
                      <w:kern w:val="0"/>
                      <w:szCs w:val="21"/>
                      <w:highlight w:val="none"/>
                    </w:rPr>
                  </w:pPr>
                  <w:r>
                    <w:rPr>
                      <w:rFonts w:hint="eastAsia" w:ascii="Times New Roman" w:hAnsi="Times New Roman" w:cs="Times New Roman"/>
                      <w:b/>
                      <w:color w:val="auto"/>
                      <w:kern w:val="0"/>
                      <w:szCs w:val="21"/>
                      <w:highlight w:val="none"/>
                    </w:rPr>
                    <w:t>相符性</w:t>
                  </w:r>
                </w:p>
              </w:tc>
            </w:tr>
            <w:tr w14:paraId="0BC3B3A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45" w:type="pct"/>
                  <w:vAlign w:val="center"/>
                </w:tcPr>
                <w:p w14:paraId="013D41BB">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加强替代管理。工业涂装、包装印刷、竹木加工、家具制造、汽车修理与维护、鞋和皮革制品制造等重点行业企业，要按照《低挥发性有机物含量原辅材料源头替代技术指引(试行)》（附件3）要求，开展低VOCs原辅材料和生产方式替代，优化管控台账及档案管理，持续提升环境管理水平。各地要根据《关于深入开展挥发性有机物污染治理工作的通知》(皖大气办[2021]4号)要求，在认真梳理2021至2023年度VOCs源头削减治理项目清单基础上,对涉VOCs重点行业和使用溶剂型涂料、油墨、胶粘剂、清洗剂以及涉及有机化工生产的产业集群进行再排查，将含VOCs原辅材料使用企业全面纳入源头替代企业排查台账（附件2）对具备替代条件的，加强调度指导；对无法替代的，要开展论证核实，严格把关并逐一说明。</w:t>
                  </w:r>
                </w:p>
              </w:tc>
              <w:tc>
                <w:tcPr>
                  <w:tcW w:w="1393" w:type="pct"/>
                  <w:vMerge w:val="restart"/>
                  <w:vAlign w:val="center"/>
                </w:tcPr>
                <w:p w14:paraId="68D22036">
                  <w:pPr>
                    <w:adjustRightInd w:val="0"/>
                    <w:snapToGrid w:val="0"/>
                    <w:spacing w:line="276" w:lineRule="auto"/>
                    <w:jc w:val="center"/>
                    <w:rPr>
                      <w:rFonts w:ascii="Times New Roman" w:hAnsi="Times New Roman" w:cs="Times New Roman"/>
                      <w:bCs/>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本项目</w:t>
                  </w:r>
                  <w:r>
                    <w:rPr>
                      <w:rFonts w:hint="eastAsia" w:ascii="Times New Roman" w:hAnsi="Times New Roman" w:cs="Times New Roman"/>
                      <w:bCs/>
                      <w:color w:val="auto"/>
                      <w:kern w:val="0"/>
                      <w:szCs w:val="21"/>
                      <w:highlight w:val="none"/>
                      <w:shd w:val="clear" w:color="auto" w:fill="FFFFFF"/>
                    </w:rPr>
                    <w:t>水性底漆和水性面漆即用状态下</w:t>
                  </w:r>
                  <w:r>
                    <w:rPr>
                      <w:rFonts w:ascii="Times New Roman" w:hAnsi="Times New Roman" w:cs="Times New Roman"/>
                      <w:bCs/>
                      <w:color w:val="auto"/>
                      <w:kern w:val="0"/>
                      <w:szCs w:val="21"/>
                      <w:highlight w:val="none"/>
                      <w:shd w:val="clear" w:color="auto" w:fill="FFFFFF"/>
                    </w:rPr>
                    <w:t>VOCs</w:t>
                  </w:r>
                  <w:r>
                    <w:rPr>
                      <w:rFonts w:hint="eastAsia" w:ascii="Times New Roman" w:hAnsi="Times New Roman" w:cs="Times New Roman"/>
                      <w:bCs/>
                      <w:color w:val="auto"/>
                      <w:kern w:val="0"/>
                      <w:szCs w:val="21"/>
                      <w:highlight w:val="none"/>
                      <w:shd w:val="clear" w:color="auto" w:fill="FFFFFF"/>
                    </w:rPr>
                    <w:t>含量满足《低挥发性有机化合物含量涂料产品技术要求》（GB/T38597-2020）表1水性涂料中VOC含量的要求“汽车原厂涂料（乘用车）”底漆限量值</w:t>
                  </w:r>
                  <w:r>
                    <w:rPr>
                      <w:rFonts w:hint="eastAsia" w:ascii="Times New Roman" w:hAnsi="Times New Roman" w:cs="Times New Roman"/>
                      <w:b/>
                      <w:bCs/>
                      <w:color w:val="auto"/>
                      <w:kern w:val="0"/>
                      <w:szCs w:val="21"/>
                      <w:highlight w:val="none"/>
                      <w:shd w:val="clear" w:color="auto" w:fill="FFFFFF"/>
                    </w:rPr>
                    <w:t>不高于420g/L、面漆限量值不高于350g/L</w:t>
                  </w:r>
                  <w:r>
                    <w:rPr>
                      <w:rFonts w:hint="eastAsia" w:ascii="Times New Roman" w:hAnsi="Times New Roman" w:cs="Times New Roman"/>
                      <w:bCs/>
                      <w:color w:val="auto"/>
                      <w:kern w:val="0"/>
                      <w:szCs w:val="21"/>
                      <w:highlight w:val="none"/>
                      <w:shd w:val="clear" w:color="auto" w:fill="FFFFFF"/>
                    </w:rPr>
                    <w:t>的要求，底漆和面漆中甲苯和二甲苯含量为0%，满足《涂料中有害物质限量 第2部分：工业涂料》（GB30981.2-2025）中甲苯和二甲苯总含量≤</w:t>
                  </w:r>
                  <w:r>
                    <w:rPr>
                      <w:rFonts w:hint="eastAsia" w:ascii="Times New Roman" w:hAnsi="Times New Roman" w:cs="Times New Roman"/>
                      <w:bCs/>
                      <w:color w:val="auto"/>
                      <w:kern w:val="0"/>
                      <w:szCs w:val="21"/>
                      <w:highlight w:val="none"/>
                      <w:shd w:val="clear" w:color="auto" w:fill="FFFFFF"/>
                      <w:lang w:val="en-US" w:eastAsia="zh-CN"/>
                    </w:rPr>
                    <w:t>2</w:t>
                  </w:r>
                  <w:r>
                    <w:rPr>
                      <w:rFonts w:hint="eastAsia" w:ascii="Times New Roman" w:hAnsi="Times New Roman" w:cs="Times New Roman"/>
                      <w:bCs/>
                      <w:color w:val="auto"/>
                      <w:kern w:val="0"/>
                      <w:szCs w:val="21"/>
                      <w:highlight w:val="none"/>
                      <w:shd w:val="clear" w:color="auto" w:fill="FFFFFF"/>
                    </w:rPr>
                    <w:t>0%的要求</w:t>
                  </w:r>
                </w:p>
              </w:tc>
              <w:tc>
                <w:tcPr>
                  <w:tcW w:w="549" w:type="pct"/>
                  <w:vMerge w:val="restart"/>
                  <w:vAlign w:val="center"/>
                </w:tcPr>
                <w:p w14:paraId="650B732A">
                  <w:pPr>
                    <w:adjustRightInd w:val="0"/>
                    <w:snapToGrid w:val="0"/>
                    <w:spacing w:line="276" w:lineRule="auto"/>
                    <w:jc w:val="center"/>
                    <w:rPr>
                      <w:rFonts w:ascii="Times New Roman" w:hAnsi="Times New Roman" w:cs="Times New Roman"/>
                      <w:b/>
                      <w:color w:val="auto"/>
                      <w:kern w:val="0"/>
                      <w:szCs w:val="21"/>
                      <w:highlight w:val="none"/>
                    </w:rPr>
                  </w:pPr>
                  <w:r>
                    <w:rPr>
                      <w:rFonts w:hint="eastAsia" w:ascii="Times New Roman" w:hAnsi="Times New Roman" w:cs="Times New Roman"/>
                      <w:b/>
                      <w:color w:val="auto"/>
                      <w:kern w:val="0"/>
                      <w:szCs w:val="21"/>
                      <w:highlight w:val="none"/>
                    </w:rPr>
                    <w:t>相符</w:t>
                  </w:r>
                </w:p>
              </w:tc>
            </w:tr>
            <w:tr w14:paraId="71B544ED">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45" w:type="pct"/>
                  <w:vAlign w:val="center"/>
                </w:tcPr>
                <w:p w14:paraId="25965FD1">
                  <w:pPr>
                    <w:adjustRightInd w:val="0"/>
                    <w:snapToGrid w:val="0"/>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严格项目准入。根据《低挥发性有机化合物含量涂料产品技术要求》(GB/T 38597-2020)要求，进一步完善VOCs排放管控地方标准建设，细化相关行业涂料种类及各项污染物指标限值，编制实施固定源挥发性有机物综合排放标准和制鞋、汽修、木材等行业大气污染物排放标准。禁止建设生产和使用高VOCs含量的溶剂型涂料、油墨、胶黏剂等项目，全省工业涂装、包装印刷等重点行业和涂料、油墨等生产企业的新(改、扩)建项目需满足低（无）VOCs含量限值要求。省内市场上流通的水性涂料等低VOCs含量涂料产品，执行《低挥发性有机化合物含量涂料产品技术要求》，应在包装标志或产品说明上标明符合标准的分类、产品类别及产品类型(或施涂方式)。</w:t>
                  </w:r>
                </w:p>
              </w:tc>
              <w:tc>
                <w:tcPr>
                  <w:tcW w:w="1393" w:type="pct"/>
                  <w:vMerge w:val="continue"/>
                  <w:vAlign w:val="center"/>
                </w:tcPr>
                <w:p w14:paraId="1B9C2D88">
                  <w:pPr>
                    <w:adjustRightInd w:val="0"/>
                    <w:snapToGrid w:val="0"/>
                    <w:spacing w:line="276" w:lineRule="auto"/>
                    <w:jc w:val="center"/>
                    <w:rPr>
                      <w:rFonts w:ascii="Times New Roman" w:hAnsi="Times New Roman" w:cs="Times New Roman"/>
                      <w:b/>
                      <w:color w:val="auto"/>
                      <w:kern w:val="0"/>
                      <w:szCs w:val="21"/>
                      <w:highlight w:val="none"/>
                    </w:rPr>
                  </w:pPr>
                </w:p>
              </w:tc>
              <w:tc>
                <w:tcPr>
                  <w:tcW w:w="549" w:type="pct"/>
                  <w:vMerge w:val="continue"/>
                  <w:vAlign w:val="center"/>
                </w:tcPr>
                <w:p w14:paraId="7088C333">
                  <w:pPr>
                    <w:adjustRightInd w:val="0"/>
                    <w:snapToGrid w:val="0"/>
                    <w:spacing w:line="276" w:lineRule="auto"/>
                    <w:jc w:val="center"/>
                    <w:rPr>
                      <w:rFonts w:ascii="Times New Roman" w:hAnsi="Times New Roman" w:cs="Times New Roman"/>
                      <w:b/>
                      <w:color w:val="auto"/>
                      <w:kern w:val="0"/>
                      <w:szCs w:val="21"/>
                      <w:highlight w:val="none"/>
                    </w:rPr>
                  </w:pPr>
                </w:p>
              </w:tc>
            </w:tr>
          </w:tbl>
          <w:p w14:paraId="35AA35BB">
            <w:pPr>
              <w:adjustRightInd w:val="0"/>
              <w:snapToGrid w:val="0"/>
              <w:spacing w:line="276" w:lineRule="auto"/>
              <w:ind w:firstLine="482" w:firstLineChars="200"/>
              <w:rPr>
                <w:rFonts w:ascii="Times New Roman" w:hAnsi="Times New Roman"/>
                <w:b/>
                <w:color w:val="auto"/>
                <w:kern w:val="0"/>
                <w:sz w:val="24"/>
                <w:szCs w:val="24"/>
                <w:highlight w:val="none"/>
              </w:rPr>
            </w:pPr>
            <w:r>
              <w:rPr>
                <w:rFonts w:hint="eastAsia" w:ascii="Times New Roman" w:hAnsi="Times New Roman" w:cs="Times New Roman"/>
                <w:b/>
                <w:color w:val="auto"/>
                <w:kern w:val="0"/>
                <w:sz w:val="24"/>
                <w:szCs w:val="24"/>
                <w:highlight w:val="none"/>
              </w:rPr>
              <w:t>8、</w:t>
            </w:r>
            <w:r>
              <w:rPr>
                <w:rFonts w:hint="eastAsia" w:ascii="Times New Roman" w:hAnsi="Times New Roman"/>
                <w:b/>
                <w:color w:val="auto"/>
                <w:kern w:val="0"/>
                <w:sz w:val="24"/>
                <w:szCs w:val="24"/>
                <w:highlight w:val="none"/>
              </w:rPr>
              <w:t>与《安徽省“十四五”生态环境保护规划》（皖环发[2022]8号文）</w:t>
            </w:r>
            <w:r>
              <w:rPr>
                <w:rFonts w:ascii="Times New Roman" w:hAnsi="Times New Roman"/>
                <w:b/>
                <w:color w:val="auto"/>
                <w:kern w:val="0"/>
                <w:sz w:val="24"/>
                <w:szCs w:val="24"/>
                <w:highlight w:val="none"/>
              </w:rPr>
              <w:t>符合性分析</w:t>
            </w:r>
          </w:p>
          <w:p w14:paraId="7800F9E4">
            <w:pPr>
              <w:adjustRightInd w:val="0"/>
              <w:snapToGrid w:val="0"/>
              <w:spacing w:line="276" w:lineRule="auto"/>
              <w:jc w:val="center"/>
              <w:rPr>
                <w:rFonts w:ascii="Times New Roman" w:hAnsi="Times New Roman" w:eastAsia="黑体"/>
                <w:color w:val="auto"/>
                <w:kern w:val="0"/>
                <w:sz w:val="24"/>
                <w:highlight w:val="none"/>
              </w:rPr>
            </w:pPr>
            <w:r>
              <w:rPr>
                <w:rFonts w:ascii="Times New Roman" w:hAnsi="Times New Roman" w:eastAsia="黑体"/>
                <w:color w:val="auto"/>
                <w:kern w:val="0"/>
                <w:sz w:val="24"/>
                <w:highlight w:val="none"/>
              </w:rPr>
              <w:t>表</w:t>
            </w:r>
            <w:r>
              <w:rPr>
                <w:rFonts w:hint="eastAsia" w:ascii="Times New Roman" w:hAnsi="Times New Roman" w:eastAsia="黑体"/>
                <w:color w:val="auto"/>
                <w:kern w:val="0"/>
                <w:sz w:val="24"/>
                <w:highlight w:val="none"/>
              </w:rPr>
              <w:t>1-9  与《安徽省“十四五”生态环境保护规划》（皖环发[2022]8号文）相符</w:t>
            </w:r>
            <w:r>
              <w:rPr>
                <w:rFonts w:ascii="Times New Roman" w:hAnsi="Times New Roman" w:eastAsia="黑体"/>
                <w:color w:val="auto"/>
                <w:kern w:val="0"/>
                <w:sz w:val="24"/>
                <w:highlight w:val="none"/>
              </w:rPr>
              <w:t>性分析</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486"/>
              <w:gridCol w:w="3612"/>
              <w:gridCol w:w="2603"/>
              <w:gridCol w:w="485"/>
            </w:tblGrid>
            <w:tr w14:paraId="1298B2F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86" w:type="dxa"/>
                  <w:vAlign w:val="center"/>
                </w:tcPr>
                <w:p w14:paraId="47C64034">
                  <w:pPr>
                    <w:adjustRightInd w:val="0"/>
                    <w:snapToGrid w:val="0"/>
                    <w:spacing w:line="276" w:lineRule="auto"/>
                    <w:jc w:val="center"/>
                    <w:rPr>
                      <w:rFonts w:ascii="Times New Roman" w:hAnsi="Times New Roman"/>
                      <w:b/>
                      <w:color w:val="auto"/>
                      <w:kern w:val="0"/>
                      <w:szCs w:val="21"/>
                      <w:highlight w:val="none"/>
                    </w:rPr>
                  </w:pPr>
                  <w:r>
                    <w:rPr>
                      <w:rFonts w:ascii="Times New Roman" w:hAnsi="Times New Roman"/>
                      <w:b/>
                      <w:color w:val="auto"/>
                      <w:kern w:val="0"/>
                      <w:szCs w:val="21"/>
                      <w:highlight w:val="none"/>
                    </w:rPr>
                    <w:t>序号</w:t>
                  </w:r>
                </w:p>
              </w:tc>
              <w:tc>
                <w:tcPr>
                  <w:tcW w:w="3611" w:type="dxa"/>
                  <w:vAlign w:val="center"/>
                </w:tcPr>
                <w:p w14:paraId="6C293507">
                  <w:pPr>
                    <w:adjustRightInd w:val="0"/>
                    <w:snapToGrid w:val="0"/>
                    <w:spacing w:line="276" w:lineRule="auto"/>
                    <w:jc w:val="center"/>
                    <w:rPr>
                      <w:rFonts w:ascii="Times New Roman" w:hAnsi="Times New Roman"/>
                      <w:b/>
                      <w:color w:val="auto"/>
                      <w:kern w:val="0"/>
                      <w:szCs w:val="21"/>
                      <w:highlight w:val="none"/>
                    </w:rPr>
                  </w:pPr>
                  <w:r>
                    <w:rPr>
                      <w:rFonts w:hint="eastAsia" w:ascii="Times New Roman" w:hAnsi="Times New Roman"/>
                      <w:b/>
                      <w:color w:val="auto"/>
                      <w:kern w:val="0"/>
                      <w:szCs w:val="21"/>
                      <w:highlight w:val="none"/>
                    </w:rPr>
                    <w:t>与</w:t>
                  </w:r>
                  <w:r>
                    <w:rPr>
                      <w:rFonts w:ascii="Times New Roman" w:hAnsi="Times New Roman"/>
                      <w:b/>
                      <w:color w:val="auto"/>
                      <w:kern w:val="0"/>
                      <w:szCs w:val="21"/>
                      <w:highlight w:val="none"/>
                    </w:rPr>
                    <w:t>本项目相关的要求</w:t>
                  </w:r>
                </w:p>
              </w:tc>
              <w:tc>
                <w:tcPr>
                  <w:tcW w:w="2603" w:type="dxa"/>
                  <w:vAlign w:val="center"/>
                </w:tcPr>
                <w:p w14:paraId="6442A04E">
                  <w:pPr>
                    <w:adjustRightInd w:val="0"/>
                    <w:snapToGrid w:val="0"/>
                    <w:spacing w:line="276" w:lineRule="auto"/>
                    <w:jc w:val="center"/>
                    <w:rPr>
                      <w:rFonts w:ascii="Times New Roman" w:hAnsi="Times New Roman"/>
                      <w:b/>
                      <w:color w:val="auto"/>
                      <w:kern w:val="0"/>
                      <w:szCs w:val="21"/>
                      <w:highlight w:val="none"/>
                    </w:rPr>
                  </w:pPr>
                  <w:r>
                    <w:rPr>
                      <w:rFonts w:ascii="Times New Roman"/>
                      <w:b/>
                      <w:color w:val="auto"/>
                      <w:kern w:val="0"/>
                      <w:szCs w:val="21"/>
                      <w:highlight w:val="none"/>
                    </w:rPr>
                    <w:t>本项目</w:t>
                  </w:r>
                  <w:r>
                    <w:rPr>
                      <w:rFonts w:hint="eastAsia" w:ascii="Times New Roman"/>
                      <w:b/>
                      <w:color w:val="auto"/>
                      <w:kern w:val="0"/>
                      <w:szCs w:val="21"/>
                      <w:highlight w:val="none"/>
                    </w:rPr>
                    <w:t>情况</w:t>
                  </w:r>
                </w:p>
              </w:tc>
              <w:tc>
                <w:tcPr>
                  <w:tcW w:w="485" w:type="dxa"/>
                  <w:vAlign w:val="center"/>
                </w:tcPr>
                <w:p w14:paraId="6F557299">
                  <w:pPr>
                    <w:adjustRightInd w:val="0"/>
                    <w:snapToGrid w:val="0"/>
                    <w:spacing w:line="276" w:lineRule="auto"/>
                    <w:jc w:val="center"/>
                    <w:rPr>
                      <w:rFonts w:ascii="Times New Roman" w:hAnsi="Times New Roman"/>
                      <w:b/>
                      <w:color w:val="auto"/>
                      <w:kern w:val="0"/>
                      <w:szCs w:val="21"/>
                      <w:highlight w:val="none"/>
                    </w:rPr>
                  </w:pPr>
                  <w:r>
                    <w:rPr>
                      <w:rFonts w:ascii="Times New Roman"/>
                      <w:b/>
                      <w:color w:val="auto"/>
                      <w:kern w:val="0"/>
                      <w:szCs w:val="21"/>
                      <w:highlight w:val="none"/>
                    </w:rPr>
                    <w:t>相符性</w:t>
                  </w:r>
                </w:p>
              </w:tc>
            </w:tr>
            <w:tr w14:paraId="55B7326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86" w:type="dxa"/>
                  <w:vAlign w:val="center"/>
                </w:tcPr>
                <w:p w14:paraId="78C4D2B2">
                  <w:pPr>
                    <w:adjustRightInd w:val="0"/>
                    <w:snapToGrid w:val="0"/>
                    <w:spacing w:line="276" w:lineRule="auto"/>
                    <w:jc w:val="center"/>
                    <w:rPr>
                      <w:rFonts w:ascii="Times New Roman" w:hAnsi="Times New Roman"/>
                      <w:color w:val="auto"/>
                      <w:kern w:val="0"/>
                      <w:szCs w:val="21"/>
                      <w:highlight w:val="none"/>
                    </w:rPr>
                  </w:pPr>
                  <w:r>
                    <w:rPr>
                      <w:rFonts w:ascii="Times New Roman" w:hAnsi="Times New Roman"/>
                      <w:color w:val="auto"/>
                      <w:kern w:val="0"/>
                      <w:szCs w:val="21"/>
                      <w:highlight w:val="none"/>
                    </w:rPr>
                    <w:t>1</w:t>
                  </w:r>
                </w:p>
              </w:tc>
              <w:tc>
                <w:tcPr>
                  <w:tcW w:w="3611" w:type="dxa"/>
                  <w:vAlign w:val="center"/>
                </w:tcPr>
                <w:p w14:paraId="33F36CF6">
                  <w:pPr>
                    <w:adjustRightInd w:val="0"/>
                    <w:snapToGrid w:val="0"/>
                    <w:spacing w:line="276" w:lineRule="auto"/>
                    <w:jc w:val="center"/>
                    <w:rPr>
                      <w:rFonts w:ascii="Times New Roman" w:hAnsi="Times New Roman"/>
                      <w:color w:val="auto"/>
                      <w:kern w:val="0"/>
                      <w:szCs w:val="21"/>
                      <w:highlight w:val="none"/>
                    </w:rPr>
                  </w:pPr>
                  <w:r>
                    <w:rPr>
                      <w:rFonts w:hint="eastAsia" w:ascii="Times New Roman"/>
                      <w:color w:val="auto"/>
                      <w:kern w:val="0"/>
                      <w:szCs w:val="21"/>
                      <w:highlight w:val="none"/>
                    </w:rPr>
                    <w:t>加快推进低碳发展。大气污染防治重点区域内新、改、扩建项目实施煤炭消费减量替代。加快推进能源结构调整，提高非化石能源消费比重，系统提升清洁低碳能源比例，积极扩大天然气利用</w:t>
                  </w:r>
                </w:p>
              </w:tc>
              <w:tc>
                <w:tcPr>
                  <w:tcW w:w="2603" w:type="dxa"/>
                  <w:vAlign w:val="center"/>
                </w:tcPr>
                <w:p w14:paraId="2218D2B7">
                  <w:pPr>
                    <w:adjustRightInd w:val="0"/>
                    <w:snapToGrid w:val="0"/>
                    <w:spacing w:line="276" w:lineRule="auto"/>
                    <w:jc w:val="center"/>
                    <w:rPr>
                      <w:rFonts w:ascii="Times New Roman" w:hAnsi="Times New Roman"/>
                      <w:color w:val="auto"/>
                      <w:kern w:val="0"/>
                      <w:szCs w:val="21"/>
                      <w:highlight w:val="none"/>
                    </w:rPr>
                  </w:pPr>
                  <w:r>
                    <w:rPr>
                      <w:rFonts w:ascii="Times New Roman" w:hAnsi="Times New Roman"/>
                      <w:color w:val="auto"/>
                      <w:kern w:val="0"/>
                      <w:szCs w:val="21"/>
                      <w:highlight w:val="none"/>
                    </w:rPr>
                    <w:t>本项目</w:t>
                  </w:r>
                  <w:r>
                    <w:rPr>
                      <w:rFonts w:hint="eastAsia" w:ascii="Times New Roman" w:hAnsi="Times New Roman"/>
                      <w:color w:val="auto"/>
                      <w:kern w:val="0"/>
                      <w:szCs w:val="21"/>
                      <w:highlight w:val="none"/>
                    </w:rPr>
                    <w:t>不涉及</w:t>
                  </w:r>
                  <w:r>
                    <w:rPr>
                      <w:rFonts w:ascii="Times New Roman" w:hAnsi="Times New Roman"/>
                      <w:color w:val="auto"/>
                      <w:kern w:val="0"/>
                      <w:szCs w:val="21"/>
                      <w:highlight w:val="none"/>
                    </w:rPr>
                    <w:t>煤炭使用</w:t>
                  </w:r>
                </w:p>
              </w:tc>
              <w:tc>
                <w:tcPr>
                  <w:tcW w:w="485" w:type="dxa"/>
                  <w:vAlign w:val="center"/>
                </w:tcPr>
                <w:p w14:paraId="74DE0999">
                  <w:pPr>
                    <w:adjustRightInd w:val="0"/>
                    <w:snapToGrid w:val="0"/>
                    <w:spacing w:line="276" w:lineRule="auto"/>
                    <w:jc w:val="center"/>
                    <w:rPr>
                      <w:rFonts w:ascii="Times New Roman" w:hAnsi="Times New Roman"/>
                      <w:color w:val="auto"/>
                      <w:kern w:val="0"/>
                      <w:szCs w:val="21"/>
                      <w:highlight w:val="none"/>
                    </w:rPr>
                  </w:pPr>
                  <w:r>
                    <w:rPr>
                      <w:rFonts w:ascii="Times New Roman"/>
                      <w:color w:val="auto"/>
                      <w:kern w:val="0"/>
                      <w:szCs w:val="21"/>
                      <w:highlight w:val="none"/>
                    </w:rPr>
                    <w:t>符合</w:t>
                  </w:r>
                </w:p>
              </w:tc>
            </w:tr>
            <w:tr w14:paraId="2ACCCA0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PrEx>
              <w:trPr>
                <w:jc w:val="center"/>
              </w:trPr>
              <w:tc>
                <w:tcPr>
                  <w:tcW w:w="486" w:type="dxa"/>
                  <w:vAlign w:val="center"/>
                </w:tcPr>
                <w:p w14:paraId="7521D69B">
                  <w:pPr>
                    <w:adjustRightInd w:val="0"/>
                    <w:snapToGrid w:val="0"/>
                    <w:spacing w:line="276" w:lineRule="auto"/>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2</w:t>
                  </w:r>
                </w:p>
              </w:tc>
              <w:tc>
                <w:tcPr>
                  <w:tcW w:w="3611" w:type="dxa"/>
                  <w:vAlign w:val="center"/>
                </w:tcPr>
                <w:p w14:paraId="73160923">
                  <w:pPr>
                    <w:adjustRightInd w:val="0"/>
                    <w:snapToGrid w:val="0"/>
                    <w:spacing w:line="276" w:lineRule="auto"/>
                    <w:jc w:val="center"/>
                    <w:rPr>
                      <w:rFonts w:ascii="Times New Roman"/>
                      <w:color w:val="auto"/>
                      <w:kern w:val="0"/>
                      <w:szCs w:val="21"/>
                      <w:highlight w:val="none"/>
                    </w:rPr>
                  </w:pPr>
                  <w:r>
                    <w:rPr>
                      <w:rFonts w:hint="eastAsia" w:ascii="Times New Roman"/>
                      <w:color w:val="auto"/>
                      <w:kern w:val="0"/>
                      <w:szCs w:val="21"/>
                      <w:highlight w:val="none"/>
                    </w:rPr>
                    <w:t>持续推进固定污染源治理。强化挥发性有机物VOCs治理精细化管理，在石化、化工、包装印刷、工业涂装等重点行业建立完善源头、过程和末端的VOCs全过程控制体系，实施VOCs排放总量控制</w:t>
                  </w:r>
                </w:p>
              </w:tc>
              <w:tc>
                <w:tcPr>
                  <w:tcW w:w="2603" w:type="dxa"/>
                  <w:vAlign w:val="center"/>
                </w:tcPr>
                <w:p w14:paraId="7C9037CE">
                  <w:pPr>
                    <w:adjustRightInd w:val="0"/>
                    <w:snapToGrid w:val="0"/>
                    <w:spacing w:line="276" w:lineRule="auto"/>
                    <w:jc w:val="center"/>
                    <w:rPr>
                      <w:rFonts w:ascii="Times New Roman" w:hAnsi="Times New Roman"/>
                      <w:color w:val="auto"/>
                      <w:kern w:val="0"/>
                      <w:szCs w:val="21"/>
                      <w:highlight w:val="none"/>
                    </w:rPr>
                  </w:pPr>
                  <w:r>
                    <w:rPr>
                      <w:rFonts w:ascii="Times New Roman" w:hAnsi="Times New Roman"/>
                      <w:color w:val="auto"/>
                      <w:kern w:val="0"/>
                      <w:szCs w:val="21"/>
                      <w:highlight w:val="none"/>
                    </w:rPr>
                    <w:t>本项目生产过程中涉及VOC</w:t>
                  </w:r>
                  <w:r>
                    <w:rPr>
                      <w:rFonts w:hint="eastAsia" w:ascii="Times New Roman" w:hAnsi="Times New Roman"/>
                      <w:color w:val="auto"/>
                      <w:kern w:val="0"/>
                      <w:szCs w:val="21"/>
                      <w:highlight w:val="none"/>
                    </w:rPr>
                    <w:t>s，</w:t>
                  </w:r>
                  <w:r>
                    <w:rPr>
                      <w:rFonts w:ascii="Times New Roman" w:cs="Times New Roman" w:hAnsiTheme="minorEastAsia"/>
                      <w:color w:val="auto"/>
                      <w:kern w:val="0"/>
                      <w:szCs w:val="21"/>
                      <w:highlight w:val="none"/>
                    </w:rPr>
                    <w:t>项目已申请总量，具体总量指标待生态环境部门核定</w:t>
                  </w:r>
                </w:p>
              </w:tc>
              <w:tc>
                <w:tcPr>
                  <w:tcW w:w="485" w:type="dxa"/>
                  <w:vAlign w:val="center"/>
                </w:tcPr>
                <w:p w14:paraId="5FBEE601">
                  <w:pPr>
                    <w:adjustRightInd w:val="0"/>
                    <w:snapToGrid w:val="0"/>
                    <w:spacing w:line="276" w:lineRule="auto"/>
                    <w:jc w:val="center"/>
                    <w:rPr>
                      <w:rFonts w:ascii="Times New Roman"/>
                      <w:color w:val="auto"/>
                      <w:kern w:val="0"/>
                      <w:szCs w:val="21"/>
                      <w:highlight w:val="none"/>
                    </w:rPr>
                  </w:pPr>
                  <w:r>
                    <w:rPr>
                      <w:rFonts w:ascii="Times New Roman"/>
                      <w:color w:val="auto"/>
                      <w:kern w:val="0"/>
                      <w:szCs w:val="21"/>
                      <w:highlight w:val="none"/>
                    </w:rPr>
                    <w:t>符合</w:t>
                  </w:r>
                </w:p>
              </w:tc>
            </w:tr>
            <w:tr w14:paraId="1028020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86" w:type="dxa"/>
                  <w:vAlign w:val="center"/>
                </w:tcPr>
                <w:p w14:paraId="198AD4E8">
                  <w:pPr>
                    <w:adjustRightInd w:val="0"/>
                    <w:snapToGrid w:val="0"/>
                    <w:spacing w:line="276" w:lineRule="auto"/>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3</w:t>
                  </w:r>
                </w:p>
              </w:tc>
              <w:tc>
                <w:tcPr>
                  <w:tcW w:w="3611" w:type="dxa"/>
                  <w:vAlign w:val="center"/>
                </w:tcPr>
                <w:p w14:paraId="15FD6300">
                  <w:pPr>
                    <w:adjustRightInd w:val="0"/>
                    <w:snapToGrid w:val="0"/>
                    <w:spacing w:line="276" w:lineRule="auto"/>
                    <w:jc w:val="center"/>
                    <w:rPr>
                      <w:rFonts w:ascii="Times New Roman"/>
                      <w:color w:val="auto"/>
                      <w:kern w:val="0"/>
                      <w:szCs w:val="21"/>
                      <w:highlight w:val="none"/>
                    </w:rPr>
                  </w:pPr>
                  <w:r>
                    <w:rPr>
                      <w:rFonts w:hint="eastAsia" w:ascii="Times New Roman"/>
                      <w:color w:val="auto"/>
                      <w:kern w:val="0"/>
                      <w:szCs w:val="21"/>
                      <w:highlight w:val="none"/>
                    </w:rPr>
                    <w:t>推动能源结构优化。强化能源消费总量和强度双控制度，严格控制能耗强度，有效控制能源消费增量，坚决遏制“两高”项目盲目发展</w:t>
                  </w:r>
                </w:p>
              </w:tc>
              <w:tc>
                <w:tcPr>
                  <w:tcW w:w="2603" w:type="dxa"/>
                  <w:vAlign w:val="center"/>
                </w:tcPr>
                <w:p w14:paraId="1982691F">
                  <w:pPr>
                    <w:adjustRightInd w:val="0"/>
                    <w:snapToGrid w:val="0"/>
                    <w:spacing w:line="276" w:lineRule="auto"/>
                    <w:jc w:val="center"/>
                    <w:rPr>
                      <w:rFonts w:ascii="Times New Roman" w:hAnsi="Times New Roman"/>
                      <w:color w:val="auto"/>
                      <w:kern w:val="0"/>
                      <w:szCs w:val="21"/>
                      <w:highlight w:val="none"/>
                    </w:rPr>
                  </w:pPr>
                  <w:r>
                    <w:rPr>
                      <w:rFonts w:ascii="Times New Roman" w:hAnsi="Times New Roman"/>
                      <w:color w:val="auto"/>
                      <w:kern w:val="0"/>
                      <w:szCs w:val="21"/>
                      <w:highlight w:val="none"/>
                    </w:rPr>
                    <w:t>依据《安徽省“两高”项目管理目录（试行）》，本项目不属于“两高”项目</w:t>
                  </w:r>
                </w:p>
              </w:tc>
              <w:tc>
                <w:tcPr>
                  <w:tcW w:w="485" w:type="dxa"/>
                  <w:vAlign w:val="center"/>
                </w:tcPr>
                <w:p w14:paraId="674AACFC">
                  <w:pPr>
                    <w:adjustRightInd w:val="0"/>
                    <w:snapToGrid w:val="0"/>
                    <w:spacing w:line="276" w:lineRule="auto"/>
                    <w:jc w:val="center"/>
                    <w:rPr>
                      <w:rFonts w:ascii="Times New Roman"/>
                      <w:color w:val="auto"/>
                      <w:kern w:val="0"/>
                      <w:szCs w:val="21"/>
                      <w:highlight w:val="none"/>
                    </w:rPr>
                  </w:pPr>
                  <w:r>
                    <w:rPr>
                      <w:rFonts w:ascii="Times New Roman"/>
                      <w:color w:val="auto"/>
                      <w:kern w:val="0"/>
                      <w:szCs w:val="21"/>
                      <w:highlight w:val="none"/>
                    </w:rPr>
                    <w:t>符合</w:t>
                  </w:r>
                </w:p>
              </w:tc>
            </w:tr>
            <w:tr w14:paraId="17B3BB0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86" w:type="dxa"/>
                  <w:vAlign w:val="center"/>
                </w:tcPr>
                <w:p w14:paraId="4E440850">
                  <w:pPr>
                    <w:adjustRightInd w:val="0"/>
                    <w:snapToGrid w:val="0"/>
                    <w:spacing w:line="276" w:lineRule="auto"/>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4</w:t>
                  </w:r>
                </w:p>
              </w:tc>
              <w:tc>
                <w:tcPr>
                  <w:tcW w:w="3611" w:type="dxa"/>
                  <w:vAlign w:val="center"/>
                </w:tcPr>
                <w:p w14:paraId="437D7D97">
                  <w:pPr>
                    <w:adjustRightInd w:val="0"/>
                    <w:snapToGrid w:val="0"/>
                    <w:spacing w:line="276" w:lineRule="auto"/>
                    <w:jc w:val="center"/>
                    <w:rPr>
                      <w:rFonts w:ascii="Times New Roman"/>
                      <w:color w:val="auto"/>
                      <w:kern w:val="0"/>
                      <w:szCs w:val="21"/>
                      <w:highlight w:val="none"/>
                    </w:rPr>
                  </w:pPr>
                  <w:r>
                    <w:rPr>
                      <w:rFonts w:hint="eastAsia" w:ascii="Times New Roman"/>
                      <w:color w:val="auto"/>
                      <w:kern w:val="0"/>
                      <w:szCs w:val="21"/>
                      <w:highlight w:val="none"/>
                    </w:rPr>
                    <w:t>强化危险废物环境监管。对危险废物实施全过程信息化监管。落实危险废物分级分类管理，深入排查危险废物环境风险隐患，持续开展危险废物专项整治，严厉打击涉危险废物违法犯罪行为</w:t>
                  </w:r>
                </w:p>
              </w:tc>
              <w:tc>
                <w:tcPr>
                  <w:tcW w:w="2603" w:type="dxa"/>
                  <w:vAlign w:val="center"/>
                </w:tcPr>
                <w:p w14:paraId="53617F12">
                  <w:pPr>
                    <w:adjustRightInd w:val="0"/>
                    <w:snapToGrid w:val="0"/>
                    <w:spacing w:line="276" w:lineRule="auto"/>
                    <w:jc w:val="center"/>
                    <w:rPr>
                      <w:rFonts w:ascii="Times New Roman" w:hAnsi="Times New Roman"/>
                      <w:color w:val="auto"/>
                      <w:kern w:val="0"/>
                      <w:szCs w:val="21"/>
                      <w:highlight w:val="none"/>
                    </w:rPr>
                  </w:pPr>
                  <w:r>
                    <w:rPr>
                      <w:rFonts w:ascii="Times New Roman" w:hAnsi="Times New Roman"/>
                      <w:color w:val="auto"/>
                      <w:kern w:val="0"/>
                      <w:szCs w:val="21"/>
                      <w:highlight w:val="none"/>
                    </w:rPr>
                    <w:t>本项目危险废物收集后暂存于危废暂存间，定期委托有资质的单位处置</w:t>
                  </w:r>
                </w:p>
              </w:tc>
              <w:tc>
                <w:tcPr>
                  <w:tcW w:w="485" w:type="dxa"/>
                  <w:vAlign w:val="center"/>
                </w:tcPr>
                <w:p w14:paraId="1CBCD481">
                  <w:pPr>
                    <w:adjustRightInd w:val="0"/>
                    <w:snapToGrid w:val="0"/>
                    <w:spacing w:line="276" w:lineRule="auto"/>
                    <w:jc w:val="center"/>
                    <w:rPr>
                      <w:rFonts w:ascii="Times New Roman"/>
                      <w:color w:val="auto"/>
                      <w:kern w:val="0"/>
                      <w:szCs w:val="21"/>
                      <w:highlight w:val="none"/>
                    </w:rPr>
                  </w:pPr>
                  <w:r>
                    <w:rPr>
                      <w:rFonts w:ascii="Times New Roman"/>
                      <w:color w:val="auto"/>
                      <w:kern w:val="0"/>
                      <w:szCs w:val="21"/>
                      <w:highlight w:val="none"/>
                    </w:rPr>
                    <w:t>符合</w:t>
                  </w:r>
                </w:p>
              </w:tc>
            </w:tr>
          </w:tbl>
          <w:p w14:paraId="15F423F3">
            <w:pPr>
              <w:adjustRightInd w:val="0"/>
              <w:snapToGrid w:val="0"/>
              <w:spacing w:line="276" w:lineRule="auto"/>
              <w:ind w:firstLine="482" w:firstLineChars="200"/>
              <w:rPr>
                <w:rFonts w:ascii="Times New Roman" w:hAnsi="Times New Roman" w:cs="Times New Roman"/>
                <w:b/>
                <w:color w:val="auto"/>
                <w:kern w:val="0"/>
                <w:sz w:val="24"/>
                <w:szCs w:val="24"/>
                <w:highlight w:val="none"/>
              </w:rPr>
            </w:pPr>
            <w:r>
              <w:rPr>
                <w:rFonts w:hint="eastAsia" w:ascii="Times New Roman" w:hAnsi="Times New Roman" w:cs="Times New Roman"/>
                <w:b/>
                <w:color w:val="auto"/>
                <w:kern w:val="0"/>
                <w:sz w:val="24"/>
                <w:szCs w:val="24"/>
                <w:highlight w:val="none"/>
              </w:rPr>
              <w:t>9</w:t>
            </w:r>
            <w:r>
              <w:rPr>
                <w:rFonts w:ascii="Times New Roman" w:hAnsi="Times New Roman" w:cs="Times New Roman"/>
                <w:b/>
                <w:color w:val="auto"/>
                <w:kern w:val="0"/>
                <w:sz w:val="24"/>
                <w:szCs w:val="24"/>
                <w:highlight w:val="none"/>
              </w:rPr>
              <w:t>、与《安徽省淮河流域水污染防治条例》相符性分析</w:t>
            </w:r>
          </w:p>
          <w:p w14:paraId="3BC27160">
            <w:pPr>
              <w:adjustRightInd w:val="0"/>
              <w:snapToGrid w:val="0"/>
              <w:spacing w:line="276" w:lineRule="auto"/>
              <w:jc w:val="center"/>
              <w:rPr>
                <w:rFonts w:ascii="Times New Roman" w:hAnsi="Times New Roman" w:eastAsia="黑体" w:cs="Times New Roman"/>
                <w:color w:val="auto"/>
                <w:kern w:val="0"/>
                <w:sz w:val="24"/>
                <w:highlight w:val="none"/>
              </w:rPr>
            </w:pPr>
            <w:r>
              <w:rPr>
                <w:rFonts w:ascii="Times New Roman" w:hAnsi="Times New Roman" w:eastAsia="黑体" w:cs="Times New Roman"/>
                <w:color w:val="auto"/>
                <w:kern w:val="0"/>
                <w:sz w:val="24"/>
                <w:szCs w:val="24"/>
                <w:highlight w:val="none"/>
              </w:rPr>
              <w:t>表1-</w:t>
            </w:r>
            <w:r>
              <w:rPr>
                <w:rFonts w:hint="eastAsia" w:ascii="Times New Roman" w:hAnsi="Times New Roman" w:eastAsia="黑体" w:cs="Times New Roman"/>
                <w:color w:val="auto"/>
                <w:kern w:val="0"/>
                <w:sz w:val="24"/>
                <w:szCs w:val="24"/>
                <w:highlight w:val="none"/>
              </w:rPr>
              <w:t xml:space="preserve">10  </w:t>
            </w:r>
            <w:r>
              <w:rPr>
                <w:rFonts w:ascii="Times New Roman" w:hAnsi="Times New Roman" w:eastAsia="黑体" w:cs="Times New Roman"/>
                <w:color w:val="auto"/>
                <w:kern w:val="0"/>
                <w:sz w:val="24"/>
                <w:highlight w:val="none"/>
              </w:rPr>
              <w:t>与《安徽省淮河流域水污染防治条例》相符性分析</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475"/>
              <w:gridCol w:w="3339"/>
              <w:gridCol w:w="2898"/>
              <w:gridCol w:w="474"/>
            </w:tblGrid>
            <w:tr w14:paraId="7844A40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75" w:type="dxa"/>
                  <w:shd w:val="clear" w:color="auto" w:fill="auto"/>
                  <w:vAlign w:val="center"/>
                </w:tcPr>
                <w:p w14:paraId="27BD1445">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序号</w:t>
                  </w:r>
                </w:p>
              </w:tc>
              <w:tc>
                <w:tcPr>
                  <w:tcW w:w="3339" w:type="dxa"/>
                  <w:shd w:val="clear" w:color="auto" w:fill="auto"/>
                  <w:vAlign w:val="center"/>
                </w:tcPr>
                <w:p w14:paraId="43D30400">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措施内容</w:t>
                  </w:r>
                </w:p>
              </w:tc>
              <w:tc>
                <w:tcPr>
                  <w:tcW w:w="2898" w:type="dxa"/>
                  <w:shd w:val="clear" w:color="auto" w:fill="auto"/>
                  <w:vAlign w:val="center"/>
                </w:tcPr>
                <w:p w14:paraId="73958942">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本项目措施</w:t>
                  </w:r>
                </w:p>
              </w:tc>
              <w:tc>
                <w:tcPr>
                  <w:tcW w:w="473" w:type="dxa"/>
                  <w:shd w:val="clear" w:color="auto" w:fill="auto"/>
                  <w:vAlign w:val="center"/>
                </w:tcPr>
                <w:p w14:paraId="5CB686E2">
                  <w:pPr>
                    <w:adjustRightInd w:val="0"/>
                    <w:snapToGrid w:val="0"/>
                    <w:spacing w:line="276" w:lineRule="auto"/>
                    <w:jc w:val="center"/>
                    <w:rPr>
                      <w:rFonts w:ascii="Times New Roman" w:hAnsi="Times New Roman" w:eastAsia="宋体" w:cs="Times New Roman"/>
                      <w:b/>
                      <w:color w:val="auto"/>
                      <w:kern w:val="0"/>
                      <w:szCs w:val="21"/>
                      <w:highlight w:val="none"/>
                    </w:rPr>
                  </w:pPr>
                  <w:r>
                    <w:rPr>
                      <w:rFonts w:ascii="Times New Roman" w:hAnsi="Times New Roman" w:eastAsia="宋体" w:cs="Times New Roman"/>
                      <w:b/>
                      <w:color w:val="auto"/>
                      <w:kern w:val="0"/>
                      <w:szCs w:val="21"/>
                      <w:highlight w:val="none"/>
                    </w:rPr>
                    <w:t>相符性</w:t>
                  </w:r>
                </w:p>
              </w:tc>
            </w:tr>
            <w:tr w14:paraId="4DD0805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75" w:type="dxa"/>
                  <w:shd w:val="clear" w:color="auto" w:fill="auto"/>
                  <w:vAlign w:val="center"/>
                </w:tcPr>
                <w:p w14:paraId="5F56A114">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w:t>
                  </w:r>
                </w:p>
              </w:tc>
              <w:tc>
                <w:tcPr>
                  <w:tcW w:w="3339" w:type="dxa"/>
                  <w:shd w:val="clear" w:color="auto" w:fill="auto"/>
                  <w:vAlign w:val="center"/>
                </w:tcPr>
                <w:p w14:paraId="3DD2908C">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禁止在淮河流域新建化学制浆造纸企业和印染、制革、化工、电镀、酿造等污染严重的小型企业。严格限制在淮河流域新建印染、制革、化工、电镀、酿造等大中型项目或者其他污染严重的项目；建设该类项目的，应当事前征得省人民政府生态环境行政主管部门的同意，并按照规定办理有关手续</w:t>
                  </w:r>
                </w:p>
              </w:tc>
              <w:tc>
                <w:tcPr>
                  <w:tcW w:w="2898" w:type="dxa"/>
                  <w:shd w:val="clear" w:color="auto" w:fill="auto"/>
                  <w:vAlign w:val="center"/>
                </w:tcPr>
                <w:p w14:paraId="1A6F2872">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本项目生产</w:t>
                  </w:r>
                  <w:r>
                    <w:rPr>
                      <w:rFonts w:hint="eastAsia" w:ascii="Times New Roman" w:hAnsi="Times New Roman" w:cs="Times New Roman"/>
                      <w:color w:val="auto"/>
                      <w:kern w:val="0"/>
                      <w:szCs w:val="21"/>
                      <w:highlight w:val="none"/>
                    </w:rPr>
                    <w:t>汽车零部件</w:t>
                  </w:r>
                  <w:r>
                    <w:rPr>
                      <w:rFonts w:ascii="Times New Roman" w:hAnsi="Times New Roman" w:cs="Times New Roman"/>
                      <w:color w:val="auto"/>
                      <w:kern w:val="0"/>
                      <w:szCs w:val="21"/>
                      <w:highlight w:val="none"/>
                    </w:rPr>
                    <w:t>，</w:t>
                  </w:r>
                  <w:r>
                    <w:rPr>
                      <w:rFonts w:ascii="Times New Roman" w:hAnsi="Times New Roman" w:eastAsia="宋体" w:cs="Times New Roman"/>
                      <w:color w:val="auto"/>
                      <w:kern w:val="0"/>
                      <w:szCs w:val="21"/>
                      <w:highlight w:val="none"/>
                    </w:rPr>
                    <w:t>企业不属于印染、制革、化工、电镀、酿造等污染严重的小型企业。</w:t>
                  </w:r>
                  <w:r>
                    <w:rPr>
                      <w:rFonts w:ascii="Times New Roman" w:hAnsi="Times New Roman" w:cs="Times New Roman"/>
                      <w:color w:val="auto"/>
                      <w:kern w:val="0"/>
                      <w:szCs w:val="21"/>
                      <w:highlight w:val="none"/>
                    </w:rPr>
                    <w:t>项目已取得淮南市</w:t>
                  </w:r>
                  <w:r>
                    <w:rPr>
                      <w:rFonts w:hint="eastAsia" w:ascii="Times New Roman" w:hAnsi="Times New Roman" w:cs="Times New Roman"/>
                      <w:color w:val="auto"/>
                      <w:kern w:val="0"/>
                      <w:szCs w:val="21"/>
                      <w:highlight w:val="none"/>
                    </w:rPr>
                    <w:t>谢家集</w:t>
                  </w:r>
                  <w:r>
                    <w:rPr>
                      <w:rFonts w:ascii="Times New Roman" w:hAnsi="Times New Roman" w:cs="Times New Roman"/>
                      <w:color w:val="auto"/>
                      <w:kern w:val="0"/>
                      <w:szCs w:val="21"/>
                      <w:highlight w:val="none"/>
                    </w:rPr>
                    <w:t>区发展和改革委员会备案</w:t>
                  </w:r>
                </w:p>
              </w:tc>
              <w:tc>
                <w:tcPr>
                  <w:tcW w:w="473" w:type="dxa"/>
                  <w:shd w:val="clear" w:color="auto" w:fill="auto"/>
                  <w:vAlign w:val="center"/>
                </w:tcPr>
                <w:p w14:paraId="637DD986">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符合</w:t>
                  </w:r>
                </w:p>
              </w:tc>
            </w:tr>
            <w:tr w14:paraId="5EB0BD0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75" w:type="dxa"/>
                  <w:shd w:val="clear" w:color="auto" w:fill="auto"/>
                  <w:vAlign w:val="center"/>
                </w:tcPr>
                <w:p w14:paraId="4E2BB60C">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szCs w:val="21"/>
                      <w:highlight w:val="none"/>
                      <w:shd w:val="clear" w:color="auto" w:fill="FFFFFF"/>
                    </w:rPr>
                    <w:t>2</w:t>
                  </w:r>
                </w:p>
              </w:tc>
              <w:tc>
                <w:tcPr>
                  <w:tcW w:w="3339" w:type="dxa"/>
                  <w:shd w:val="clear" w:color="auto" w:fill="auto"/>
                  <w:vAlign w:val="center"/>
                </w:tcPr>
                <w:p w14:paraId="37734C0A">
                  <w:pPr>
                    <w:adjustRightInd w:val="0"/>
                    <w:snapToGrid w:val="0"/>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在淮河流域城市公共排水设施覆盖区域内，应当实行雨水、污水分流；排水户应当将雨水、污水分别排入公共雨水、污水管网及其附属设施</w:t>
                  </w:r>
                </w:p>
              </w:tc>
              <w:tc>
                <w:tcPr>
                  <w:tcW w:w="2898" w:type="dxa"/>
                  <w:shd w:val="clear" w:color="auto" w:fill="auto"/>
                  <w:vAlign w:val="center"/>
                </w:tcPr>
                <w:p w14:paraId="3F251AD2">
                  <w:pPr>
                    <w:adjustRightInd w:val="0"/>
                    <w:snapToGrid w:val="0"/>
                    <w:spacing w:line="276" w:lineRule="auto"/>
                    <w:jc w:val="center"/>
                    <w:rPr>
                      <w:rFonts w:ascii="Times New Roman" w:hAnsi="Times New Roman" w:cs="Times New Roman"/>
                      <w:color w:val="auto"/>
                      <w:kern w:val="0"/>
                      <w:szCs w:val="21"/>
                      <w:highlight w:val="none"/>
                      <w:shd w:val="clear" w:color="auto" w:fill="FFFFFF"/>
                    </w:rPr>
                  </w:pPr>
                  <w:r>
                    <w:rPr>
                      <w:rFonts w:ascii="Times New Roman" w:hAnsi="Times New Roman" w:cs="Times New Roman"/>
                      <w:color w:val="auto"/>
                      <w:kern w:val="0"/>
                      <w:highlight w:val="none"/>
                    </w:rPr>
                    <w:t>生活污水经化粪池预处理后排入八公山污水处理厂</w:t>
                  </w:r>
                </w:p>
              </w:tc>
              <w:tc>
                <w:tcPr>
                  <w:tcW w:w="473" w:type="dxa"/>
                  <w:shd w:val="clear" w:color="auto" w:fill="auto"/>
                  <w:vAlign w:val="center"/>
                </w:tcPr>
                <w:p w14:paraId="77073669">
                  <w:pPr>
                    <w:adjustRightInd w:val="0"/>
                    <w:snapToGrid w:val="0"/>
                    <w:spacing w:line="276" w:lineRule="auto"/>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符合</w:t>
                  </w:r>
                </w:p>
              </w:tc>
            </w:tr>
          </w:tbl>
          <w:p w14:paraId="5AC1302F">
            <w:pPr>
              <w:adjustRightInd w:val="0"/>
              <w:snapToGrid w:val="0"/>
              <w:spacing w:line="360" w:lineRule="auto"/>
              <w:ind w:firstLine="480" w:firstLineChars="20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根据上表可知，本项目与</w:t>
            </w:r>
            <w:r>
              <w:rPr>
                <w:rFonts w:ascii="Times New Roman" w:hAnsi="Times New Roman" w:eastAsia="宋体" w:cs="宋体"/>
                <w:color w:val="auto"/>
                <w:kern w:val="0"/>
                <w:sz w:val="24"/>
                <w:szCs w:val="24"/>
                <w:highlight w:val="none"/>
              </w:rPr>
              <w:t>《安徽省淮河流域水污染防治条例》</w:t>
            </w:r>
            <w:r>
              <w:rPr>
                <w:rFonts w:hint="eastAsia" w:ascii="Times New Roman" w:hAnsi="Times New Roman" w:eastAsia="宋体" w:cs="宋体"/>
                <w:color w:val="auto"/>
                <w:kern w:val="0"/>
                <w:sz w:val="24"/>
                <w:szCs w:val="24"/>
                <w:highlight w:val="none"/>
              </w:rPr>
              <w:t>中的规定相符。</w:t>
            </w:r>
          </w:p>
          <w:p w14:paraId="1F7C9A35">
            <w:pPr>
              <w:adjustRightInd w:val="0"/>
              <w:snapToGrid w:val="0"/>
              <w:spacing w:line="360" w:lineRule="auto"/>
              <w:ind w:firstLine="482" w:firstLineChars="200"/>
              <w:rPr>
                <w:rFonts w:ascii="Times New Roman" w:hAnsi="Times New Roman" w:cs="Times New Roman"/>
                <w:b/>
                <w:color w:val="auto"/>
                <w:kern w:val="0"/>
                <w:sz w:val="24"/>
                <w:highlight w:val="none"/>
              </w:rPr>
            </w:pPr>
            <w:r>
              <w:rPr>
                <w:rFonts w:hint="eastAsia" w:ascii="Times New Roman" w:hAnsi="Times New Roman" w:cs="Times New Roman"/>
                <w:b/>
                <w:color w:val="auto"/>
                <w:kern w:val="0"/>
                <w:sz w:val="24"/>
                <w:szCs w:val="24"/>
                <w:highlight w:val="none"/>
              </w:rPr>
              <w:t>10、</w:t>
            </w:r>
            <w:r>
              <w:rPr>
                <w:rFonts w:hint="eastAsia" w:ascii="Times New Roman" w:hAnsi="Times New Roman" w:cs="Times New Roman"/>
                <w:b/>
                <w:color w:val="auto"/>
                <w:kern w:val="0"/>
                <w:sz w:val="24"/>
                <w:highlight w:val="none"/>
              </w:rPr>
              <w:t>“三线一单”符合性分析</w:t>
            </w:r>
          </w:p>
          <w:p w14:paraId="0E194890">
            <w:pPr>
              <w:spacing w:line="360" w:lineRule="auto"/>
              <w:ind w:firstLine="480" w:firstLineChars="200"/>
              <w:rPr>
                <w:rFonts w:ascii="Times New Roman"/>
                <w:color w:val="auto"/>
                <w:spacing w:val="-2"/>
                <w:sz w:val="24"/>
                <w:highlight w:val="none"/>
              </w:rPr>
            </w:pPr>
            <w:r>
              <w:rPr>
                <w:rFonts w:ascii="Times New Roman" w:hAnsi="Times New Roman"/>
                <w:color w:val="auto"/>
                <w:sz w:val="24"/>
                <w:highlight w:val="none"/>
              </w:rPr>
              <w:t>根据中南安全环境技术研究院股份有限公司《</w:t>
            </w:r>
            <w:r>
              <w:rPr>
                <w:rFonts w:hint="eastAsia" w:ascii="Times New Roman" w:hAnsi="Times New Roman"/>
                <w:color w:val="auto"/>
                <w:sz w:val="24"/>
                <w:highlight w:val="none"/>
              </w:rPr>
              <w:t>淮南市</w:t>
            </w:r>
            <w:r>
              <w:rPr>
                <w:rFonts w:ascii="Times New Roman" w:hAnsi="Times New Roman"/>
                <w:color w:val="auto"/>
                <w:sz w:val="24"/>
                <w:highlight w:val="none"/>
              </w:rPr>
              <w:t>生态环境分区管控成果动态更新准入清单》</w:t>
            </w:r>
            <w:r>
              <w:rPr>
                <w:rFonts w:hint="eastAsia" w:ascii="Times New Roman"/>
                <w:color w:val="auto"/>
                <w:spacing w:val="-2"/>
                <w:sz w:val="24"/>
                <w:highlight w:val="none"/>
              </w:rPr>
              <w:t>，</w:t>
            </w:r>
            <w:r>
              <w:rPr>
                <w:rFonts w:ascii="Times New Roman" w:hAnsi="Times New Roman"/>
                <w:color w:val="auto"/>
                <w:sz w:val="24"/>
                <w:highlight w:val="none"/>
              </w:rPr>
              <w:t>项目“三线一单”符合性分析见下表。</w:t>
            </w:r>
          </w:p>
          <w:p w14:paraId="6672C410">
            <w:pPr>
              <w:spacing w:line="360" w:lineRule="auto"/>
              <w:jc w:val="center"/>
              <w:rPr>
                <w:rFonts w:ascii="Times New Roman" w:hAnsi="Times New Roman" w:eastAsia="黑体"/>
                <w:color w:val="auto"/>
                <w:kern w:val="0"/>
                <w:sz w:val="24"/>
                <w:szCs w:val="24"/>
                <w:highlight w:val="none"/>
              </w:rPr>
            </w:pPr>
            <w:r>
              <w:rPr>
                <w:rFonts w:ascii="Times New Roman" w:hAnsi="Times New Roman" w:eastAsia="黑体"/>
                <w:color w:val="auto"/>
                <w:kern w:val="0"/>
                <w:sz w:val="24"/>
                <w:szCs w:val="24"/>
                <w:highlight w:val="none"/>
              </w:rPr>
              <w:t>表1-</w:t>
            </w:r>
            <w:r>
              <w:rPr>
                <w:rFonts w:hint="eastAsia" w:ascii="Times New Roman" w:hAnsi="Times New Roman" w:eastAsia="黑体"/>
                <w:color w:val="auto"/>
                <w:kern w:val="0"/>
                <w:sz w:val="24"/>
                <w:szCs w:val="24"/>
                <w:highlight w:val="none"/>
              </w:rPr>
              <w:t xml:space="preserve">11  </w:t>
            </w:r>
            <w:r>
              <w:rPr>
                <w:rFonts w:ascii="Times New Roman" w:hAnsi="Times New Roman" w:eastAsia="黑体"/>
                <w:color w:val="auto"/>
                <w:kern w:val="0"/>
                <w:sz w:val="24"/>
                <w:szCs w:val="24"/>
                <w:highlight w:val="none"/>
              </w:rPr>
              <w:t>项目与</w:t>
            </w:r>
            <w:r>
              <w:rPr>
                <w:rFonts w:ascii="Times New Roman" w:hAnsi="Times New Roman"/>
                <w:color w:val="auto"/>
                <w:kern w:val="0"/>
                <w:sz w:val="24"/>
                <w:szCs w:val="24"/>
                <w:highlight w:val="none"/>
              </w:rPr>
              <w:t>“</w:t>
            </w:r>
            <w:r>
              <w:rPr>
                <w:rFonts w:ascii="Times New Roman" w:hAnsi="Times New Roman" w:eastAsia="黑体"/>
                <w:color w:val="auto"/>
                <w:kern w:val="0"/>
                <w:sz w:val="24"/>
                <w:szCs w:val="24"/>
                <w:highlight w:val="none"/>
              </w:rPr>
              <w:t>三线一单</w:t>
            </w:r>
            <w:r>
              <w:rPr>
                <w:rFonts w:ascii="Times New Roman" w:hAnsi="Times New Roman"/>
                <w:color w:val="auto"/>
                <w:kern w:val="0"/>
                <w:sz w:val="24"/>
                <w:szCs w:val="24"/>
                <w:highlight w:val="none"/>
              </w:rPr>
              <w:t>”</w:t>
            </w:r>
            <w:r>
              <w:rPr>
                <w:rFonts w:ascii="Times New Roman" w:hAnsi="Times New Roman" w:eastAsia="黑体"/>
                <w:color w:val="auto"/>
                <w:kern w:val="0"/>
                <w:sz w:val="24"/>
                <w:szCs w:val="24"/>
                <w:highlight w:val="none"/>
              </w:rPr>
              <w:t>符合性分析</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705"/>
              <w:gridCol w:w="3481"/>
            </w:tblGrid>
            <w:tr w14:paraId="2D1F01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0" w:type="pct"/>
                  <w:vAlign w:val="center"/>
                </w:tcPr>
                <w:p w14:paraId="16F42F7D">
                  <w:pPr>
                    <w:spacing w:line="276" w:lineRule="auto"/>
                    <w:jc w:val="center"/>
                    <w:rPr>
                      <w:rFonts w:ascii="Times New Roman" w:hAnsi="Times New Roman"/>
                      <w:b/>
                      <w:color w:val="auto"/>
                      <w:szCs w:val="21"/>
                      <w:highlight w:val="none"/>
                    </w:rPr>
                  </w:pPr>
                  <w:r>
                    <w:rPr>
                      <w:rFonts w:hint="eastAsia" w:ascii="Times New Roman" w:hAnsi="Times New Roman"/>
                      <w:b/>
                      <w:color w:val="auto"/>
                      <w:szCs w:val="21"/>
                      <w:highlight w:val="none"/>
                    </w:rPr>
                    <w:t>淮南市</w:t>
                  </w:r>
                  <w:r>
                    <w:rPr>
                      <w:rFonts w:ascii="Times New Roman" w:hAnsi="Times New Roman"/>
                      <w:b/>
                      <w:color w:val="auto"/>
                      <w:szCs w:val="21"/>
                      <w:highlight w:val="none"/>
                    </w:rPr>
                    <w:t>生态环境分区管控成果动态更新准入清单</w:t>
                  </w:r>
                </w:p>
              </w:tc>
              <w:tc>
                <w:tcPr>
                  <w:tcW w:w="2076" w:type="pct"/>
                  <w:vAlign w:val="center"/>
                </w:tcPr>
                <w:p w14:paraId="0AEDA0F1">
                  <w:pPr>
                    <w:spacing w:line="276" w:lineRule="auto"/>
                    <w:jc w:val="center"/>
                    <w:rPr>
                      <w:rFonts w:ascii="Times New Roman" w:hAnsi="Times New Roman"/>
                      <w:b/>
                      <w:color w:val="auto"/>
                      <w:szCs w:val="21"/>
                      <w:highlight w:val="none"/>
                    </w:rPr>
                  </w:pPr>
                  <w:r>
                    <w:rPr>
                      <w:rFonts w:ascii="Times New Roman" w:hAnsi="Times New Roman"/>
                      <w:b/>
                      <w:color w:val="auto"/>
                      <w:szCs w:val="21"/>
                      <w:highlight w:val="none"/>
                    </w:rPr>
                    <w:t>项目符合性分析</w:t>
                  </w:r>
                </w:p>
              </w:tc>
            </w:tr>
            <w:tr w14:paraId="304943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0" w:type="pct"/>
                  <w:vAlign w:val="center"/>
                </w:tcPr>
                <w:p w14:paraId="458581C7">
                  <w:pPr>
                    <w:spacing w:line="276" w:lineRule="auto"/>
                    <w:jc w:val="center"/>
                    <w:rPr>
                      <w:rFonts w:ascii="Times New Roman" w:hAnsi="Times New Roman"/>
                      <w:b/>
                      <w:color w:val="auto"/>
                      <w:szCs w:val="21"/>
                      <w:highlight w:val="none"/>
                    </w:rPr>
                  </w:pPr>
                  <w:r>
                    <w:rPr>
                      <w:rFonts w:hint="eastAsia" w:ascii="Times New Roman" w:hAnsi="Times New Roman"/>
                      <w:color w:val="auto"/>
                      <w:szCs w:val="21"/>
                      <w:highlight w:val="none"/>
                      <w:lang w:val="zh-CN"/>
                    </w:rPr>
                    <w:t>全市范围内严禁违规新增钢铁、焦化、水泥熟料、平板玻璃、电解铝、氧化铝、煤化工产能，合理控制煤制油气产能规模。未纳入国家有关领域产业规划的，一律不得新建改扩建炼油和新建乙烯、对二甲苯、煤制烯烃项目。</w:t>
                  </w:r>
                </w:p>
              </w:tc>
              <w:tc>
                <w:tcPr>
                  <w:tcW w:w="2076" w:type="pct"/>
                  <w:vAlign w:val="center"/>
                </w:tcPr>
                <w:p w14:paraId="219E449D">
                  <w:pPr>
                    <w:spacing w:line="276" w:lineRule="auto"/>
                    <w:jc w:val="center"/>
                    <w:rPr>
                      <w:rFonts w:ascii="Times New Roman" w:hAnsi="Times New Roman"/>
                      <w:b/>
                      <w:color w:val="auto"/>
                      <w:szCs w:val="21"/>
                      <w:highlight w:val="none"/>
                    </w:rPr>
                  </w:pPr>
                  <w:r>
                    <w:rPr>
                      <w:rFonts w:ascii="Times New Roman" w:hAnsi="Times New Roman"/>
                      <w:color w:val="auto"/>
                      <w:szCs w:val="21"/>
                      <w:highlight w:val="none"/>
                      <w:lang w:val="zh-CN"/>
                    </w:rPr>
                    <w:t>本项目主要产品为</w:t>
                  </w:r>
                  <w:r>
                    <w:rPr>
                      <w:rFonts w:hint="eastAsia" w:ascii="Times New Roman" w:hAnsi="Times New Roman"/>
                      <w:color w:val="auto"/>
                      <w:szCs w:val="21"/>
                      <w:highlight w:val="none"/>
                      <w:lang w:val="zh-CN"/>
                    </w:rPr>
                    <w:t>汽车零部件</w:t>
                  </w:r>
                  <w:r>
                    <w:rPr>
                      <w:rFonts w:ascii="Times New Roman" w:hAnsi="Times New Roman"/>
                      <w:color w:val="auto"/>
                      <w:szCs w:val="21"/>
                      <w:highlight w:val="none"/>
                      <w:lang w:val="zh-CN"/>
                    </w:rPr>
                    <w:t>，属于</w:t>
                  </w:r>
                  <w:r>
                    <w:rPr>
                      <w:rFonts w:hint="eastAsia" w:ascii="Times New Roman" w:hAnsi="Times New Roman"/>
                      <w:color w:val="auto"/>
                      <w:szCs w:val="21"/>
                      <w:highlight w:val="none"/>
                    </w:rPr>
                    <w:t>C3670汽车零部件及配件制造</w:t>
                  </w:r>
                  <w:r>
                    <w:rPr>
                      <w:rFonts w:ascii="Times New Roman" w:hAnsi="Times New Roman"/>
                      <w:color w:val="auto"/>
                      <w:szCs w:val="21"/>
                      <w:highlight w:val="none"/>
                      <w:lang w:val="zh-CN"/>
                    </w:rPr>
                    <w:t>，不属于违规新增</w:t>
                  </w:r>
                  <w:r>
                    <w:rPr>
                      <w:rFonts w:hint="eastAsia" w:ascii="Times New Roman" w:hAnsi="Times New Roman"/>
                      <w:color w:val="auto"/>
                      <w:szCs w:val="21"/>
                      <w:highlight w:val="none"/>
                      <w:lang w:val="zh-CN"/>
                    </w:rPr>
                    <w:t>钢铁、焦化、水泥熟料、平板玻璃、电解铝、氧化铝、煤化工产能行业</w:t>
                  </w:r>
                </w:p>
              </w:tc>
            </w:tr>
            <w:tr w14:paraId="2678EE5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0" w:type="pct"/>
                  <w:vAlign w:val="center"/>
                </w:tcPr>
                <w:p w14:paraId="100C47D8">
                  <w:pPr>
                    <w:adjustRightInd w:val="0"/>
                    <w:snapToGrid w:val="0"/>
                    <w:spacing w:line="276" w:lineRule="auto"/>
                    <w:jc w:val="center"/>
                    <w:rPr>
                      <w:rFonts w:ascii="Times New Roman" w:hAnsi="Times New Roman"/>
                      <w:color w:val="auto"/>
                      <w:kern w:val="0"/>
                      <w:szCs w:val="21"/>
                      <w:highlight w:val="none"/>
                      <w:lang w:val="zh-CN"/>
                    </w:rPr>
                  </w:pPr>
                  <w:r>
                    <w:rPr>
                      <w:rFonts w:hint="eastAsia" w:ascii="Times New Roman" w:hAnsi="Times New Roman"/>
                      <w:color w:val="auto"/>
                      <w:kern w:val="0"/>
                      <w:szCs w:val="21"/>
                      <w:highlight w:val="none"/>
                      <w:lang w:val="zh-CN"/>
                    </w:rPr>
                    <w:t>禁止建设生产和使用VOCs含量限值不符合国家标准的涂料、油墨、胶黏剂、清洗剂等项目。</w:t>
                  </w:r>
                </w:p>
              </w:tc>
              <w:tc>
                <w:tcPr>
                  <w:tcW w:w="2076" w:type="pct"/>
                  <w:vAlign w:val="center"/>
                </w:tcPr>
                <w:p w14:paraId="0BC955A4">
                  <w:pPr>
                    <w:adjustRightInd w:val="0"/>
                    <w:snapToGrid w:val="0"/>
                    <w:spacing w:line="276" w:lineRule="auto"/>
                    <w:jc w:val="center"/>
                    <w:rPr>
                      <w:rFonts w:ascii="Times New Roman" w:hAnsi="Times New Roman"/>
                      <w:b/>
                      <w:color w:val="auto"/>
                      <w:kern w:val="0"/>
                      <w:szCs w:val="21"/>
                      <w:highlight w:val="none"/>
                    </w:rPr>
                  </w:pPr>
                  <w:r>
                    <w:rPr>
                      <w:rFonts w:hint="eastAsia" w:ascii="Times New Roman" w:hAnsi="Times New Roman"/>
                      <w:color w:val="auto"/>
                      <w:kern w:val="0"/>
                      <w:szCs w:val="21"/>
                      <w:highlight w:val="none"/>
                    </w:rPr>
                    <w:t>本项目生产过程中涉VOC</w:t>
                  </w:r>
                  <w:r>
                    <w:rPr>
                      <w:rFonts w:ascii="Times New Roman" w:hAnsi="Times New Roman"/>
                      <w:color w:val="auto"/>
                      <w:kern w:val="0"/>
                      <w:szCs w:val="21"/>
                      <w:highlight w:val="none"/>
                      <w:vertAlign w:val="subscript"/>
                    </w:rPr>
                    <w:t>S</w:t>
                  </w:r>
                  <w:r>
                    <w:rPr>
                      <w:rFonts w:hint="eastAsia" w:ascii="Times New Roman" w:hAnsi="Times New Roman"/>
                      <w:color w:val="auto"/>
                      <w:kern w:val="0"/>
                      <w:szCs w:val="21"/>
                      <w:highlight w:val="none"/>
                    </w:rPr>
                    <w:t>的为水性底漆和水性面漆，为符合国家标准的水性漆</w:t>
                  </w:r>
                </w:p>
              </w:tc>
            </w:tr>
            <w:tr w14:paraId="0E40B0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10" w:type="pct"/>
                  <w:vAlign w:val="center"/>
                </w:tcPr>
                <w:p w14:paraId="589876CD">
                  <w:pPr>
                    <w:adjustRightInd w:val="0"/>
                    <w:snapToGrid w:val="0"/>
                    <w:spacing w:line="276" w:lineRule="auto"/>
                    <w:jc w:val="center"/>
                    <w:rPr>
                      <w:rFonts w:ascii="Times New Roman" w:hAnsi="Times New Roman"/>
                      <w:color w:val="auto"/>
                      <w:kern w:val="0"/>
                      <w:szCs w:val="21"/>
                      <w:highlight w:val="none"/>
                      <w:lang w:val="zh-CN"/>
                    </w:rPr>
                  </w:pPr>
                  <w:r>
                    <w:rPr>
                      <w:rFonts w:hint="eastAsia" w:ascii="Times New Roman" w:hAnsi="Times New Roman"/>
                      <w:color w:val="auto"/>
                      <w:kern w:val="0"/>
                      <w:szCs w:val="21"/>
                      <w:highlight w:val="none"/>
                      <w:lang w:val="zh-CN"/>
                    </w:rPr>
                    <w:t>现有经济开发区等工业集中区应实施热电联产或集中供热改造，将工业企业纳入集中供热范围，逐步淘汰分散燃煤锅炉，核准审批新建热电联产项目要求关停的燃煤锅炉必须按期淘汰。</w:t>
                  </w:r>
                </w:p>
              </w:tc>
              <w:tc>
                <w:tcPr>
                  <w:tcW w:w="2076" w:type="pct"/>
                  <w:vAlign w:val="center"/>
                </w:tcPr>
                <w:p w14:paraId="74369892">
                  <w:pPr>
                    <w:adjustRightInd w:val="0"/>
                    <w:snapToGrid w:val="0"/>
                    <w:spacing w:line="276" w:lineRule="auto"/>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本项目生产过程中不涉及供热，</w:t>
                  </w:r>
                  <w:r>
                    <w:rPr>
                      <w:rFonts w:hint="eastAsia" w:ascii="Times New Roman"/>
                      <w:color w:val="auto"/>
                      <w:kern w:val="0"/>
                      <w:highlight w:val="none"/>
                    </w:rPr>
                    <w:t>不涉及燃煤锅炉的使用</w:t>
                  </w:r>
                </w:p>
              </w:tc>
            </w:tr>
          </w:tbl>
          <w:p w14:paraId="3673C624">
            <w:pPr>
              <w:adjustRightInd w:val="0"/>
              <w:snapToGrid w:val="0"/>
              <w:spacing w:line="360" w:lineRule="auto"/>
              <w:ind w:firstLine="482" w:firstLineChars="200"/>
              <w:rPr>
                <w:rFonts w:ascii="Times New Roman" w:hAnsi="Times New Roman" w:eastAsia="黑体"/>
                <w:color w:val="auto"/>
                <w:kern w:val="0"/>
                <w:sz w:val="24"/>
                <w:szCs w:val="24"/>
                <w:highlight w:val="none"/>
              </w:rPr>
            </w:pPr>
            <w:r>
              <w:rPr>
                <w:rFonts w:hint="eastAsia" w:ascii="Times New Roman" w:hAnsi="Times New Roman" w:cs="Times New Roman"/>
                <w:b/>
                <w:color w:val="auto"/>
                <w:kern w:val="0"/>
                <w:sz w:val="24"/>
                <w:szCs w:val="24"/>
                <w:highlight w:val="none"/>
              </w:rPr>
              <w:t>11、</w:t>
            </w:r>
            <w:r>
              <w:rPr>
                <w:rFonts w:hint="eastAsia" w:ascii="Times New Roman" w:hAnsi="Times New Roman" w:cs="Times New Roman"/>
                <w:b/>
                <w:bCs/>
                <w:color w:val="auto"/>
                <w:kern w:val="0"/>
                <w:sz w:val="24"/>
                <w:szCs w:val="24"/>
                <w:highlight w:val="none"/>
              </w:rPr>
              <w:t>与《关于印发淮南市涉气建设项目环评审批负面清单的通知》相符性分析</w:t>
            </w:r>
          </w:p>
          <w:p w14:paraId="403DB552">
            <w:pPr>
              <w:spacing w:line="360" w:lineRule="auto"/>
              <w:jc w:val="center"/>
              <w:rPr>
                <w:rFonts w:ascii="Times New Roman" w:hAnsi="Times New Roman" w:eastAsia="黑体"/>
                <w:color w:val="auto"/>
                <w:kern w:val="0"/>
                <w:sz w:val="24"/>
                <w:szCs w:val="24"/>
                <w:highlight w:val="none"/>
              </w:rPr>
            </w:pPr>
            <w:r>
              <w:rPr>
                <w:rFonts w:ascii="Times New Roman" w:hAnsi="Times New Roman" w:eastAsia="黑体"/>
                <w:color w:val="auto"/>
                <w:kern w:val="0"/>
                <w:sz w:val="24"/>
                <w:szCs w:val="24"/>
                <w:highlight w:val="none"/>
              </w:rPr>
              <w:t>表1-</w:t>
            </w:r>
            <w:r>
              <w:rPr>
                <w:rFonts w:hint="eastAsia" w:ascii="Times New Roman" w:hAnsi="Times New Roman" w:eastAsia="黑体"/>
                <w:color w:val="auto"/>
                <w:kern w:val="0"/>
                <w:sz w:val="24"/>
                <w:szCs w:val="24"/>
                <w:highlight w:val="none"/>
              </w:rPr>
              <w:t>12  与《关于印发淮南市涉气建设项目环评审批负面清单的通知》</w:t>
            </w:r>
            <w:r>
              <w:rPr>
                <w:rFonts w:ascii="Times New Roman" w:hAnsi="Times New Roman" w:eastAsia="黑体"/>
                <w:color w:val="auto"/>
                <w:kern w:val="0"/>
                <w:sz w:val="24"/>
                <w:szCs w:val="24"/>
                <w:highlight w:val="none"/>
              </w:rPr>
              <w:t>符合性分析</w:t>
            </w:r>
          </w:p>
          <w:tbl>
            <w:tblPr>
              <w:tblStyle w:val="18"/>
              <w:tblW w:w="0" w:type="auto"/>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431"/>
              <w:gridCol w:w="985"/>
              <w:gridCol w:w="1481"/>
              <w:gridCol w:w="1224"/>
              <w:gridCol w:w="2628"/>
              <w:gridCol w:w="437"/>
            </w:tblGrid>
            <w:tr w14:paraId="5644B99C">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2F795EAF">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序号</w:t>
                  </w:r>
                </w:p>
              </w:tc>
              <w:tc>
                <w:tcPr>
                  <w:tcW w:w="0" w:type="auto"/>
                  <w:vAlign w:val="center"/>
                </w:tcPr>
                <w:p w14:paraId="7A7A9734">
                  <w:pPr>
                    <w:spacing w:line="276" w:lineRule="auto"/>
                    <w:jc w:val="center"/>
                    <w:rPr>
                      <w:rFonts w:ascii="Times New Roman" w:hAnsi="Times New Roman" w:cs="Times New Roman"/>
                      <w:b/>
                      <w:bCs/>
                      <w:color w:val="auto"/>
                      <w:highlight w:val="none"/>
                    </w:rPr>
                  </w:pPr>
                  <w:r>
                    <w:rPr>
                      <w:rFonts w:ascii="Times New Roman" w:cs="Times New Roman"/>
                      <w:b/>
                      <w:bCs/>
                      <w:color w:val="auto"/>
                      <w:highlight w:val="none"/>
                    </w:rPr>
                    <w:t>重点工作任务</w:t>
                  </w:r>
                </w:p>
              </w:tc>
              <w:tc>
                <w:tcPr>
                  <w:tcW w:w="0" w:type="auto"/>
                  <w:vAlign w:val="center"/>
                </w:tcPr>
                <w:p w14:paraId="2CFCE38F">
                  <w:pPr>
                    <w:spacing w:line="276" w:lineRule="auto"/>
                    <w:jc w:val="center"/>
                    <w:rPr>
                      <w:rFonts w:ascii="Times New Roman" w:hAnsi="Times New Roman" w:cs="Times New Roman"/>
                      <w:b/>
                      <w:bCs/>
                      <w:color w:val="auto"/>
                      <w:highlight w:val="none"/>
                    </w:rPr>
                  </w:pPr>
                  <w:r>
                    <w:rPr>
                      <w:rFonts w:ascii="Times New Roman" w:cs="Times New Roman"/>
                      <w:b/>
                      <w:bCs/>
                      <w:color w:val="auto"/>
                      <w:highlight w:val="none"/>
                    </w:rPr>
                    <w:t>推进举措</w:t>
                  </w:r>
                </w:p>
              </w:tc>
              <w:tc>
                <w:tcPr>
                  <w:tcW w:w="0" w:type="auto"/>
                  <w:vAlign w:val="center"/>
                </w:tcPr>
                <w:p w14:paraId="2ED70B20">
                  <w:pPr>
                    <w:spacing w:line="276" w:lineRule="auto"/>
                    <w:jc w:val="center"/>
                    <w:rPr>
                      <w:rFonts w:ascii="Times New Roman" w:hAnsi="Times New Roman" w:cs="Times New Roman"/>
                      <w:b/>
                      <w:color w:val="auto"/>
                      <w:szCs w:val="21"/>
                      <w:highlight w:val="none"/>
                    </w:rPr>
                  </w:pPr>
                  <w:r>
                    <w:rPr>
                      <w:rFonts w:ascii="Times New Roman" w:cs="Times New Roman"/>
                      <w:b/>
                      <w:bCs/>
                      <w:color w:val="auto"/>
                      <w:highlight w:val="none"/>
                    </w:rPr>
                    <w:t>环评审批的负面清单</w:t>
                  </w:r>
                </w:p>
              </w:tc>
              <w:tc>
                <w:tcPr>
                  <w:tcW w:w="0" w:type="auto"/>
                  <w:vAlign w:val="center"/>
                </w:tcPr>
                <w:p w14:paraId="258C396B">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项目符合性分析</w:t>
                  </w:r>
                </w:p>
              </w:tc>
              <w:tc>
                <w:tcPr>
                  <w:tcW w:w="0" w:type="auto"/>
                  <w:vAlign w:val="center"/>
                </w:tcPr>
                <w:p w14:paraId="06410526">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相符性</w:t>
                  </w:r>
                </w:p>
              </w:tc>
            </w:tr>
            <w:tr w14:paraId="40FFD2C1">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gridSpan w:val="6"/>
                  <w:vAlign w:val="center"/>
                </w:tcPr>
                <w:p w14:paraId="35ADC699">
                  <w:pPr>
                    <w:spacing w:line="276" w:lineRule="auto"/>
                    <w:jc w:val="center"/>
                    <w:rPr>
                      <w:rFonts w:ascii="Times New Roman" w:hAnsi="Times New Roman" w:cs="Times New Roman"/>
                      <w:b/>
                      <w:color w:val="auto"/>
                      <w:szCs w:val="21"/>
                      <w:highlight w:val="none"/>
                    </w:rPr>
                  </w:pPr>
                  <w:r>
                    <w:rPr>
                      <w:rFonts w:ascii="Times New Roman" w:cs="Times New Roman"/>
                      <w:color w:val="auto"/>
                      <w:highlight w:val="none"/>
                    </w:rPr>
                    <w:t>（一）坚决遏制高耗能、高排放、低水平项目盲目上马</w:t>
                  </w:r>
                </w:p>
              </w:tc>
            </w:tr>
            <w:tr w14:paraId="0537814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15AA169F">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1</w:t>
                  </w:r>
                </w:p>
              </w:tc>
              <w:tc>
                <w:tcPr>
                  <w:tcW w:w="0" w:type="auto"/>
                  <w:vAlign w:val="center"/>
                </w:tcPr>
                <w:p w14:paraId="2CB360B1">
                  <w:pPr>
                    <w:pStyle w:val="71"/>
                    <w:spacing w:line="276" w:lineRule="auto"/>
                    <w:rPr>
                      <w:color w:val="auto"/>
                      <w:highlight w:val="none"/>
                    </w:rPr>
                  </w:pPr>
                  <w:r>
                    <w:rPr>
                      <w:color w:val="auto"/>
                      <w:highlight w:val="none"/>
                    </w:rPr>
                    <w:t>新改扩建项目严格落实国家产业政策要求，严把“两高”项目审批。</w:t>
                  </w:r>
                </w:p>
              </w:tc>
              <w:tc>
                <w:tcPr>
                  <w:tcW w:w="0" w:type="auto"/>
                  <w:vAlign w:val="center"/>
                </w:tcPr>
                <w:p w14:paraId="533D3474">
                  <w:pPr>
                    <w:pStyle w:val="71"/>
                    <w:spacing w:line="276" w:lineRule="auto"/>
                    <w:rPr>
                      <w:color w:val="auto"/>
                      <w:highlight w:val="none"/>
                    </w:rPr>
                  </w:pPr>
                  <w:r>
                    <w:rPr>
                      <w:color w:val="auto"/>
                      <w:highlight w:val="none"/>
                    </w:rPr>
                    <w:t>新改扩建项目严格落实国家产业规划、产业政策、生态环境分区管控方案、规划环评、项目环评、节能审查、产能置换、重点污染物总量控制、污染物排放区域削减、碳排放达峰目标等相关要求，原则上采用清洁运输方式。实施“高污染、高耗能”项目部门联审，严格论证项目建设必要性、可行性，推动行业集约发展和绿色转型。</w:t>
                  </w:r>
                </w:p>
              </w:tc>
              <w:tc>
                <w:tcPr>
                  <w:tcW w:w="0" w:type="auto"/>
                  <w:vAlign w:val="center"/>
                </w:tcPr>
                <w:p w14:paraId="4A22AEE9">
                  <w:pPr>
                    <w:pStyle w:val="71"/>
                    <w:spacing w:line="276" w:lineRule="auto"/>
                    <w:rPr>
                      <w:color w:val="auto"/>
                      <w:highlight w:val="none"/>
                    </w:rPr>
                  </w:pPr>
                  <w:r>
                    <w:rPr>
                      <w:color w:val="auto"/>
                      <w:highlight w:val="none"/>
                    </w:rPr>
                    <w:t>1、新改扩建项目严格落实国家产业规划、产业政策、生态环境分区管控方案、规划环评、项目环评、节能审查、产能置换、重点污染物总量控制、污染物排放区域削减、碳排放达峰目标等相关要求；</w:t>
                  </w:r>
                </w:p>
                <w:p w14:paraId="5B6EF23E">
                  <w:pPr>
                    <w:pStyle w:val="71"/>
                    <w:spacing w:line="276" w:lineRule="auto"/>
                    <w:rPr>
                      <w:color w:val="auto"/>
                      <w:highlight w:val="none"/>
                    </w:rPr>
                  </w:pPr>
                  <w:r>
                    <w:rPr>
                      <w:color w:val="auto"/>
                      <w:highlight w:val="none"/>
                    </w:rPr>
                    <w:t>2、两高项目应实施部门联审。</w:t>
                  </w:r>
                </w:p>
              </w:tc>
              <w:tc>
                <w:tcPr>
                  <w:tcW w:w="0" w:type="auto"/>
                  <w:vAlign w:val="center"/>
                </w:tcPr>
                <w:p w14:paraId="3FF58896">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本项目不属于</w:t>
                  </w:r>
                  <w:r>
                    <w:rPr>
                      <w:rFonts w:ascii="Times New Roman" w:hAnsi="Times New Roman" w:cs="Times New Roman"/>
                      <w:color w:val="auto"/>
                      <w:highlight w:val="none"/>
                    </w:rPr>
                    <w:t>“</w:t>
                  </w:r>
                  <w:r>
                    <w:rPr>
                      <w:rFonts w:ascii="Times New Roman" w:cs="Times New Roman"/>
                      <w:color w:val="auto"/>
                      <w:highlight w:val="none"/>
                    </w:rPr>
                    <w:t>两高</w:t>
                  </w:r>
                  <w:r>
                    <w:rPr>
                      <w:rFonts w:ascii="Times New Roman" w:hAnsi="Times New Roman" w:cs="Times New Roman"/>
                      <w:color w:val="auto"/>
                      <w:highlight w:val="none"/>
                    </w:rPr>
                    <w:t>”</w:t>
                  </w:r>
                  <w:r>
                    <w:rPr>
                      <w:rFonts w:ascii="Times New Roman" w:cs="Times New Roman"/>
                      <w:color w:val="auto"/>
                      <w:highlight w:val="none"/>
                    </w:rPr>
                    <w:t>项目</w:t>
                  </w:r>
                </w:p>
              </w:tc>
              <w:tc>
                <w:tcPr>
                  <w:tcW w:w="0" w:type="auto"/>
                  <w:vAlign w:val="center"/>
                </w:tcPr>
                <w:p w14:paraId="3FFEE5AF">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符合</w:t>
                  </w:r>
                </w:p>
              </w:tc>
            </w:tr>
            <w:tr w14:paraId="0E368D77">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Merge w:val="restart"/>
                  <w:vAlign w:val="center"/>
                </w:tcPr>
                <w:p w14:paraId="646A0F6F">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2</w:t>
                  </w:r>
                </w:p>
              </w:tc>
              <w:tc>
                <w:tcPr>
                  <w:tcW w:w="0" w:type="auto"/>
                  <w:vMerge w:val="restart"/>
                  <w:vAlign w:val="center"/>
                </w:tcPr>
                <w:p w14:paraId="0E8C56B5">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严格落实产能置换要求。</w:t>
                  </w:r>
                </w:p>
              </w:tc>
              <w:tc>
                <w:tcPr>
                  <w:tcW w:w="0" w:type="auto"/>
                  <w:vAlign w:val="center"/>
                </w:tcPr>
                <w:p w14:paraId="7B1AF716">
                  <w:pPr>
                    <w:pStyle w:val="71"/>
                    <w:spacing w:line="276" w:lineRule="auto"/>
                    <w:rPr>
                      <w:color w:val="auto"/>
                      <w:highlight w:val="none"/>
                    </w:rPr>
                  </w:pPr>
                  <w:r>
                    <w:rPr>
                      <w:color w:val="auto"/>
                      <w:highlight w:val="none"/>
                    </w:rPr>
                    <w:t>推动产能过剩行业减量发展、优化布局。不以任何名义、任何方式核准、备案产能严重过剩行业新增产能项目。</w:t>
                  </w:r>
                </w:p>
              </w:tc>
              <w:tc>
                <w:tcPr>
                  <w:tcW w:w="0" w:type="auto"/>
                  <w:vAlign w:val="center"/>
                </w:tcPr>
                <w:p w14:paraId="604ED692">
                  <w:pPr>
                    <w:pStyle w:val="71"/>
                    <w:spacing w:line="276" w:lineRule="auto"/>
                    <w:rPr>
                      <w:color w:val="auto"/>
                      <w:highlight w:val="none"/>
                    </w:rPr>
                  </w:pPr>
                  <w:r>
                    <w:rPr>
                      <w:color w:val="auto"/>
                      <w:highlight w:val="none"/>
                    </w:rPr>
                    <w:t>严重过剩行业新增产能项目环评不予审批。</w:t>
                  </w:r>
                </w:p>
              </w:tc>
              <w:tc>
                <w:tcPr>
                  <w:tcW w:w="0" w:type="auto"/>
                  <w:vAlign w:val="center"/>
                </w:tcPr>
                <w:p w14:paraId="74DF55AE">
                  <w:pPr>
                    <w:pStyle w:val="71"/>
                    <w:spacing w:line="276" w:lineRule="auto"/>
                    <w:rPr>
                      <w:color w:val="auto"/>
                      <w:highlight w:val="none"/>
                    </w:rPr>
                  </w:pPr>
                  <w:r>
                    <w:rPr>
                      <w:color w:val="auto"/>
                      <w:highlight w:val="none"/>
                    </w:rPr>
                    <w:t>本项目属于</w:t>
                  </w:r>
                  <w:r>
                    <w:rPr>
                      <w:color w:val="auto"/>
                      <w:kern w:val="0"/>
                      <w:highlight w:val="none"/>
                    </w:rPr>
                    <w:t>C3670汽车零部件及配件制造</w:t>
                  </w:r>
                  <w:r>
                    <w:rPr>
                      <w:color w:val="auto"/>
                      <w:highlight w:val="none"/>
                    </w:rPr>
                    <w:t>，不属于过剩产能</w:t>
                  </w:r>
                </w:p>
              </w:tc>
              <w:tc>
                <w:tcPr>
                  <w:tcW w:w="0" w:type="auto"/>
                  <w:vAlign w:val="center"/>
                </w:tcPr>
                <w:p w14:paraId="54D790A7">
                  <w:pPr>
                    <w:spacing w:line="276" w:lineRule="auto"/>
                    <w:jc w:val="center"/>
                    <w:rPr>
                      <w:rFonts w:ascii="Times New Roman" w:hAnsi="Times New Roman" w:cs="Times New Roman"/>
                      <w:color w:val="auto"/>
                      <w:kern w:val="0"/>
                      <w:sz w:val="24"/>
                      <w:szCs w:val="24"/>
                      <w:highlight w:val="none"/>
                    </w:rPr>
                  </w:pPr>
                  <w:r>
                    <w:rPr>
                      <w:rFonts w:ascii="Times New Roman" w:hAnsi="Times New Roman" w:cs="Times New Roman"/>
                      <w:color w:val="auto"/>
                      <w:szCs w:val="21"/>
                      <w:highlight w:val="none"/>
                      <w:lang w:val="zh-CN"/>
                    </w:rPr>
                    <w:t>符合</w:t>
                  </w:r>
                </w:p>
              </w:tc>
            </w:tr>
            <w:tr w14:paraId="733A7C1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Merge w:val="continue"/>
                  <w:vAlign w:val="center"/>
                </w:tcPr>
                <w:p w14:paraId="2F22FCE8">
                  <w:pPr>
                    <w:spacing w:line="276" w:lineRule="auto"/>
                    <w:jc w:val="center"/>
                    <w:rPr>
                      <w:rFonts w:ascii="Times New Roman" w:hAnsi="Times New Roman" w:cs="Times New Roman"/>
                      <w:color w:val="auto"/>
                      <w:szCs w:val="21"/>
                      <w:highlight w:val="none"/>
                      <w:lang w:val="zh-CN"/>
                    </w:rPr>
                  </w:pPr>
                </w:p>
              </w:tc>
              <w:tc>
                <w:tcPr>
                  <w:tcW w:w="0" w:type="auto"/>
                  <w:vMerge w:val="continue"/>
                  <w:vAlign w:val="center"/>
                </w:tcPr>
                <w:p w14:paraId="661925B5">
                  <w:pPr>
                    <w:spacing w:line="276" w:lineRule="auto"/>
                    <w:jc w:val="center"/>
                    <w:rPr>
                      <w:rFonts w:ascii="Times New Roman" w:hAnsi="Times New Roman" w:cs="Times New Roman"/>
                      <w:color w:val="auto"/>
                      <w:szCs w:val="21"/>
                      <w:highlight w:val="none"/>
                      <w:lang w:val="zh-CN"/>
                    </w:rPr>
                  </w:pPr>
                </w:p>
              </w:tc>
              <w:tc>
                <w:tcPr>
                  <w:tcW w:w="0" w:type="auto"/>
                  <w:vAlign w:val="center"/>
                </w:tcPr>
                <w:p w14:paraId="0FAD6103">
                  <w:pPr>
                    <w:pStyle w:val="71"/>
                    <w:spacing w:line="276" w:lineRule="auto"/>
                    <w:rPr>
                      <w:color w:val="auto"/>
                      <w:highlight w:val="none"/>
                    </w:rPr>
                  </w:pPr>
                  <w:r>
                    <w:rPr>
                      <w:color w:val="auto"/>
                      <w:highlight w:val="none"/>
                    </w:rPr>
                    <w:t>被置换产能及其配套设施关停后，新建项目方可投产。</w:t>
                  </w:r>
                </w:p>
              </w:tc>
              <w:tc>
                <w:tcPr>
                  <w:tcW w:w="0" w:type="auto"/>
                  <w:vAlign w:val="center"/>
                </w:tcPr>
                <w:p w14:paraId="07B4B132">
                  <w:pPr>
                    <w:pStyle w:val="71"/>
                    <w:spacing w:line="276" w:lineRule="auto"/>
                    <w:rPr>
                      <w:color w:val="auto"/>
                      <w:highlight w:val="none"/>
                    </w:rPr>
                  </w:pPr>
                  <w:r>
                    <w:rPr>
                      <w:color w:val="auto"/>
                      <w:highlight w:val="none"/>
                    </w:rPr>
                    <w:t>涉及产能置换项目环评阶段应取得置换产能。</w:t>
                  </w:r>
                </w:p>
              </w:tc>
              <w:tc>
                <w:tcPr>
                  <w:tcW w:w="0" w:type="auto"/>
                  <w:vAlign w:val="center"/>
                </w:tcPr>
                <w:p w14:paraId="24AB8E08">
                  <w:pPr>
                    <w:pStyle w:val="71"/>
                    <w:spacing w:line="276" w:lineRule="auto"/>
                    <w:rPr>
                      <w:color w:val="auto"/>
                      <w:highlight w:val="none"/>
                    </w:rPr>
                  </w:pPr>
                  <w:r>
                    <w:rPr>
                      <w:color w:val="auto"/>
                      <w:highlight w:val="none"/>
                    </w:rPr>
                    <w:t>本项目不涉及产能置换</w:t>
                  </w:r>
                </w:p>
              </w:tc>
              <w:tc>
                <w:tcPr>
                  <w:tcW w:w="0" w:type="auto"/>
                  <w:vAlign w:val="center"/>
                </w:tcPr>
                <w:p w14:paraId="789F153E">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符合</w:t>
                  </w:r>
                </w:p>
              </w:tc>
            </w:tr>
            <w:tr w14:paraId="5EA90D0D">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gridSpan w:val="6"/>
                  <w:vAlign w:val="center"/>
                </w:tcPr>
                <w:p w14:paraId="71D67362">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（二）有序推动落后产能淘汰</w:t>
                  </w:r>
                </w:p>
              </w:tc>
            </w:tr>
            <w:tr w14:paraId="0B39FF8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Merge w:val="restart"/>
                  <w:vAlign w:val="center"/>
                </w:tcPr>
                <w:p w14:paraId="2F3270E9">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5</w:t>
                  </w:r>
                </w:p>
              </w:tc>
              <w:tc>
                <w:tcPr>
                  <w:tcW w:w="0" w:type="auto"/>
                  <w:vMerge w:val="restart"/>
                  <w:vAlign w:val="center"/>
                </w:tcPr>
                <w:p w14:paraId="27052C5D">
                  <w:pPr>
                    <w:pStyle w:val="71"/>
                    <w:spacing w:line="276" w:lineRule="auto"/>
                    <w:rPr>
                      <w:color w:val="auto"/>
                      <w:highlight w:val="none"/>
                    </w:rPr>
                  </w:pPr>
                  <w:r>
                    <w:rPr>
                      <w:color w:val="auto"/>
                      <w:highlight w:val="none"/>
                    </w:rPr>
                    <w:t>有序推动生产设施老旧、工艺水平落后、环境管理水平低下等企业退出市场。</w:t>
                  </w:r>
                </w:p>
              </w:tc>
              <w:tc>
                <w:tcPr>
                  <w:tcW w:w="0" w:type="auto"/>
                  <w:vAlign w:val="center"/>
                </w:tcPr>
                <w:p w14:paraId="74B549F1">
                  <w:pPr>
                    <w:pStyle w:val="71"/>
                    <w:spacing w:line="276" w:lineRule="auto"/>
                    <w:rPr>
                      <w:color w:val="auto"/>
                      <w:highlight w:val="none"/>
                    </w:rPr>
                  </w:pPr>
                  <w:r>
                    <w:rPr>
                      <w:color w:val="auto"/>
                      <w:highlight w:val="none"/>
                    </w:rPr>
                    <w:t>逐步淘汰步进式烧结机和球团竖炉以及半封闭式硅锰合金、镍铁、高碳铬铁、高碳锰铁电炉。</w:t>
                  </w:r>
                </w:p>
              </w:tc>
              <w:tc>
                <w:tcPr>
                  <w:tcW w:w="0" w:type="auto"/>
                  <w:vAlign w:val="center"/>
                </w:tcPr>
                <w:p w14:paraId="023B3298">
                  <w:pPr>
                    <w:pStyle w:val="71"/>
                    <w:spacing w:line="276" w:lineRule="auto"/>
                    <w:rPr>
                      <w:color w:val="auto"/>
                      <w:highlight w:val="none"/>
                    </w:rPr>
                  </w:pPr>
                  <w:r>
                    <w:rPr>
                      <w:color w:val="auto"/>
                      <w:highlight w:val="none"/>
                    </w:rPr>
                    <w:t>采用步进式烧结机和球团竖炉以及半封闭式硅锰合金、镍铁、高碳铬铁、高碳锰铁电炉新建项目环评不予审批。</w:t>
                  </w:r>
                </w:p>
              </w:tc>
              <w:tc>
                <w:tcPr>
                  <w:tcW w:w="0" w:type="auto"/>
                  <w:vMerge w:val="restart"/>
                  <w:vAlign w:val="center"/>
                </w:tcPr>
                <w:p w14:paraId="7EDEC5F5">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本项目不涉及落后产能。不进行钢铁、铝、水泥等过剩产能产品加工</w:t>
                  </w:r>
                </w:p>
              </w:tc>
              <w:tc>
                <w:tcPr>
                  <w:tcW w:w="0" w:type="auto"/>
                  <w:vMerge w:val="restart"/>
                  <w:vAlign w:val="center"/>
                </w:tcPr>
                <w:p w14:paraId="0781BAB3">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符合</w:t>
                  </w:r>
                </w:p>
              </w:tc>
            </w:tr>
            <w:tr w14:paraId="2E5883C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Merge w:val="continue"/>
                  <w:vAlign w:val="center"/>
                </w:tcPr>
                <w:p w14:paraId="23CDF0AE">
                  <w:pPr>
                    <w:spacing w:line="276" w:lineRule="auto"/>
                    <w:jc w:val="center"/>
                    <w:rPr>
                      <w:rFonts w:ascii="Times New Roman" w:hAnsi="Times New Roman" w:cs="Times New Roman"/>
                      <w:color w:val="auto"/>
                      <w:szCs w:val="21"/>
                      <w:highlight w:val="none"/>
                      <w:lang w:val="zh-CN"/>
                    </w:rPr>
                  </w:pPr>
                </w:p>
              </w:tc>
              <w:tc>
                <w:tcPr>
                  <w:tcW w:w="0" w:type="auto"/>
                  <w:vMerge w:val="continue"/>
                  <w:vAlign w:val="center"/>
                </w:tcPr>
                <w:p w14:paraId="7EA7C52D">
                  <w:pPr>
                    <w:spacing w:line="276" w:lineRule="auto"/>
                    <w:jc w:val="center"/>
                    <w:rPr>
                      <w:rFonts w:ascii="Times New Roman" w:hAnsi="Times New Roman" w:cs="Times New Roman"/>
                      <w:color w:val="auto"/>
                      <w:szCs w:val="21"/>
                      <w:highlight w:val="none"/>
                      <w:lang w:val="zh-CN"/>
                    </w:rPr>
                  </w:pPr>
                </w:p>
              </w:tc>
              <w:tc>
                <w:tcPr>
                  <w:tcW w:w="0" w:type="auto"/>
                  <w:vAlign w:val="center"/>
                </w:tcPr>
                <w:p w14:paraId="7ED372F5">
                  <w:pPr>
                    <w:pStyle w:val="71"/>
                    <w:spacing w:line="276" w:lineRule="auto"/>
                    <w:rPr>
                      <w:color w:val="auto"/>
                      <w:highlight w:val="none"/>
                    </w:rPr>
                  </w:pPr>
                  <w:r>
                    <w:rPr>
                      <w:color w:val="auto"/>
                      <w:highlight w:val="none"/>
                    </w:rPr>
                    <w:t>有序推动落后煤炭洗选企业退出市场。</w:t>
                  </w:r>
                </w:p>
              </w:tc>
              <w:tc>
                <w:tcPr>
                  <w:tcW w:w="0" w:type="auto"/>
                  <w:vAlign w:val="center"/>
                </w:tcPr>
                <w:p w14:paraId="49FA1FF7">
                  <w:pPr>
                    <w:pStyle w:val="71"/>
                    <w:spacing w:line="276" w:lineRule="auto"/>
                    <w:rPr>
                      <w:color w:val="auto"/>
                      <w:highlight w:val="none"/>
                    </w:rPr>
                  </w:pPr>
                  <w:r>
                    <w:rPr>
                      <w:color w:val="auto"/>
                      <w:highlight w:val="none"/>
                    </w:rPr>
                    <w:t>落后煤炭洗选项目不予审批。</w:t>
                  </w:r>
                </w:p>
              </w:tc>
              <w:tc>
                <w:tcPr>
                  <w:tcW w:w="0" w:type="auto"/>
                  <w:vMerge w:val="continue"/>
                  <w:vAlign w:val="center"/>
                </w:tcPr>
                <w:p w14:paraId="133A2797">
                  <w:pPr>
                    <w:spacing w:line="276" w:lineRule="auto"/>
                    <w:jc w:val="center"/>
                    <w:rPr>
                      <w:rFonts w:ascii="Times New Roman" w:hAnsi="Times New Roman" w:cs="Times New Roman"/>
                      <w:color w:val="auto"/>
                      <w:szCs w:val="21"/>
                      <w:highlight w:val="none"/>
                      <w:lang w:val="zh-CN"/>
                    </w:rPr>
                  </w:pPr>
                </w:p>
              </w:tc>
              <w:tc>
                <w:tcPr>
                  <w:tcW w:w="0" w:type="auto"/>
                  <w:vMerge w:val="continue"/>
                  <w:vAlign w:val="center"/>
                </w:tcPr>
                <w:p w14:paraId="252C4CDE">
                  <w:pPr>
                    <w:spacing w:line="276" w:lineRule="auto"/>
                    <w:jc w:val="center"/>
                    <w:rPr>
                      <w:rFonts w:ascii="Times New Roman" w:hAnsi="Times New Roman" w:cs="Times New Roman"/>
                      <w:color w:val="auto"/>
                      <w:szCs w:val="21"/>
                      <w:highlight w:val="none"/>
                      <w:lang w:val="zh-CN"/>
                    </w:rPr>
                  </w:pPr>
                </w:p>
              </w:tc>
            </w:tr>
            <w:tr w14:paraId="07436E3A">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Merge w:val="continue"/>
                  <w:vAlign w:val="center"/>
                </w:tcPr>
                <w:p w14:paraId="49631EE2">
                  <w:pPr>
                    <w:spacing w:line="276" w:lineRule="auto"/>
                    <w:jc w:val="center"/>
                    <w:rPr>
                      <w:rFonts w:ascii="Times New Roman" w:hAnsi="Times New Roman" w:cs="Times New Roman"/>
                      <w:color w:val="auto"/>
                      <w:szCs w:val="21"/>
                      <w:highlight w:val="none"/>
                      <w:lang w:val="zh-CN"/>
                    </w:rPr>
                  </w:pPr>
                </w:p>
              </w:tc>
              <w:tc>
                <w:tcPr>
                  <w:tcW w:w="0" w:type="auto"/>
                  <w:vMerge w:val="continue"/>
                  <w:vAlign w:val="center"/>
                </w:tcPr>
                <w:p w14:paraId="1B7B2007">
                  <w:pPr>
                    <w:spacing w:line="276" w:lineRule="auto"/>
                    <w:jc w:val="center"/>
                    <w:rPr>
                      <w:rFonts w:ascii="Times New Roman" w:hAnsi="Times New Roman" w:cs="Times New Roman"/>
                      <w:color w:val="auto"/>
                      <w:szCs w:val="21"/>
                      <w:highlight w:val="none"/>
                      <w:lang w:val="zh-CN"/>
                    </w:rPr>
                  </w:pPr>
                </w:p>
              </w:tc>
              <w:tc>
                <w:tcPr>
                  <w:tcW w:w="0" w:type="auto"/>
                  <w:vAlign w:val="center"/>
                </w:tcPr>
                <w:p w14:paraId="40DC6940">
                  <w:pPr>
                    <w:pStyle w:val="71"/>
                    <w:spacing w:line="276" w:lineRule="auto"/>
                    <w:rPr>
                      <w:color w:val="auto"/>
                      <w:highlight w:val="none"/>
                    </w:rPr>
                  </w:pPr>
                  <w:r>
                    <w:rPr>
                      <w:color w:val="auto"/>
                      <w:highlight w:val="none"/>
                    </w:rPr>
                    <w:t>禁止铝加工（深井铸造）企业新改扩建项目采用固定式保温炉组、钢丝绳铸造机。</w:t>
                  </w:r>
                </w:p>
              </w:tc>
              <w:tc>
                <w:tcPr>
                  <w:tcW w:w="0" w:type="auto"/>
                  <w:vAlign w:val="center"/>
                </w:tcPr>
                <w:p w14:paraId="1F5097A0">
                  <w:pPr>
                    <w:pStyle w:val="71"/>
                    <w:spacing w:line="276" w:lineRule="auto"/>
                    <w:rPr>
                      <w:color w:val="auto"/>
                      <w:highlight w:val="none"/>
                    </w:rPr>
                  </w:pPr>
                  <w:r>
                    <w:rPr>
                      <w:color w:val="auto"/>
                      <w:highlight w:val="none"/>
                    </w:rPr>
                    <w:t>采用固定式保温炉组、钢丝绳铸造机的新改扩建铝加工（深井铸造）项目环评不予审批。</w:t>
                  </w:r>
                </w:p>
              </w:tc>
              <w:tc>
                <w:tcPr>
                  <w:tcW w:w="0" w:type="auto"/>
                  <w:vMerge w:val="continue"/>
                  <w:vAlign w:val="center"/>
                </w:tcPr>
                <w:p w14:paraId="6E31726B">
                  <w:pPr>
                    <w:spacing w:line="276" w:lineRule="auto"/>
                    <w:jc w:val="center"/>
                    <w:rPr>
                      <w:rFonts w:ascii="Times New Roman" w:hAnsi="Times New Roman" w:cs="Times New Roman"/>
                      <w:color w:val="auto"/>
                      <w:szCs w:val="21"/>
                      <w:highlight w:val="none"/>
                      <w:lang w:val="zh-CN"/>
                    </w:rPr>
                  </w:pPr>
                </w:p>
              </w:tc>
              <w:tc>
                <w:tcPr>
                  <w:tcW w:w="0" w:type="auto"/>
                  <w:vMerge w:val="continue"/>
                  <w:vAlign w:val="center"/>
                </w:tcPr>
                <w:p w14:paraId="540E048C">
                  <w:pPr>
                    <w:spacing w:line="276" w:lineRule="auto"/>
                    <w:jc w:val="center"/>
                    <w:rPr>
                      <w:rFonts w:ascii="Times New Roman" w:hAnsi="Times New Roman" w:cs="Times New Roman"/>
                      <w:color w:val="auto"/>
                      <w:szCs w:val="21"/>
                      <w:highlight w:val="none"/>
                      <w:lang w:val="zh-CN"/>
                    </w:rPr>
                  </w:pPr>
                </w:p>
              </w:tc>
            </w:tr>
            <w:tr w14:paraId="7B2FE0AA">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3F80C1D3">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6</w:t>
                  </w:r>
                </w:p>
              </w:tc>
              <w:tc>
                <w:tcPr>
                  <w:tcW w:w="0" w:type="auto"/>
                  <w:vAlign w:val="center"/>
                </w:tcPr>
                <w:p w14:paraId="084BB8CF">
                  <w:pPr>
                    <w:pStyle w:val="71"/>
                    <w:spacing w:line="276" w:lineRule="auto"/>
                    <w:rPr>
                      <w:color w:val="auto"/>
                      <w:highlight w:val="none"/>
                    </w:rPr>
                  </w:pPr>
                  <w:r>
                    <w:rPr>
                      <w:color w:val="auto"/>
                      <w:highlight w:val="none"/>
                    </w:rPr>
                    <w:t>严禁违规新增产能。</w:t>
                  </w:r>
                </w:p>
              </w:tc>
              <w:tc>
                <w:tcPr>
                  <w:tcW w:w="0" w:type="auto"/>
                  <w:vAlign w:val="center"/>
                </w:tcPr>
                <w:p w14:paraId="3CDCEF55">
                  <w:pPr>
                    <w:pStyle w:val="71"/>
                    <w:spacing w:line="276" w:lineRule="auto"/>
                    <w:rPr>
                      <w:color w:val="auto"/>
                      <w:highlight w:val="none"/>
                    </w:rPr>
                  </w:pPr>
                  <w:r>
                    <w:rPr>
                      <w:color w:val="auto"/>
                      <w:highlight w:val="none"/>
                    </w:rPr>
                    <w:t>严禁违规新增钢铁、水泥（熟料）、焦化、电解铝、平板玻璃（不含光伏压延玻璃）产能。</w:t>
                  </w:r>
                </w:p>
              </w:tc>
              <w:tc>
                <w:tcPr>
                  <w:tcW w:w="0" w:type="auto"/>
                  <w:vAlign w:val="center"/>
                </w:tcPr>
                <w:p w14:paraId="7FD549EC">
                  <w:pPr>
                    <w:pStyle w:val="71"/>
                    <w:spacing w:line="276" w:lineRule="auto"/>
                    <w:rPr>
                      <w:color w:val="auto"/>
                      <w:highlight w:val="none"/>
                    </w:rPr>
                  </w:pPr>
                  <w:r>
                    <w:rPr>
                      <w:color w:val="auto"/>
                      <w:highlight w:val="none"/>
                    </w:rPr>
                    <w:t>违规新增钢铁、水泥（熟料）、焦化、电解铝、平板玻璃（不含光伏压延玻璃）产能项目环评不予审批。</w:t>
                  </w:r>
                </w:p>
              </w:tc>
              <w:tc>
                <w:tcPr>
                  <w:tcW w:w="0" w:type="auto"/>
                  <w:vMerge w:val="continue"/>
                  <w:vAlign w:val="center"/>
                </w:tcPr>
                <w:p w14:paraId="7C15FB04">
                  <w:pPr>
                    <w:spacing w:line="276" w:lineRule="auto"/>
                    <w:jc w:val="center"/>
                    <w:rPr>
                      <w:rFonts w:ascii="Times New Roman" w:hAnsi="Times New Roman" w:cs="Times New Roman"/>
                      <w:color w:val="auto"/>
                      <w:szCs w:val="21"/>
                      <w:highlight w:val="none"/>
                      <w:lang w:val="zh-CN"/>
                    </w:rPr>
                  </w:pPr>
                </w:p>
              </w:tc>
              <w:tc>
                <w:tcPr>
                  <w:tcW w:w="0" w:type="auto"/>
                  <w:vMerge w:val="continue"/>
                  <w:vAlign w:val="center"/>
                </w:tcPr>
                <w:p w14:paraId="0C9A422A">
                  <w:pPr>
                    <w:spacing w:line="276" w:lineRule="auto"/>
                    <w:jc w:val="center"/>
                    <w:rPr>
                      <w:rFonts w:ascii="Times New Roman" w:hAnsi="Times New Roman" w:cs="Times New Roman"/>
                      <w:color w:val="auto"/>
                      <w:szCs w:val="21"/>
                      <w:highlight w:val="none"/>
                      <w:lang w:val="zh-CN"/>
                    </w:rPr>
                  </w:pPr>
                </w:p>
              </w:tc>
            </w:tr>
            <w:tr w14:paraId="1548C5C6">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gridSpan w:val="6"/>
                  <w:vAlign w:val="center"/>
                </w:tcPr>
                <w:p w14:paraId="0E3B7064">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（六）推动煤炭消费减量替代</w:t>
                  </w:r>
                </w:p>
              </w:tc>
            </w:tr>
            <w:tr w14:paraId="454652DA">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03950A13">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16</w:t>
                  </w:r>
                </w:p>
              </w:tc>
              <w:tc>
                <w:tcPr>
                  <w:tcW w:w="0" w:type="auto"/>
                  <w:vAlign w:val="center"/>
                </w:tcPr>
                <w:p w14:paraId="260D858B">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推动煤炭等量或减量替代。</w:t>
                  </w:r>
                </w:p>
              </w:tc>
              <w:tc>
                <w:tcPr>
                  <w:tcW w:w="0" w:type="auto"/>
                  <w:vAlign w:val="center"/>
                </w:tcPr>
                <w:p w14:paraId="61F4020D">
                  <w:pPr>
                    <w:pStyle w:val="71"/>
                    <w:spacing w:line="276" w:lineRule="auto"/>
                    <w:rPr>
                      <w:color w:val="auto"/>
                      <w:highlight w:val="none"/>
                    </w:rPr>
                  </w:pPr>
                  <w:r>
                    <w:rPr>
                      <w:color w:val="auto"/>
                      <w:highlight w:val="none"/>
                    </w:rPr>
                    <w:t>重点区域新改扩建用煤项目，依法实行煤炭等量或减量替代，替代方案不完善的能评、环评等不予审批；不得使用石油焦、焦炭、兰炭等高污染燃料作为煤炭减量替代措施。</w:t>
                  </w:r>
                </w:p>
              </w:tc>
              <w:tc>
                <w:tcPr>
                  <w:tcW w:w="0" w:type="auto"/>
                  <w:vAlign w:val="center"/>
                </w:tcPr>
                <w:p w14:paraId="5581647F">
                  <w:pPr>
                    <w:pStyle w:val="71"/>
                    <w:spacing w:line="276" w:lineRule="auto"/>
                    <w:rPr>
                      <w:color w:val="auto"/>
                      <w:highlight w:val="none"/>
                    </w:rPr>
                  </w:pPr>
                  <w:r>
                    <w:rPr>
                      <w:color w:val="auto"/>
                      <w:highlight w:val="none"/>
                    </w:rPr>
                    <w:t>重点区域新改扩建用煤项目，依法实行煤炭等量或减量替代，替代方案不完善的环评不予审批；不得使用石油焦、焦炭、兰炭等高污染燃料作为煤炭减量替代措施。</w:t>
                  </w:r>
                </w:p>
              </w:tc>
              <w:tc>
                <w:tcPr>
                  <w:tcW w:w="0" w:type="auto"/>
                  <w:vAlign w:val="center"/>
                </w:tcPr>
                <w:p w14:paraId="6206EC8F">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本项目生产采用电作为能源，不涉及煤等资源能源</w:t>
                  </w:r>
                </w:p>
              </w:tc>
              <w:tc>
                <w:tcPr>
                  <w:tcW w:w="0" w:type="auto"/>
                  <w:vAlign w:val="center"/>
                </w:tcPr>
                <w:p w14:paraId="2561EF3F">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符合</w:t>
                  </w:r>
                </w:p>
              </w:tc>
            </w:tr>
            <w:tr w14:paraId="00AF9C0C">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gridSpan w:val="6"/>
                  <w:vAlign w:val="center"/>
                </w:tcPr>
                <w:p w14:paraId="198342F9">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（七）加快推动燃煤锅炉机组升级改造</w:t>
                  </w:r>
                </w:p>
              </w:tc>
            </w:tr>
            <w:tr w14:paraId="256A7AE9">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273674B4">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19</w:t>
                  </w:r>
                </w:p>
              </w:tc>
              <w:tc>
                <w:tcPr>
                  <w:tcW w:w="0" w:type="auto"/>
                  <w:vAlign w:val="center"/>
                </w:tcPr>
                <w:p w14:paraId="178218BB">
                  <w:pPr>
                    <w:pStyle w:val="71"/>
                    <w:spacing w:line="276" w:lineRule="auto"/>
                    <w:rPr>
                      <w:color w:val="auto"/>
                      <w:highlight w:val="none"/>
                    </w:rPr>
                  </w:pPr>
                  <w:r>
                    <w:rPr>
                      <w:color w:val="auto"/>
                      <w:highlight w:val="none"/>
                    </w:rPr>
                    <w:t>严控热源性燃煤设施建设。</w:t>
                  </w:r>
                </w:p>
              </w:tc>
              <w:tc>
                <w:tcPr>
                  <w:tcW w:w="0" w:type="auto"/>
                  <w:vAlign w:val="center"/>
                </w:tcPr>
                <w:p w14:paraId="248EBA55">
                  <w:pPr>
                    <w:pStyle w:val="71"/>
                    <w:spacing w:line="276" w:lineRule="auto"/>
                    <w:rPr>
                      <w:color w:val="auto"/>
                      <w:highlight w:val="none"/>
                    </w:rPr>
                  </w:pPr>
                  <w:r>
                    <w:rPr>
                      <w:color w:val="auto"/>
                      <w:highlight w:val="none"/>
                    </w:rPr>
                    <w:t>重点区域原则上不再新建除集中供暖外的燃煤锅炉。</w:t>
                  </w:r>
                </w:p>
              </w:tc>
              <w:tc>
                <w:tcPr>
                  <w:tcW w:w="0" w:type="auto"/>
                  <w:vAlign w:val="center"/>
                </w:tcPr>
                <w:p w14:paraId="16E051B7">
                  <w:pPr>
                    <w:pStyle w:val="71"/>
                    <w:spacing w:line="276" w:lineRule="auto"/>
                    <w:rPr>
                      <w:color w:val="auto"/>
                      <w:highlight w:val="none"/>
                    </w:rPr>
                  </w:pPr>
                  <w:r>
                    <w:rPr>
                      <w:color w:val="auto"/>
                      <w:highlight w:val="none"/>
                    </w:rPr>
                    <w:t>原则上不得审批除集中供暖外的燃煤锅炉。</w:t>
                  </w:r>
                </w:p>
              </w:tc>
              <w:tc>
                <w:tcPr>
                  <w:tcW w:w="0" w:type="auto"/>
                  <w:vMerge w:val="restart"/>
                  <w:vAlign w:val="center"/>
                </w:tcPr>
                <w:p w14:paraId="6EF2D736">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本项目不建设锅炉</w:t>
                  </w:r>
                </w:p>
              </w:tc>
              <w:tc>
                <w:tcPr>
                  <w:tcW w:w="0" w:type="auto"/>
                  <w:vMerge w:val="restart"/>
                  <w:vAlign w:val="center"/>
                </w:tcPr>
                <w:p w14:paraId="15D89E69">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符合</w:t>
                  </w:r>
                </w:p>
              </w:tc>
            </w:tr>
            <w:tr w14:paraId="2B2FE20D">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23C41C89">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21</w:t>
                  </w:r>
                </w:p>
              </w:tc>
              <w:tc>
                <w:tcPr>
                  <w:tcW w:w="0" w:type="auto"/>
                  <w:vAlign w:val="center"/>
                </w:tcPr>
                <w:p w14:paraId="061B01D5">
                  <w:pPr>
                    <w:pStyle w:val="71"/>
                    <w:spacing w:line="276" w:lineRule="auto"/>
                    <w:rPr>
                      <w:color w:val="auto"/>
                      <w:highlight w:val="none"/>
                    </w:rPr>
                  </w:pPr>
                  <w:r>
                    <w:rPr>
                      <w:color w:val="auto"/>
                      <w:highlight w:val="none"/>
                    </w:rPr>
                    <w:t>推动现有燃煤机组升级改造。</w:t>
                  </w:r>
                </w:p>
              </w:tc>
              <w:tc>
                <w:tcPr>
                  <w:tcW w:w="0" w:type="auto"/>
                  <w:vAlign w:val="center"/>
                </w:tcPr>
                <w:p w14:paraId="55069086">
                  <w:pPr>
                    <w:pStyle w:val="71"/>
                    <w:spacing w:line="276" w:lineRule="auto"/>
                    <w:rPr>
                      <w:color w:val="auto"/>
                      <w:highlight w:val="none"/>
                    </w:rPr>
                  </w:pPr>
                  <w:r>
                    <w:rPr>
                      <w:color w:val="auto"/>
                      <w:highlight w:val="none"/>
                    </w:rPr>
                    <w:t>禁止新建自备燃煤机组，鼓励自备燃煤机组积极开展清洁能源替代。大力推动现有煤电机组开展节能降碳改造、灵活性改造、供热改造“三改联动”。</w:t>
                  </w:r>
                </w:p>
              </w:tc>
              <w:tc>
                <w:tcPr>
                  <w:tcW w:w="0" w:type="auto"/>
                  <w:vAlign w:val="center"/>
                </w:tcPr>
                <w:p w14:paraId="354DCDAE">
                  <w:pPr>
                    <w:pStyle w:val="71"/>
                    <w:spacing w:line="276" w:lineRule="auto"/>
                    <w:rPr>
                      <w:color w:val="auto"/>
                      <w:highlight w:val="none"/>
                    </w:rPr>
                  </w:pPr>
                  <w:r>
                    <w:rPr>
                      <w:color w:val="auto"/>
                      <w:highlight w:val="none"/>
                    </w:rPr>
                    <w:t>新建自备燃煤机组环评项目不予审批。</w:t>
                  </w:r>
                </w:p>
              </w:tc>
              <w:tc>
                <w:tcPr>
                  <w:tcW w:w="0" w:type="auto"/>
                  <w:vMerge w:val="continue"/>
                  <w:vAlign w:val="center"/>
                </w:tcPr>
                <w:p w14:paraId="55EC612B">
                  <w:pPr>
                    <w:spacing w:line="276" w:lineRule="auto"/>
                    <w:jc w:val="center"/>
                    <w:rPr>
                      <w:rFonts w:ascii="Times New Roman" w:hAnsi="Times New Roman" w:cs="Times New Roman"/>
                      <w:color w:val="auto"/>
                      <w:szCs w:val="21"/>
                      <w:highlight w:val="none"/>
                      <w:lang w:val="zh-CN"/>
                    </w:rPr>
                  </w:pPr>
                </w:p>
              </w:tc>
              <w:tc>
                <w:tcPr>
                  <w:tcW w:w="0" w:type="auto"/>
                  <w:vMerge w:val="continue"/>
                  <w:vAlign w:val="center"/>
                </w:tcPr>
                <w:p w14:paraId="1805E219">
                  <w:pPr>
                    <w:spacing w:line="276" w:lineRule="auto"/>
                    <w:jc w:val="center"/>
                    <w:rPr>
                      <w:rFonts w:ascii="Times New Roman" w:hAnsi="Times New Roman" w:cs="Times New Roman"/>
                      <w:color w:val="auto"/>
                      <w:szCs w:val="21"/>
                      <w:highlight w:val="none"/>
                      <w:lang w:val="zh-CN"/>
                    </w:rPr>
                  </w:pPr>
                </w:p>
              </w:tc>
            </w:tr>
            <w:tr w14:paraId="63743A2B">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PrEx>
              <w:tc>
                <w:tcPr>
                  <w:tcW w:w="0" w:type="auto"/>
                  <w:gridSpan w:val="6"/>
                  <w:vAlign w:val="center"/>
                </w:tcPr>
                <w:p w14:paraId="5E0D2BB9">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（八）推动工业炉窑清洁能源替代</w:t>
                  </w:r>
                </w:p>
              </w:tc>
            </w:tr>
            <w:tr w14:paraId="3174EF9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10AEF4E9">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23</w:t>
                  </w:r>
                </w:p>
              </w:tc>
              <w:tc>
                <w:tcPr>
                  <w:tcW w:w="0" w:type="auto"/>
                  <w:vAlign w:val="center"/>
                </w:tcPr>
                <w:p w14:paraId="0102EAB7">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推动煤气发生炉清洁能源替代。</w:t>
                  </w:r>
                </w:p>
              </w:tc>
              <w:tc>
                <w:tcPr>
                  <w:tcW w:w="0" w:type="auto"/>
                  <w:vAlign w:val="center"/>
                </w:tcPr>
                <w:p w14:paraId="7155D595">
                  <w:pPr>
                    <w:pStyle w:val="71"/>
                    <w:spacing w:line="276" w:lineRule="auto"/>
                    <w:rPr>
                      <w:color w:val="auto"/>
                      <w:highlight w:val="none"/>
                    </w:rPr>
                  </w:pPr>
                  <w:r>
                    <w:rPr>
                      <w:color w:val="auto"/>
                      <w:highlight w:val="none"/>
                    </w:rPr>
                    <w:t>重点区域不再新增燃料类煤气发生炉。</w:t>
                  </w:r>
                </w:p>
              </w:tc>
              <w:tc>
                <w:tcPr>
                  <w:tcW w:w="0" w:type="auto"/>
                  <w:vAlign w:val="center"/>
                </w:tcPr>
                <w:p w14:paraId="05FA045B">
                  <w:pPr>
                    <w:pStyle w:val="71"/>
                    <w:spacing w:line="276" w:lineRule="auto"/>
                    <w:rPr>
                      <w:color w:val="auto"/>
                      <w:highlight w:val="none"/>
                    </w:rPr>
                  </w:pPr>
                  <w:r>
                    <w:rPr>
                      <w:color w:val="auto"/>
                      <w:highlight w:val="none"/>
                    </w:rPr>
                    <w:t>新增燃煤类煤气发生炉项目不予审批。</w:t>
                  </w:r>
                </w:p>
              </w:tc>
              <w:tc>
                <w:tcPr>
                  <w:tcW w:w="0" w:type="auto"/>
                  <w:vAlign w:val="center"/>
                </w:tcPr>
                <w:p w14:paraId="4F5120C9">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本项目不涉及炉窑</w:t>
                  </w:r>
                </w:p>
              </w:tc>
              <w:tc>
                <w:tcPr>
                  <w:tcW w:w="0" w:type="auto"/>
                  <w:vAlign w:val="center"/>
                </w:tcPr>
                <w:p w14:paraId="07427A32">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符合</w:t>
                  </w:r>
                </w:p>
              </w:tc>
            </w:tr>
            <w:tr w14:paraId="42A319D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gridSpan w:val="6"/>
                  <w:vAlign w:val="center"/>
                </w:tcPr>
                <w:p w14:paraId="6EC13A81">
                  <w:pPr>
                    <w:spacing w:line="276" w:lineRule="auto"/>
                    <w:jc w:val="center"/>
                    <w:rPr>
                      <w:rFonts w:ascii="Times New Roman" w:hAnsi="Times New Roman" w:cs="Times New Roman"/>
                      <w:color w:val="auto"/>
                      <w:szCs w:val="21"/>
                      <w:highlight w:val="none"/>
                      <w:lang w:val="zh-CN"/>
                    </w:rPr>
                  </w:pPr>
                  <w:r>
                    <w:rPr>
                      <w:color w:val="auto"/>
                      <w:highlight w:val="none"/>
                    </w:rPr>
                    <w:t>（九）推动货物运输清洁化</w:t>
                  </w:r>
                </w:p>
              </w:tc>
            </w:tr>
            <w:tr w14:paraId="148F318C">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3D52E0C6">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27</w:t>
                  </w:r>
                </w:p>
              </w:tc>
              <w:tc>
                <w:tcPr>
                  <w:tcW w:w="0" w:type="auto"/>
                  <w:vAlign w:val="center"/>
                </w:tcPr>
                <w:p w14:paraId="6609CDEB">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提高重点行业清洁运输比例</w:t>
                  </w:r>
                </w:p>
              </w:tc>
              <w:tc>
                <w:tcPr>
                  <w:tcW w:w="0" w:type="auto"/>
                  <w:vAlign w:val="center"/>
                </w:tcPr>
                <w:p w14:paraId="55D00A38">
                  <w:pPr>
                    <w:pStyle w:val="71"/>
                    <w:spacing w:line="276" w:lineRule="auto"/>
                    <w:rPr>
                      <w:color w:val="auto"/>
                      <w:highlight w:val="none"/>
                    </w:rPr>
                  </w:pPr>
                  <w:r>
                    <w:rPr>
                      <w:color w:val="auto"/>
                      <w:highlight w:val="none"/>
                    </w:rPr>
                    <w:t>将清洁运输作为煤矿、钢铁、火电、水泥、有色、焦化、煤化工等行业新改扩建项目审核和监管重点。</w:t>
                  </w:r>
                </w:p>
              </w:tc>
              <w:tc>
                <w:tcPr>
                  <w:tcW w:w="0" w:type="auto"/>
                  <w:vAlign w:val="center"/>
                </w:tcPr>
                <w:p w14:paraId="26E4A4E7">
                  <w:pPr>
                    <w:pStyle w:val="71"/>
                    <w:spacing w:line="276" w:lineRule="auto"/>
                    <w:rPr>
                      <w:color w:val="auto"/>
                      <w:highlight w:val="none"/>
                    </w:rPr>
                  </w:pPr>
                  <w:r>
                    <w:rPr>
                      <w:color w:val="auto"/>
                      <w:highlight w:val="none"/>
                    </w:rPr>
                    <w:t>煤矿、钢铁、火电、水泥、有色、焦化、煤化工等行业新改扩建项目环评审核中重点关注清洁运输。</w:t>
                  </w:r>
                </w:p>
              </w:tc>
              <w:tc>
                <w:tcPr>
                  <w:tcW w:w="0" w:type="auto"/>
                  <w:vAlign w:val="center"/>
                </w:tcPr>
                <w:p w14:paraId="149E9DB9">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本项目主要进行</w:t>
                  </w:r>
                  <w:r>
                    <w:rPr>
                      <w:rFonts w:ascii="Times New Roman" w:hAnsi="Times New Roman" w:cs="Times New Roman"/>
                      <w:color w:val="auto"/>
                      <w:kern w:val="0"/>
                      <w:szCs w:val="21"/>
                      <w:highlight w:val="none"/>
                    </w:rPr>
                    <w:t>汽车零部件及配件制造</w:t>
                  </w:r>
                  <w:r>
                    <w:rPr>
                      <w:rFonts w:ascii="Times New Roman" w:cs="Times New Roman"/>
                      <w:color w:val="auto"/>
                      <w:highlight w:val="none"/>
                    </w:rPr>
                    <w:t>，不属于前述重点行业。本项目物料运输采用符合国六要求的车辆</w:t>
                  </w:r>
                </w:p>
              </w:tc>
              <w:tc>
                <w:tcPr>
                  <w:tcW w:w="0" w:type="auto"/>
                  <w:vAlign w:val="center"/>
                </w:tcPr>
                <w:p w14:paraId="3195F34C">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符合</w:t>
                  </w:r>
                </w:p>
              </w:tc>
            </w:tr>
            <w:tr w14:paraId="442262A5">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gridSpan w:val="6"/>
                  <w:vAlign w:val="center"/>
                </w:tcPr>
                <w:p w14:paraId="25A8B1E2">
                  <w:pPr>
                    <w:spacing w:line="276" w:lineRule="auto"/>
                    <w:jc w:val="center"/>
                    <w:rPr>
                      <w:rFonts w:ascii="Times New Roman" w:hAnsi="Times New Roman" w:cs="Times New Roman"/>
                      <w:color w:val="auto"/>
                      <w:szCs w:val="21"/>
                      <w:highlight w:val="none"/>
                      <w:lang w:val="zh-CN"/>
                    </w:rPr>
                  </w:pPr>
                  <w:r>
                    <w:rPr>
                      <w:rFonts w:ascii="Times New Roman" w:cs="Times New Roman"/>
                      <w:color w:val="auto"/>
                      <w:highlight w:val="none"/>
                    </w:rPr>
                    <w:t>（十七）加快低（无）</w:t>
                  </w:r>
                  <w:r>
                    <w:rPr>
                      <w:rFonts w:ascii="Times New Roman" w:hAnsi="Times New Roman" w:cs="Times New Roman"/>
                      <w:color w:val="auto"/>
                      <w:highlight w:val="none"/>
                    </w:rPr>
                    <w:t>VOCs</w:t>
                  </w:r>
                  <w:r>
                    <w:rPr>
                      <w:rFonts w:ascii="Times New Roman" w:cs="Times New Roman"/>
                      <w:color w:val="auto"/>
                      <w:highlight w:val="none"/>
                    </w:rPr>
                    <w:t>原辅材料替代</w:t>
                  </w:r>
                </w:p>
              </w:tc>
            </w:tr>
            <w:tr w14:paraId="1AACE6D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7C882DAE">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52</w:t>
                  </w:r>
                </w:p>
              </w:tc>
              <w:tc>
                <w:tcPr>
                  <w:tcW w:w="0" w:type="auto"/>
                  <w:vAlign w:val="center"/>
                </w:tcPr>
                <w:p w14:paraId="61DE8600">
                  <w:pPr>
                    <w:pStyle w:val="71"/>
                    <w:spacing w:line="276" w:lineRule="auto"/>
                    <w:rPr>
                      <w:color w:val="auto"/>
                      <w:highlight w:val="none"/>
                    </w:rPr>
                  </w:pPr>
                  <w:r>
                    <w:rPr>
                      <w:color w:val="auto"/>
                      <w:highlight w:val="none"/>
                    </w:rPr>
                    <w:t>严格控制生产和使用高VOCs含量建设项目。</w:t>
                  </w:r>
                </w:p>
              </w:tc>
              <w:tc>
                <w:tcPr>
                  <w:tcW w:w="0" w:type="auto"/>
                  <w:vAlign w:val="center"/>
                </w:tcPr>
                <w:p w14:paraId="317FCA8F">
                  <w:pPr>
                    <w:pStyle w:val="71"/>
                    <w:spacing w:line="276" w:lineRule="auto"/>
                    <w:rPr>
                      <w:color w:val="auto"/>
                      <w:highlight w:val="none"/>
                    </w:rPr>
                  </w:pPr>
                  <w:r>
                    <w:rPr>
                      <w:color w:val="auto"/>
                      <w:highlight w:val="none"/>
                    </w:rPr>
                    <w:t>实施安徽省低挥发性有机物原辅材料源头替代工作方案，严格控制生产和使用高VOCs含量涂料、油墨、胶粘剂、清洗剂等建设项目。</w:t>
                  </w:r>
                </w:p>
              </w:tc>
              <w:tc>
                <w:tcPr>
                  <w:tcW w:w="0" w:type="auto"/>
                  <w:vAlign w:val="center"/>
                </w:tcPr>
                <w:p w14:paraId="02B4060C">
                  <w:pPr>
                    <w:pStyle w:val="71"/>
                    <w:spacing w:line="276" w:lineRule="auto"/>
                    <w:rPr>
                      <w:color w:val="auto"/>
                      <w:highlight w:val="none"/>
                    </w:rPr>
                  </w:pPr>
                  <w:r>
                    <w:rPr>
                      <w:color w:val="auto"/>
                      <w:highlight w:val="none"/>
                    </w:rPr>
                    <w:t>严格控制审批生产和使用高VOCs含量涂料、油墨、胶粘剂、清洗剂等建设项目环评。</w:t>
                  </w:r>
                </w:p>
              </w:tc>
              <w:tc>
                <w:tcPr>
                  <w:tcW w:w="0" w:type="auto"/>
                  <w:vMerge w:val="restart"/>
                  <w:vAlign w:val="center"/>
                </w:tcPr>
                <w:p w14:paraId="4DAED836">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kern w:val="0"/>
                      <w:szCs w:val="21"/>
                      <w:highlight w:val="none"/>
                      <w:shd w:val="clear" w:color="auto" w:fill="FFFFFF"/>
                    </w:rPr>
                    <w:t>本项目</w:t>
                  </w:r>
                  <w:r>
                    <w:rPr>
                      <w:rFonts w:hint="eastAsia" w:ascii="Times New Roman" w:hAnsi="Times New Roman" w:cs="Times New Roman"/>
                      <w:bCs/>
                      <w:color w:val="auto"/>
                      <w:kern w:val="0"/>
                      <w:szCs w:val="21"/>
                      <w:highlight w:val="none"/>
                      <w:shd w:val="clear" w:color="auto" w:fill="FFFFFF"/>
                    </w:rPr>
                    <w:t>水性底漆和水性面漆即用状态下</w:t>
                  </w:r>
                  <w:r>
                    <w:rPr>
                      <w:rFonts w:ascii="Times New Roman" w:hAnsi="Times New Roman" w:cs="Times New Roman"/>
                      <w:bCs/>
                      <w:color w:val="auto"/>
                      <w:kern w:val="0"/>
                      <w:szCs w:val="21"/>
                      <w:highlight w:val="none"/>
                      <w:shd w:val="clear" w:color="auto" w:fill="FFFFFF"/>
                    </w:rPr>
                    <w:t>VOCs</w:t>
                  </w:r>
                  <w:r>
                    <w:rPr>
                      <w:rFonts w:hint="eastAsia" w:ascii="Times New Roman" w:hAnsi="Times New Roman" w:cs="Times New Roman"/>
                      <w:bCs/>
                      <w:color w:val="auto"/>
                      <w:kern w:val="0"/>
                      <w:szCs w:val="21"/>
                      <w:highlight w:val="none"/>
                      <w:shd w:val="clear" w:color="auto" w:fill="FFFFFF"/>
                    </w:rPr>
                    <w:t>含量满足《低挥发性有机化合物含量涂料产品技术要求》（GB/T38597-2020）表1水性涂料中VOC含量的要求“汽车原厂涂料（乘用车）”底漆限量值</w:t>
                  </w:r>
                  <w:r>
                    <w:rPr>
                      <w:rFonts w:hint="eastAsia" w:ascii="Times New Roman" w:hAnsi="Times New Roman" w:cs="Times New Roman"/>
                      <w:b/>
                      <w:bCs/>
                      <w:color w:val="auto"/>
                      <w:kern w:val="0"/>
                      <w:szCs w:val="21"/>
                      <w:highlight w:val="none"/>
                      <w:shd w:val="clear" w:color="auto" w:fill="FFFFFF"/>
                    </w:rPr>
                    <w:t>不高于</w:t>
                  </w:r>
                  <w:r>
                    <w:rPr>
                      <w:rFonts w:hint="eastAsia" w:ascii="Times New Roman" w:hAnsi="Times New Roman" w:cs="Times New Roman"/>
                      <w:b/>
                      <w:bCs/>
                      <w:color w:val="auto"/>
                      <w:kern w:val="0"/>
                      <w:szCs w:val="21"/>
                      <w:highlight w:val="none"/>
                      <w:shd w:val="clear" w:color="auto" w:fill="FFFFFF"/>
                      <w:lang w:val="en-US" w:eastAsia="zh-CN"/>
                    </w:rPr>
                    <w:t>420</w:t>
                  </w:r>
                  <w:r>
                    <w:rPr>
                      <w:rFonts w:hint="eastAsia" w:ascii="Times New Roman" w:hAnsi="Times New Roman" w:cs="Times New Roman"/>
                      <w:b/>
                      <w:bCs/>
                      <w:color w:val="auto"/>
                      <w:kern w:val="0"/>
                      <w:szCs w:val="21"/>
                      <w:highlight w:val="none"/>
                      <w:shd w:val="clear" w:color="auto" w:fill="FFFFFF"/>
                    </w:rPr>
                    <w:t>g/L、面漆限量值不高于</w:t>
                  </w:r>
                  <w:r>
                    <w:rPr>
                      <w:rFonts w:hint="eastAsia" w:ascii="Times New Roman" w:hAnsi="Times New Roman" w:cs="Times New Roman"/>
                      <w:b/>
                      <w:bCs/>
                      <w:color w:val="auto"/>
                      <w:kern w:val="0"/>
                      <w:szCs w:val="21"/>
                      <w:highlight w:val="none"/>
                      <w:shd w:val="clear" w:color="auto" w:fill="FFFFFF"/>
                      <w:lang w:val="en-US" w:eastAsia="zh-CN"/>
                    </w:rPr>
                    <w:t>35</w:t>
                  </w:r>
                  <w:r>
                    <w:rPr>
                      <w:rFonts w:hint="eastAsia" w:ascii="Times New Roman" w:hAnsi="Times New Roman" w:cs="Times New Roman"/>
                      <w:b/>
                      <w:bCs/>
                      <w:color w:val="auto"/>
                      <w:kern w:val="0"/>
                      <w:szCs w:val="21"/>
                      <w:highlight w:val="none"/>
                      <w:shd w:val="clear" w:color="auto" w:fill="FFFFFF"/>
                    </w:rPr>
                    <w:t>0g/L</w:t>
                  </w:r>
                  <w:r>
                    <w:rPr>
                      <w:rFonts w:hint="eastAsia" w:ascii="Times New Roman" w:hAnsi="Times New Roman" w:cs="Times New Roman"/>
                      <w:bCs/>
                      <w:color w:val="auto"/>
                      <w:kern w:val="0"/>
                      <w:szCs w:val="21"/>
                      <w:highlight w:val="none"/>
                      <w:shd w:val="clear" w:color="auto" w:fill="FFFFFF"/>
                    </w:rPr>
                    <w:t>的要求</w:t>
                  </w:r>
                  <w:r>
                    <w:rPr>
                      <w:rFonts w:ascii="Times New Roman" w:hAnsi="Times New Roman" w:cs="Times New Roman"/>
                      <w:color w:val="auto"/>
                      <w:kern w:val="0"/>
                      <w:szCs w:val="21"/>
                      <w:highlight w:val="none"/>
                      <w:shd w:val="clear" w:color="auto" w:fill="FFFFFF"/>
                    </w:rPr>
                    <w:t>，不属于</w:t>
                  </w:r>
                  <w:r>
                    <w:rPr>
                      <w:rFonts w:ascii="Times New Roman" w:cs="Times New Roman"/>
                      <w:color w:val="auto"/>
                      <w:highlight w:val="none"/>
                    </w:rPr>
                    <w:t>高</w:t>
                  </w:r>
                  <w:r>
                    <w:rPr>
                      <w:rFonts w:ascii="Times New Roman" w:hAnsi="Times New Roman" w:cs="Times New Roman"/>
                      <w:color w:val="auto"/>
                      <w:highlight w:val="none"/>
                    </w:rPr>
                    <w:t>VOCs</w:t>
                  </w:r>
                  <w:r>
                    <w:rPr>
                      <w:rFonts w:ascii="Times New Roman" w:cs="Times New Roman"/>
                      <w:color w:val="auto"/>
                      <w:highlight w:val="none"/>
                    </w:rPr>
                    <w:t>含量涂料</w:t>
                  </w:r>
                </w:p>
              </w:tc>
              <w:tc>
                <w:tcPr>
                  <w:tcW w:w="0" w:type="auto"/>
                  <w:vMerge w:val="restart"/>
                  <w:vAlign w:val="center"/>
                </w:tcPr>
                <w:p w14:paraId="397AB98D">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符合</w:t>
                  </w:r>
                </w:p>
              </w:tc>
            </w:tr>
            <w:tr w14:paraId="0C7D50F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232FB441">
                  <w:pPr>
                    <w:spacing w:line="276" w:lineRule="auto"/>
                    <w:jc w:val="center"/>
                    <w:rPr>
                      <w:rFonts w:ascii="Times New Roman" w:hAnsi="Times New Roman" w:cs="Times New Roman"/>
                      <w:color w:val="auto"/>
                      <w:szCs w:val="21"/>
                      <w:highlight w:val="none"/>
                      <w:lang w:val="zh-CN"/>
                    </w:rPr>
                  </w:pPr>
                  <w:r>
                    <w:rPr>
                      <w:rFonts w:ascii="Times New Roman" w:hAnsi="Times New Roman" w:cs="Times New Roman"/>
                      <w:color w:val="auto"/>
                      <w:szCs w:val="21"/>
                      <w:highlight w:val="none"/>
                      <w:lang w:val="zh-CN"/>
                    </w:rPr>
                    <w:t>53</w:t>
                  </w:r>
                </w:p>
              </w:tc>
              <w:tc>
                <w:tcPr>
                  <w:tcW w:w="0" w:type="auto"/>
                  <w:vAlign w:val="center"/>
                </w:tcPr>
                <w:p w14:paraId="4163836C">
                  <w:pPr>
                    <w:pStyle w:val="71"/>
                    <w:spacing w:line="276" w:lineRule="auto"/>
                    <w:rPr>
                      <w:color w:val="auto"/>
                      <w:highlight w:val="none"/>
                    </w:rPr>
                  </w:pPr>
                  <w:r>
                    <w:rPr>
                      <w:color w:val="auto"/>
                      <w:highlight w:val="none"/>
                    </w:rPr>
                    <w:t>推动低（无）VOCs原辅材料源头替代。</w:t>
                  </w:r>
                </w:p>
              </w:tc>
              <w:tc>
                <w:tcPr>
                  <w:tcW w:w="0" w:type="auto"/>
                  <w:vAlign w:val="center"/>
                </w:tcPr>
                <w:p w14:paraId="0CF53EB5">
                  <w:pPr>
                    <w:pStyle w:val="71"/>
                    <w:spacing w:line="276" w:lineRule="auto"/>
                    <w:rPr>
                      <w:color w:val="auto"/>
                      <w:highlight w:val="none"/>
                    </w:rPr>
                  </w:pPr>
                  <w:r>
                    <w:rPr>
                      <w:color w:val="auto"/>
                      <w:highlight w:val="none"/>
                    </w:rPr>
                    <w:t>加大汽车整车制造、汽车修理、木质家具制造、汽车零部件、工程机械、钢结构、船舶制造等工业涂装行业、包装印刷行业及电子行业低（无）VOCs含量原辅材料的替代力度。</w:t>
                  </w:r>
                </w:p>
              </w:tc>
              <w:tc>
                <w:tcPr>
                  <w:tcW w:w="0" w:type="auto"/>
                  <w:vAlign w:val="center"/>
                </w:tcPr>
                <w:p w14:paraId="2D84C3E5">
                  <w:pPr>
                    <w:pStyle w:val="71"/>
                    <w:spacing w:line="276" w:lineRule="auto"/>
                    <w:rPr>
                      <w:color w:val="auto"/>
                      <w:highlight w:val="none"/>
                    </w:rPr>
                  </w:pPr>
                  <w:r>
                    <w:rPr>
                      <w:color w:val="auto"/>
                      <w:highlight w:val="none"/>
                    </w:rPr>
                    <w:t>汽车整车制造、汽车修理、木质家具制造、汽车零部件、工程机械、钢结构、船舶制造等工业涂装行业、包装印刷行业及电子行业环评审批中要求加大低（无）VOCs含量原辅材料的替代力度。</w:t>
                  </w:r>
                </w:p>
              </w:tc>
              <w:tc>
                <w:tcPr>
                  <w:tcW w:w="0" w:type="auto"/>
                  <w:vMerge w:val="continue"/>
                  <w:vAlign w:val="center"/>
                </w:tcPr>
                <w:p w14:paraId="490FB71A">
                  <w:pPr>
                    <w:spacing w:line="276" w:lineRule="auto"/>
                    <w:jc w:val="center"/>
                    <w:rPr>
                      <w:rFonts w:ascii="Times New Roman" w:hAnsi="Times New Roman" w:cs="Times New Roman"/>
                      <w:color w:val="auto"/>
                      <w:szCs w:val="21"/>
                      <w:highlight w:val="none"/>
                      <w:lang w:val="zh-CN"/>
                    </w:rPr>
                  </w:pPr>
                </w:p>
              </w:tc>
              <w:tc>
                <w:tcPr>
                  <w:tcW w:w="0" w:type="auto"/>
                  <w:vMerge w:val="continue"/>
                  <w:vAlign w:val="center"/>
                </w:tcPr>
                <w:p w14:paraId="0385B1D0">
                  <w:pPr>
                    <w:spacing w:line="276" w:lineRule="auto"/>
                    <w:jc w:val="center"/>
                    <w:rPr>
                      <w:rFonts w:ascii="Times New Roman" w:hAnsi="Times New Roman" w:cs="Times New Roman"/>
                      <w:color w:val="auto"/>
                      <w:szCs w:val="21"/>
                      <w:highlight w:val="none"/>
                      <w:lang w:val="zh-CN"/>
                    </w:rPr>
                  </w:pPr>
                </w:p>
              </w:tc>
            </w:tr>
          </w:tbl>
          <w:p w14:paraId="053484E5">
            <w:pPr>
              <w:spacing w:line="360" w:lineRule="auto"/>
              <w:ind w:firstLine="480" w:firstLineChars="200"/>
              <w:rPr>
                <w:rFonts w:ascii="Times New Roman" w:hAnsi="Times New Roman"/>
                <w:b/>
                <w:color w:val="auto"/>
                <w:kern w:val="0"/>
                <w:sz w:val="24"/>
                <w:szCs w:val="24"/>
                <w:highlight w:val="none"/>
              </w:rPr>
            </w:pPr>
            <w:r>
              <w:rPr>
                <w:rFonts w:hint="eastAsia" w:ascii="Times New Roman" w:hAnsi="Times New Roman" w:cs="Times New Roman"/>
                <w:color w:val="auto"/>
                <w:kern w:val="0"/>
                <w:sz w:val="24"/>
                <w:szCs w:val="24"/>
                <w:highlight w:val="none"/>
              </w:rPr>
              <w:t>12、</w:t>
            </w:r>
            <w:r>
              <w:rPr>
                <w:rFonts w:hint="eastAsia" w:ascii="Times New Roman" w:hAnsi="Times New Roman"/>
                <w:b/>
                <w:color w:val="auto"/>
                <w:kern w:val="0"/>
                <w:sz w:val="24"/>
                <w:szCs w:val="24"/>
                <w:highlight w:val="none"/>
              </w:rPr>
              <w:t>分区管控</w:t>
            </w:r>
            <w:r>
              <w:rPr>
                <w:rFonts w:ascii="Times New Roman" w:hAnsi="Times New Roman"/>
                <w:b/>
                <w:color w:val="auto"/>
                <w:kern w:val="0"/>
                <w:sz w:val="24"/>
                <w:szCs w:val="24"/>
                <w:highlight w:val="none"/>
              </w:rPr>
              <w:t>要求相符性分析</w:t>
            </w:r>
          </w:p>
          <w:p w14:paraId="62DE9436">
            <w:pPr>
              <w:spacing w:line="360" w:lineRule="auto"/>
              <w:ind w:firstLine="480" w:firstLineChars="2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根据安徽省“三线一单”公众服务平台查询，本项目所在区域环境管控单元编码为：ZH34040420030，与“三线一单”成果数据分析，与1个环境管控单元存在交叠，其中优先保护类0个，重点管控类1个，一般管控类0个。根据淮南市“三线一单”图集，对照安徽“三线一单”管控要求查询报告内容要求，本次环评筛选了与本项目有关的管控要求单元生态环境准入</w:t>
            </w:r>
            <w:r>
              <w:rPr>
                <w:rFonts w:ascii="Times New Roman" w:hAnsi="Times New Roman"/>
                <w:color w:val="auto"/>
                <w:kern w:val="0"/>
                <w:sz w:val="24"/>
                <w:szCs w:val="24"/>
                <w:highlight w:val="none"/>
              </w:rPr>
              <w:t>清单进行分析，详见</w:t>
            </w:r>
            <w:r>
              <w:rPr>
                <w:rFonts w:hint="eastAsia" w:ascii="Times New Roman" w:hAnsi="Times New Roman"/>
                <w:color w:val="auto"/>
                <w:kern w:val="0"/>
                <w:sz w:val="24"/>
                <w:szCs w:val="24"/>
                <w:highlight w:val="none"/>
              </w:rPr>
              <w:t>下表。</w:t>
            </w:r>
          </w:p>
          <w:p w14:paraId="72C1F205">
            <w:pPr>
              <w:spacing w:line="360" w:lineRule="auto"/>
              <w:jc w:val="center"/>
              <w:rPr>
                <w:rFonts w:ascii="Times New Roman" w:hAnsi="Times New Roman" w:eastAsia="黑体"/>
                <w:color w:val="auto"/>
                <w:kern w:val="0"/>
                <w:sz w:val="24"/>
                <w:szCs w:val="24"/>
                <w:highlight w:val="none"/>
              </w:rPr>
            </w:pPr>
            <w:r>
              <w:rPr>
                <w:rFonts w:ascii="Times New Roman" w:hAnsi="Times New Roman" w:eastAsia="黑体"/>
                <w:color w:val="auto"/>
                <w:kern w:val="0"/>
                <w:sz w:val="24"/>
                <w:szCs w:val="24"/>
                <w:highlight w:val="none"/>
              </w:rPr>
              <w:t>表1-</w:t>
            </w:r>
            <w:r>
              <w:rPr>
                <w:rFonts w:hint="eastAsia" w:ascii="Times New Roman" w:hAnsi="Times New Roman" w:eastAsia="黑体"/>
                <w:color w:val="auto"/>
                <w:kern w:val="0"/>
                <w:sz w:val="24"/>
                <w:szCs w:val="24"/>
                <w:highlight w:val="none"/>
              </w:rPr>
              <w:t xml:space="preserve">13  </w:t>
            </w:r>
            <w:r>
              <w:rPr>
                <w:rFonts w:ascii="Times New Roman" w:hAnsi="Times New Roman" w:eastAsia="黑体"/>
                <w:color w:val="auto"/>
                <w:kern w:val="0"/>
                <w:sz w:val="24"/>
                <w:szCs w:val="24"/>
                <w:highlight w:val="none"/>
              </w:rPr>
              <w:t>项目</w:t>
            </w:r>
            <w:r>
              <w:rPr>
                <w:rFonts w:hint="eastAsia" w:ascii="Times New Roman" w:hAnsi="Times New Roman" w:eastAsia="黑体"/>
                <w:color w:val="auto"/>
                <w:kern w:val="0"/>
                <w:sz w:val="24"/>
                <w:szCs w:val="24"/>
                <w:highlight w:val="none"/>
              </w:rPr>
              <w:t>与生态管控单元的</w:t>
            </w:r>
            <w:r>
              <w:rPr>
                <w:rFonts w:ascii="Times New Roman" w:hAnsi="Times New Roman" w:eastAsia="黑体"/>
                <w:color w:val="auto"/>
                <w:kern w:val="0"/>
                <w:sz w:val="24"/>
                <w:szCs w:val="24"/>
                <w:highlight w:val="none"/>
              </w:rPr>
              <w:t>符合性分析</w:t>
            </w:r>
          </w:p>
          <w:tbl>
            <w:tblPr>
              <w:tblStyle w:val="18"/>
              <w:tblW w:w="0" w:type="auto"/>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447"/>
              <w:gridCol w:w="3900"/>
              <w:gridCol w:w="2370"/>
              <w:gridCol w:w="469"/>
            </w:tblGrid>
            <w:tr w14:paraId="5E635E11">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24014B7E">
                  <w:pPr>
                    <w:spacing w:line="276" w:lineRule="auto"/>
                    <w:jc w:val="center"/>
                    <w:rPr>
                      <w:rFonts w:ascii="Times New Roman" w:hAnsi="Times New Roman"/>
                      <w:b/>
                      <w:color w:val="auto"/>
                      <w:szCs w:val="21"/>
                      <w:highlight w:val="none"/>
                    </w:rPr>
                  </w:pPr>
                  <w:r>
                    <w:rPr>
                      <w:rFonts w:hint="eastAsia" w:ascii="Times New Roman" w:hAnsi="Times New Roman"/>
                      <w:b/>
                      <w:color w:val="auto"/>
                      <w:szCs w:val="21"/>
                      <w:highlight w:val="none"/>
                    </w:rPr>
                    <w:t>序号</w:t>
                  </w:r>
                </w:p>
              </w:tc>
              <w:tc>
                <w:tcPr>
                  <w:tcW w:w="0" w:type="auto"/>
                  <w:vAlign w:val="center"/>
                </w:tcPr>
                <w:p w14:paraId="1495FC4B">
                  <w:pPr>
                    <w:spacing w:line="276" w:lineRule="auto"/>
                    <w:jc w:val="center"/>
                    <w:rPr>
                      <w:rFonts w:ascii="Times New Roman" w:hAnsi="Times New Roman"/>
                      <w:b/>
                      <w:color w:val="auto"/>
                      <w:szCs w:val="21"/>
                      <w:highlight w:val="none"/>
                    </w:rPr>
                  </w:pPr>
                  <w:r>
                    <w:rPr>
                      <w:rFonts w:hint="eastAsia" w:ascii="Times New Roman" w:hAnsi="Times New Roman"/>
                      <w:b/>
                      <w:color w:val="auto"/>
                      <w:szCs w:val="21"/>
                      <w:highlight w:val="none"/>
                    </w:rPr>
                    <w:t>安徽“三线一单”管控要求</w:t>
                  </w:r>
                </w:p>
              </w:tc>
              <w:tc>
                <w:tcPr>
                  <w:tcW w:w="0" w:type="auto"/>
                  <w:vAlign w:val="center"/>
                </w:tcPr>
                <w:p w14:paraId="769B1978">
                  <w:pPr>
                    <w:spacing w:line="276" w:lineRule="auto"/>
                    <w:jc w:val="center"/>
                    <w:rPr>
                      <w:rFonts w:ascii="Times New Roman" w:hAnsi="Times New Roman"/>
                      <w:b/>
                      <w:color w:val="auto"/>
                      <w:szCs w:val="21"/>
                      <w:highlight w:val="none"/>
                    </w:rPr>
                  </w:pPr>
                  <w:r>
                    <w:rPr>
                      <w:rFonts w:hint="eastAsia" w:ascii="Times New Roman" w:hAnsi="Times New Roman"/>
                      <w:b/>
                      <w:color w:val="auto"/>
                      <w:szCs w:val="21"/>
                      <w:highlight w:val="none"/>
                    </w:rPr>
                    <w:t>项目符合性分析</w:t>
                  </w:r>
                </w:p>
              </w:tc>
              <w:tc>
                <w:tcPr>
                  <w:tcW w:w="0" w:type="auto"/>
                  <w:vAlign w:val="center"/>
                </w:tcPr>
                <w:p w14:paraId="3164576A">
                  <w:pPr>
                    <w:spacing w:line="276" w:lineRule="auto"/>
                    <w:jc w:val="center"/>
                    <w:rPr>
                      <w:rFonts w:ascii="Times New Roman" w:hAnsi="Times New Roman"/>
                      <w:b/>
                      <w:color w:val="auto"/>
                      <w:szCs w:val="21"/>
                      <w:highlight w:val="none"/>
                    </w:rPr>
                  </w:pPr>
                  <w:r>
                    <w:rPr>
                      <w:rFonts w:hint="eastAsia" w:ascii="Times New Roman" w:hAnsi="Times New Roman"/>
                      <w:b/>
                      <w:color w:val="auto"/>
                      <w:szCs w:val="21"/>
                      <w:highlight w:val="none"/>
                    </w:rPr>
                    <w:t>相符性</w:t>
                  </w:r>
                </w:p>
              </w:tc>
            </w:tr>
            <w:tr w14:paraId="168C246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646F9953">
                  <w:pPr>
                    <w:spacing w:line="276" w:lineRule="auto"/>
                    <w:jc w:val="center"/>
                    <w:rPr>
                      <w:rFonts w:ascii="Times New Roman" w:hAnsi="Times New Roman"/>
                      <w:color w:val="auto"/>
                      <w:szCs w:val="21"/>
                      <w:highlight w:val="none"/>
                      <w:lang w:val="zh-CN"/>
                    </w:rPr>
                  </w:pPr>
                  <w:r>
                    <w:rPr>
                      <w:rFonts w:hint="eastAsia" w:ascii="Times New Roman" w:hAnsi="Times New Roman"/>
                      <w:color w:val="auto"/>
                      <w:szCs w:val="21"/>
                      <w:highlight w:val="none"/>
                      <w:lang w:val="zh-CN"/>
                    </w:rPr>
                    <w:t>1</w:t>
                  </w:r>
                </w:p>
              </w:tc>
              <w:tc>
                <w:tcPr>
                  <w:tcW w:w="0" w:type="auto"/>
                  <w:vAlign w:val="center"/>
                </w:tcPr>
                <w:p w14:paraId="114EFCA2">
                  <w:pPr>
                    <w:spacing w:line="276" w:lineRule="auto"/>
                    <w:jc w:val="center"/>
                    <w:rPr>
                      <w:rFonts w:ascii="Times New Roman" w:hAnsi="Times New Roman"/>
                      <w:color w:val="auto"/>
                      <w:szCs w:val="21"/>
                      <w:highlight w:val="none"/>
                      <w:lang w:val="zh-CN"/>
                    </w:rPr>
                  </w:pPr>
                  <w:r>
                    <w:rPr>
                      <w:rFonts w:hint="eastAsia"/>
                      <w:color w:val="auto"/>
                      <w:highlight w:val="none"/>
                    </w:rPr>
                    <w:t>严禁新增钢铁、焦化、电解铝、铸造、水泥和平板玻璃等产能；严格执行钢铁、水泥、平板玻璃等行业产能置换实施办法</w:t>
                  </w:r>
                </w:p>
              </w:tc>
              <w:tc>
                <w:tcPr>
                  <w:tcW w:w="0" w:type="auto"/>
                  <w:vMerge w:val="restart"/>
                  <w:vAlign w:val="center"/>
                </w:tcPr>
                <w:p w14:paraId="73C3C43F">
                  <w:pPr>
                    <w:spacing w:line="276" w:lineRule="auto"/>
                    <w:jc w:val="center"/>
                    <w:rPr>
                      <w:rFonts w:ascii="Times New Roman" w:hAnsi="Times New Roman"/>
                      <w:color w:val="auto"/>
                      <w:szCs w:val="21"/>
                      <w:highlight w:val="none"/>
                      <w:lang w:val="zh-CN"/>
                    </w:rPr>
                  </w:pPr>
                  <w:r>
                    <w:rPr>
                      <w:rFonts w:hint="eastAsia"/>
                      <w:color w:val="auto"/>
                      <w:highlight w:val="none"/>
                    </w:rPr>
                    <w:t>对照《安徽省“两高”项目管理目录（试行）》，本项目不属于两高项目。同时根据对照园区规划及规划环评文件，本项目满足规划及规划环评要求</w:t>
                  </w:r>
                </w:p>
              </w:tc>
              <w:tc>
                <w:tcPr>
                  <w:tcW w:w="0" w:type="auto"/>
                  <w:vAlign w:val="center"/>
                </w:tcPr>
                <w:p w14:paraId="18C534D4">
                  <w:pPr>
                    <w:spacing w:line="276" w:lineRule="auto"/>
                    <w:jc w:val="center"/>
                    <w:rPr>
                      <w:rFonts w:ascii="Times New Roman" w:hAnsi="Times New Roman"/>
                      <w:color w:val="auto"/>
                      <w:szCs w:val="21"/>
                      <w:highlight w:val="none"/>
                      <w:lang w:val="zh-CN"/>
                    </w:rPr>
                  </w:pPr>
                  <w:r>
                    <w:rPr>
                      <w:rFonts w:ascii="Times New Roman" w:hAnsi="Times New Roman"/>
                      <w:color w:val="auto"/>
                      <w:szCs w:val="21"/>
                      <w:highlight w:val="none"/>
                      <w:lang w:val="zh-CN"/>
                    </w:rPr>
                    <w:t>符合</w:t>
                  </w:r>
                </w:p>
              </w:tc>
            </w:tr>
            <w:tr w14:paraId="7A3A551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309056BE">
                  <w:pPr>
                    <w:spacing w:line="276" w:lineRule="auto"/>
                    <w:jc w:val="center"/>
                    <w:rPr>
                      <w:rFonts w:ascii="Times New Roman" w:hAnsi="Times New Roman"/>
                      <w:color w:val="auto"/>
                      <w:szCs w:val="21"/>
                      <w:highlight w:val="none"/>
                      <w:lang w:val="zh-CN"/>
                    </w:rPr>
                  </w:pPr>
                  <w:r>
                    <w:rPr>
                      <w:rFonts w:hint="eastAsia" w:ascii="Times New Roman" w:hAnsi="Times New Roman"/>
                      <w:color w:val="auto"/>
                      <w:szCs w:val="21"/>
                      <w:highlight w:val="none"/>
                      <w:lang w:val="zh-CN"/>
                    </w:rPr>
                    <w:t>2</w:t>
                  </w:r>
                </w:p>
              </w:tc>
              <w:tc>
                <w:tcPr>
                  <w:tcW w:w="0" w:type="auto"/>
                  <w:vAlign w:val="center"/>
                </w:tcPr>
                <w:p w14:paraId="1B751E68">
                  <w:pPr>
                    <w:spacing w:line="276" w:lineRule="auto"/>
                    <w:jc w:val="center"/>
                    <w:rPr>
                      <w:rFonts w:ascii="Times New Roman" w:hAnsi="Times New Roman"/>
                      <w:color w:val="auto"/>
                      <w:szCs w:val="21"/>
                      <w:highlight w:val="none"/>
                      <w:lang w:val="zh-CN"/>
                    </w:rPr>
                  </w:pPr>
                  <w:r>
                    <w:rPr>
                      <w:rFonts w:hint="eastAsia"/>
                      <w:color w:val="auto"/>
                      <w:highlight w:val="none"/>
                    </w:rPr>
                    <w:t>严格控制新增“两高”项目审批，认真分析评估拟建项目必要性、可行性和对产业高质量发展、能耗双控、碳排放和环境质量的影响，严格审查项目是否符合产业政策、产业规划、“三线一单”、规划环评要求，是否依法依规落实产能置换、能耗置换、煤炭消费减量替代、污染物排放区域削减等要求。对已建成投产的存量“两高”项目，有节能减排潜力的加快改造升级，属于落后产能的加快淘汰</w:t>
                  </w:r>
                </w:p>
              </w:tc>
              <w:tc>
                <w:tcPr>
                  <w:tcW w:w="0" w:type="auto"/>
                  <w:vMerge w:val="continue"/>
                  <w:vAlign w:val="center"/>
                </w:tcPr>
                <w:p w14:paraId="095A026D">
                  <w:pPr>
                    <w:spacing w:line="276" w:lineRule="auto"/>
                    <w:jc w:val="center"/>
                    <w:rPr>
                      <w:rFonts w:ascii="Times New Roman" w:hAnsi="Times New Roman"/>
                      <w:color w:val="auto"/>
                      <w:szCs w:val="21"/>
                      <w:highlight w:val="none"/>
                      <w:lang w:val="zh-CN"/>
                    </w:rPr>
                  </w:pPr>
                </w:p>
              </w:tc>
              <w:tc>
                <w:tcPr>
                  <w:tcW w:w="0" w:type="auto"/>
                  <w:vAlign w:val="center"/>
                </w:tcPr>
                <w:p w14:paraId="45F4ED87">
                  <w:pPr>
                    <w:spacing w:line="276" w:lineRule="auto"/>
                    <w:jc w:val="center"/>
                    <w:rPr>
                      <w:rFonts w:ascii="Times New Roman" w:hAnsi="Times New Roman"/>
                      <w:color w:val="auto"/>
                      <w:kern w:val="0"/>
                      <w:sz w:val="24"/>
                      <w:szCs w:val="24"/>
                      <w:highlight w:val="none"/>
                    </w:rPr>
                  </w:pPr>
                  <w:r>
                    <w:rPr>
                      <w:rFonts w:ascii="Times New Roman" w:hAnsi="Times New Roman"/>
                      <w:color w:val="auto"/>
                      <w:szCs w:val="21"/>
                      <w:highlight w:val="none"/>
                      <w:lang w:val="zh-CN"/>
                    </w:rPr>
                    <w:t>符合</w:t>
                  </w:r>
                </w:p>
              </w:tc>
            </w:tr>
            <w:tr w14:paraId="735486C6">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5DABE3B2">
                  <w:pPr>
                    <w:spacing w:line="276" w:lineRule="auto"/>
                    <w:jc w:val="center"/>
                    <w:rPr>
                      <w:rFonts w:ascii="Times New Roman" w:hAnsi="Times New Roman"/>
                      <w:color w:val="auto"/>
                      <w:szCs w:val="21"/>
                      <w:highlight w:val="none"/>
                      <w:lang w:val="zh-CN"/>
                    </w:rPr>
                  </w:pPr>
                  <w:r>
                    <w:rPr>
                      <w:rFonts w:hint="eastAsia" w:ascii="Times New Roman" w:hAnsi="Times New Roman"/>
                      <w:color w:val="auto"/>
                      <w:szCs w:val="21"/>
                      <w:highlight w:val="none"/>
                      <w:lang w:val="zh-CN"/>
                    </w:rPr>
                    <w:t>3</w:t>
                  </w:r>
                </w:p>
              </w:tc>
              <w:tc>
                <w:tcPr>
                  <w:tcW w:w="0" w:type="auto"/>
                  <w:vAlign w:val="center"/>
                </w:tcPr>
                <w:p w14:paraId="28CE125F">
                  <w:pPr>
                    <w:spacing w:line="276" w:lineRule="auto"/>
                    <w:jc w:val="center"/>
                    <w:rPr>
                      <w:rFonts w:ascii="Times New Roman" w:hAnsi="Times New Roman"/>
                      <w:color w:val="auto"/>
                      <w:szCs w:val="21"/>
                      <w:highlight w:val="none"/>
                      <w:lang w:val="zh-CN"/>
                    </w:rPr>
                  </w:pPr>
                  <w:r>
                    <w:rPr>
                      <w:color w:val="auto"/>
                      <w:highlight w:val="none"/>
                    </w:rPr>
                    <w:t>国家禁止新建不符合国家产业政策的小型造纸、制革、印染、染料、炼焦、炼硫、炼砷、炼汞、炼油、电镀、农药、石棉、水泥、玻璃、钢铁、火电以及其他严重污染水环境的生产项目</w:t>
                  </w:r>
                </w:p>
              </w:tc>
              <w:tc>
                <w:tcPr>
                  <w:tcW w:w="0" w:type="auto"/>
                  <w:vAlign w:val="center"/>
                </w:tcPr>
                <w:p w14:paraId="07223BF1">
                  <w:pPr>
                    <w:spacing w:line="276" w:lineRule="auto"/>
                    <w:jc w:val="center"/>
                    <w:rPr>
                      <w:rFonts w:ascii="Times New Roman" w:hAnsi="Times New Roman"/>
                      <w:color w:val="auto"/>
                      <w:szCs w:val="21"/>
                      <w:highlight w:val="none"/>
                      <w:lang w:val="zh-CN"/>
                    </w:rPr>
                  </w:pPr>
                  <w:r>
                    <w:rPr>
                      <w:rFonts w:hint="eastAsia"/>
                      <w:color w:val="auto"/>
                      <w:highlight w:val="none"/>
                    </w:rPr>
                    <w:t>本项目属于</w:t>
                  </w:r>
                  <w:r>
                    <w:rPr>
                      <w:rFonts w:ascii="Times New Roman" w:hAnsi="Times New Roman" w:cs="Times New Roman"/>
                      <w:color w:val="auto"/>
                      <w:highlight w:val="none"/>
                    </w:rPr>
                    <w:t>C3670</w:t>
                  </w:r>
                  <w:r>
                    <w:rPr>
                      <w:rFonts w:hint="eastAsia"/>
                      <w:color w:val="auto"/>
                      <w:highlight w:val="none"/>
                    </w:rPr>
                    <w:t>汽车零部件及配件制造，不属于前述行业类别。营运期</w:t>
                  </w:r>
                  <w:r>
                    <w:rPr>
                      <w:color w:val="auto"/>
                      <w:highlight w:val="none"/>
                    </w:rPr>
                    <w:t>生活污水经化粪池预处理后排入八公山</w:t>
                  </w:r>
                  <w:r>
                    <w:rPr>
                      <w:rFonts w:hint="eastAsia"/>
                      <w:color w:val="auto"/>
                      <w:highlight w:val="none"/>
                    </w:rPr>
                    <w:t>厂</w:t>
                  </w:r>
                  <w:r>
                    <w:rPr>
                      <w:color w:val="auto"/>
                      <w:highlight w:val="none"/>
                    </w:rPr>
                    <w:t>处理</w:t>
                  </w:r>
                  <w:r>
                    <w:rPr>
                      <w:rFonts w:hint="eastAsia"/>
                      <w:color w:val="auto"/>
                      <w:highlight w:val="none"/>
                    </w:rPr>
                    <w:t>，不对周边水体环境产生不利影响</w:t>
                  </w:r>
                </w:p>
              </w:tc>
              <w:tc>
                <w:tcPr>
                  <w:tcW w:w="0" w:type="auto"/>
                  <w:vAlign w:val="center"/>
                </w:tcPr>
                <w:p w14:paraId="205888A9">
                  <w:pPr>
                    <w:spacing w:line="276" w:lineRule="auto"/>
                    <w:jc w:val="center"/>
                    <w:rPr>
                      <w:rFonts w:ascii="Times New Roman" w:hAnsi="Times New Roman"/>
                      <w:color w:val="auto"/>
                      <w:szCs w:val="21"/>
                      <w:highlight w:val="none"/>
                      <w:lang w:val="zh-CN"/>
                    </w:rPr>
                  </w:pPr>
                  <w:r>
                    <w:rPr>
                      <w:rFonts w:ascii="Times New Roman" w:hAnsi="Times New Roman"/>
                      <w:color w:val="auto"/>
                      <w:szCs w:val="21"/>
                      <w:highlight w:val="none"/>
                      <w:lang w:val="zh-CN"/>
                    </w:rPr>
                    <w:t>符合</w:t>
                  </w:r>
                </w:p>
              </w:tc>
            </w:tr>
            <w:tr w14:paraId="3DBA5AC8">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78D052AD">
                  <w:pPr>
                    <w:spacing w:line="276" w:lineRule="auto"/>
                    <w:jc w:val="center"/>
                    <w:rPr>
                      <w:rFonts w:ascii="Times New Roman" w:hAnsi="Times New Roman"/>
                      <w:color w:val="auto"/>
                      <w:szCs w:val="21"/>
                      <w:highlight w:val="none"/>
                      <w:lang w:val="zh-CN"/>
                    </w:rPr>
                  </w:pPr>
                  <w:r>
                    <w:rPr>
                      <w:rFonts w:hint="eastAsia" w:ascii="Times New Roman" w:hAnsi="Times New Roman"/>
                      <w:color w:val="auto"/>
                      <w:szCs w:val="21"/>
                      <w:highlight w:val="none"/>
                      <w:lang w:val="zh-CN"/>
                    </w:rPr>
                    <w:t>4</w:t>
                  </w:r>
                </w:p>
              </w:tc>
              <w:tc>
                <w:tcPr>
                  <w:tcW w:w="0" w:type="auto"/>
                  <w:vAlign w:val="center"/>
                </w:tcPr>
                <w:p w14:paraId="3A28FD5C">
                  <w:pPr>
                    <w:spacing w:line="276" w:lineRule="auto"/>
                    <w:jc w:val="center"/>
                    <w:rPr>
                      <w:color w:val="auto"/>
                      <w:highlight w:val="none"/>
                    </w:rPr>
                  </w:pPr>
                  <w:r>
                    <w:rPr>
                      <w:color w:val="auto"/>
                      <w:highlight w:val="none"/>
                    </w:rPr>
                    <w:t>依法淘汰落后产能。全市和各县区要依据工业行业淘汰落后生产工艺装备和产品指导目录、产业结构调整指导目录及相关行业污染物排放标准，结合水质改善要求及产业发展情况，制定并实施分年度的落后产能淘汰方案。未完成淘汰任务的县区，暂停审批和核准其相关行业新建项目。</w:t>
                  </w:r>
                </w:p>
              </w:tc>
              <w:tc>
                <w:tcPr>
                  <w:tcW w:w="0" w:type="auto"/>
                  <w:vAlign w:val="center"/>
                </w:tcPr>
                <w:p w14:paraId="31E18871">
                  <w:pPr>
                    <w:spacing w:line="276" w:lineRule="auto"/>
                    <w:jc w:val="center"/>
                    <w:rPr>
                      <w:color w:val="auto"/>
                      <w:highlight w:val="none"/>
                    </w:rPr>
                  </w:pPr>
                  <w:r>
                    <w:rPr>
                      <w:rFonts w:hint="eastAsia"/>
                      <w:color w:val="auto"/>
                      <w:highlight w:val="none"/>
                    </w:rPr>
                    <w:t>本项目进行汽车零部件及配件制造，不涉及产能置换，不属于落后产能</w:t>
                  </w:r>
                </w:p>
              </w:tc>
              <w:tc>
                <w:tcPr>
                  <w:tcW w:w="0" w:type="auto"/>
                  <w:vAlign w:val="center"/>
                </w:tcPr>
                <w:p w14:paraId="6C9BD088">
                  <w:pPr>
                    <w:spacing w:line="276" w:lineRule="auto"/>
                    <w:jc w:val="center"/>
                    <w:rPr>
                      <w:rFonts w:ascii="Times New Roman" w:hAnsi="Times New Roman"/>
                      <w:color w:val="auto"/>
                      <w:szCs w:val="21"/>
                      <w:highlight w:val="none"/>
                      <w:lang w:val="zh-CN"/>
                    </w:rPr>
                  </w:pPr>
                  <w:r>
                    <w:rPr>
                      <w:rFonts w:ascii="Times New Roman" w:hAnsi="Times New Roman"/>
                      <w:color w:val="auto"/>
                      <w:szCs w:val="21"/>
                      <w:highlight w:val="none"/>
                      <w:lang w:val="zh-CN"/>
                    </w:rPr>
                    <w:t>符合</w:t>
                  </w:r>
                </w:p>
              </w:tc>
            </w:tr>
            <w:tr w14:paraId="65ECB89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4F5BAE10">
                  <w:pPr>
                    <w:spacing w:line="276" w:lineRule="auto"/>
                    <w:jc w:val="center"/>
                    <w:rPr>
                      <w:rFonts w:ascii="Times New Roman" w:hAnsi="Times New Roman"/>
                      <w:color w:val="auto"/>
                      <w:szCs w:val="21"/>
                      <w:highlight w:val="none"/>
                      <w:lang w:val="zh-CN"/>
                    </w:rPr>
                  </w:pPr>
                  <w:r>
                    <w:rPr>
                      <w:rFonts w:hint="eastAsia" w:ascii="Times New Roman" w:hAnsi="Times New Roman"/>
                      <w:color w:val="auto"/>
                      <w:szCs w:val="21"/>
                      <w:highlight w:val="none"/>
                      <w:lang w:val="zh-CN"/>
                    </w:rPr>
                    <w:t>5</w:t>
                  </w:r>
                </w:p>
              </w:tc>
              <w:tc>
                <w:tcPr>
                  <w:tcW w:w="0" w:type="auto"/>
                  <w:vAlign w:val="center"/>
                </w:tcPr>
                <w:p w14:paraId="1956D720">
                  <w:pPr>
                    <w:pStyle w:val="71"/>
                    <w:spacing w:line="276" w:lineRule="auto"/>
                    <w:rPr>
                      <w:color w:val="auto"/>
                      <w:highlight w:val="none"/>
                    </w:rPr>
                  </w:pPr>
                  <w:r>
                    <w:rPr>
                      <w:rFonts w:hint="eastAsia"/>
                      <w:color w:val="auto"/>
                      <w:highlight w:val="none"/>
                    </w:rPr>
                    <w:t>新建、改建、扩建排放重点大气污染物的项目不符合总量控制要求的，不得通过环境影响评价。</w:t>
                  </w:r>
                </w:p>
              </w:tc>
              <w:tc>
                <w:tcPr>
                  <w:tcW w:w="0" w:type="auto"/>
                  <w:vAlign w:val="center"/>
                </w:tcPr>
                <w:p w14:paraId="5DBD061E">
                  <w:pPr>
                    <w:spacing w:line="276" w:lineRule="auto"/>
                    <w:jc w:val="center"/>
                    <w:rPr>
                      <w:color w:val="auto"/>
                      <w:highlight w:val="none"/>
                    </w:rPr>
                  </w:pPr>
                  <w:r>
                    <w:rPr>
                      <w:rFonts w:hint="eastAsia"/>
                      <w:color w:val="auto"/>
                      <w:highlight w:val="none"/>
                    </w:rPr>
                    <w:t>本项目属于新建项目，须申请大气污染物颗粒物、有机废气总量指标</w:t>
                  </w:r>
                </w:p>
              </w:tc>
              <w:tc>
                <w:tcPr>
                  <w:tcW w:w="0" w:type="auto"/>
                  <w:vAlign w:val="center"/>
                </w:tcPr>
                <w:p w14:paraId="2098EB31">
                  <w:pPr>
                    <w:spacing w:line="276" w:lineRule="auto"/>
                    <w:jc w:val="center"/>
                    <w:rPr>
                      <w:rFonts w:ascii="Times New Roman" w:hAnsi="Times New Roman"/>
                      <w:color w:val="auto"/>
                      <w:szCs w:val="21"/>
                      <w:highlight w:val="none"/>
                      <w:lang w:val="zh-CN"/>
                    </w:rPr>
                  </w:pPr>
                  <w:r>
                    <w:rPr>
                      <w:rFonts w:ascii="Times New Roman" w:hAnsi="Times New Roman"/>
                      <w:color w:val="auto"/>
                      <w:szCs w:val="21"/>
                      <w:highlight w:val="none"/>
                      <w:lang w:val="zh-CN"/>
                    </w:rPr>
                    <w:t>符合</w:t>
                  </w:r>
                </w:p>
              </w:tc>
            </w:tr>
            <w:tr w14:paraId="623431C7">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71E7B206">
                  <w:pPr>
                    <w:spacing w:line="276" w:lineRule="auto"/>
                    <w:jc w:val="center"/>
                    <w:rPr>
                      <w:rFonts w:ascii="Times New Roman" w:hAnsi="Times New Roman"/>
                      <w:color w:val="auto"/>
                      <w:szCs w:val="21"/>
                      <w:highlight w:val="none"/>
                      <w:lang w:val="zh-CN"/>
                    </w:rPr>
                  </w:pPr>
                  <w:r>
                    <w:rPr>
                      <w:rFonts w:hint="eastAsia" w:ascii="Times New Roman" w:hAnsi="Times New Roman"/>
                      <w:color w:val="auto"/>
                      <w:szCs w:val="21"/>
                      <w:highlight w:val="none"/>
                      <w:lang w:val="zh-CN"/>
                    </w:rPr>
                    <w:t>6</w:t>
                  </w:r>
                </w:p>
              </w:tc>
              <w:tc>
                <w:tcPr>
                  <w:tcW w:w="0" w:type="auto"/>
                  <w:vAlign w:val="center"/>
                </w:tcPr>
                <w:p w14:paraId="35036939">
                  <w:pPr>
                    <w:pStyle w:val="71"/>
                    <w:spacing w:line="276" w:lineRule="auto"/>
                    <w:rPr>
                      <w:color w:val="auto"/>
                      <w:highlight w:val="none"/>
                    </w:rPr>
                  </w:pPr>
                  <w:r>
                    <w:rPr>
                      <w:rFonts w:hint="eastAsia"/>
                      <w:color w:val="auto"/>
                      <w:highlight w:val="none"/>
                    </w:rPr>
                    <w:t>企业事业单位和其他生产经营者超过污染物排放标准或者超过重点污染物排放总量控制指标排放污染物的，县级以上人民政府环境保护主管部门可以责令其采取限制生产、停产整治等措施；情节严重的，报经有批准权的人民政府批准，责令停业、关闭。</w:t>
                  </w:r>
                </w:p>
              </w:tc>
              <w:tc>
                <w:tcPr>
                  <w:tcW w:w="0" w:type="auto"/>
                  <w:vAlign w:val="center"/>
                </w:tcPr>
                <w:p w14:paraId="42EEA7DF">
                  <w:pPr>
                    <w:pStyle w:val="71"/>
                    <w:spacing w:line="276" w:lineRule="auto"/>
                    <w:rPr>
                      <w:color w:val="auto"/>
                      <w:highlight w:val="none"/>
                    </w:rPr>
                  </w:pPr>
                  <w:r>
                    <w:rPr>
                      <w:rFonts w:hint="eastAsia"/>
                      <w:color w:val="auto"/>
                      <w:highlight w:val="none"/>
                    </w:rPr>
                    <w:t>本项目经工程分析结果表明，在采取相应的污染防治措施以后能够满足达标排放要求，营运期间企业须按照达标排放要求，接受领导部门的监督与管理</w:t>
                  </w:r>
                </w:p>
              </w:tc>
              <w:tc>
                <w:tcPr>
                  <w:tcW w:w="0" w:type="auto"/>
                  <w:vAlign w:val="center"/>
                </w:tcPr>
                <w:p w14:paraId="1E4B50FB">
                  <w:pPr>
                    <w:spacing w:line="276" w:lineRule="auto"/>
                    <w:jc w:val="center"/>
                    <w:rPr>
                      <w:rFonts w:ascii="Times New Roman" w:hAnsi="Times New Roman"/>
                      <w:color w:val="auto"/>
                      <w:szCs w:val="21"/>
                      <w:highlight w:val="none"/>
                      <w:lang w:val="zh-CN"/>
                    </w:rPr>
                  </w:pPr>
                  <w:r>
                    <w:rPr>
                      <w:rFonts w:ascii="Times New Roman" w:hAnsi="Times New Roman"/>
                      <w:color w:val="auto"/>
                      <w:szCs w:val="21"/>
                      <w:highlight w:val="none"/>
                      <w:lang w:val="zh-CN"/>
                    </w:rPr>
                    <w:t>符合</w:t>
                  </w:r>
                </w:p>
              </w:tc>
            </w:tr>
            <w:tr w14:paraId="2DC85178">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0" w:type="auto"/>
                  <w:vAlign w:val="center"/>
                </w:tcPr>
                <w:p w14:paraId="1546D621">
                  <w:pPr>
                    <w:spacing w:line="276" w:lineRule="auto"/>
                    <w:jc w:val="center"/>
                    <w:rPr>
                      <w:rFonts w:ascii="Times New Roman" w:hAnsi="Times New Roman"/>
                      <w:color w:val="auto"/>
                      <w:szCs w:val="21"/>
                      <w:highlight w:val="none"/>
                      <w:lang w:val="zh-CN"/>
                    </w:rPr>
                  </w:pPr>
                  <w:r>
                    <w:rPr>
                      <w:rFonts w:hint="eastAsia" w:ascii="Times New Roman" w:hAnsi="Times New Roman"/>
                      <w:color w:val="auto"/>
                      <w:szCs w:val="21"/>
                      <w:highlight w:val="none"/>
                      <w:lang w:val="zh-CN"/>
                    </w:rPr>
                    <w:t>7</w:t>
                  </w:r>
                </w:p>
              </w:tc>
              <w:tc>
                <w:tcPr>
                  <w:tcW w:w="0" w:type="auto"/>
                  <w:vAlign w:val="center"/>
                </w:tcPr>
                <w:p w14:paraId="070104E6">
                  <w:pPr>
                    <w:pStyle w:val="71"/>
                    <w:spacing w:line="276" w:lineRule="auto"/>
                    <w:rPr>
                      <w:color w:val="auto"/>
                      <w:highlight w:val="none"/>
                    </w:rPr>
                  </w:pPr>
                  <w:r>
                    <w:rPr>
                      <w:color w:val="auto"/>
                      <w:highlight w:val="none"/>
                    </w:rPr>
                    <w:t>实施“煤改气”和“以电代煤”。在陶瓷、玻璃、铸造等行业积极推进天然气替代煤气化工程，有序实施燃煤设施煤改气。结合区域和行业用能特点，积极推进工业生产、建筑供暖供冷、交通运输、农业生产、居民生活五大领域实施“以电代煤”，着力提高电能占终端能源消费比重。</w:t>
                  </w:r>
                </w:p>
              </w:tc>
              <w:tc>
                <w:tcPr>
                  <w:tcW w:w="0" w:type="auto"/>
                  <w:vAlign w:val="center"/>
                </w:tcPr>
                <w:p w14:paraId="17329085">
                  <w:pPr>
                    <w:spacing w:line="276" w:lineRule="auto"/>
                    <w:jc w:val="center"/>
                    <w:rPr>
                      <w:color w:val="auto"/>
                      <w:highlight w:val="none"/>
                    </w:rPr>
                  </w:pPr>
                  <w:r>
                    <w:rPr>
                      <w:rFonts w:hint="eastAsia"/>
                      <w:color w:val="auto"/>
                      <w:highlight w:val="none"/>
                    </w:rPr>
                    <w:t>本项目能源使用电能，不涉及天然气、煤</w:t>
                  </w:r>
                </w:p>
              </w:tc>
              <w:tc>
                <w:tcPr>
                  <w:tcW w:w="0" w:type="auto"/>
                  <w:vAlign w:val="center"/>
                </w:tcPr>
                <w:p w14:paraId="3E2CFD91">
                  <w:pPr>
                    <w:spacing w:line="276" w:lineRule="auto"/>
                    <w:jc w:val="center"/>
                    <w:rPr>
                      <w:rFonts w:ascii="Times New Roman" w:hAnsi="Times New Roman"/>
                      <w:color w:val="auto"/>
                      <w:szCs w:val="21"/>
                      <w:highlight w:val="none"/>
                      <w:lang w:val="zh-CN"/>
                    </w:rPr>
                  </w:pPr>
                  <w:r>
                    <w:rPr>
                      <w:rFonts w:ascii="Times New Roman" w:hAnsi="Times New Roman"/>
                      <w:color w:val="auto"/>
                      <w:szCs w:val="21"/>
                      <w:highlight w:val="none"/>
                      <w:lang w:val="zh-CN"/>
                    </w:rPr>
                    <w:t>符合</w:t>
                  </w:r>
                </w:p>
              </w:tc>
            </w:tr>
          </w:tbl>
          <w:p w14:paraId="0468B761">
            <w:pPr>
              <w:adjustRightInd w:val="0"/>
              <w:snapToGrid w:val="0"/>
              <w:spacing w:line="276" w:lineRule="auto"/>
              <w:rPr>
                <w:rFonts w:ascii="Times New Roman" w:hAnsi="Times New Roman" w:cs="Times New Roman"/>
                <w:color w:val="auto"/>
                <w:kern w:val="0"/>
                <w:sz w:val="24"/>
                <w:szCs w:val="24"/>
                <w:highlight w:val="none"/>
              </w:rPr>
            </w:pPr>
          </w:p>
          <w:p w14:paraId="7C4DC2AA">
            <w:pPr>
              <w:adjustRightInd w:val="0"/>
              <w:snapToGrid w:val="0"/>
              <w:spacing w:line="276" w:lineRule="auto"/>
              <w:rPr>
                <w:rFonts w:ascii="Times New Roman" w:hAnsi="Times New Roman" w:cs="Times New Roman"/>
                <w:color w:val="auto"/>
                <w:kern w:val="0"/>
                <w:sz w:val="24"/>
                <w:szCs w:val="24"/>
                <w:highlight w:val="none"/>
              </w:rPr>
            </w:pPr>
          </w:p>
          <w:p w14:paraId="1292211D">
            <w:pPr>
              <w:adjustRightInd w:val="0"/>
              <w:snapToGrid w:val="0"/>
              <w:spacing w:line="276" w:lineRule="auto"/>
              <w:rPr>
                <w:rFonts w:ascii="Times New Roman" w:hAnsi="Times New Roman" w:cs="Times New Roman"/>
                <w:color w:val="auto"/>
                <w:kern w:val="0"/>
                <w:sz w:val="24"/>
                <w:szCs w:val="24"/>
                <w:highlight w:val="none"/>
              </w:rPr>
            </w:pPr>
          </w:p>
          <w:p w14:paraId="6B6249C7">
            <w:pPr>
              <w:adjustRightInd w:val="0"/>
              <w:snapToGrid w:val="0"/>
              <w:spacing w:line="276" w:lineRule="auto"/>
              <w:rPr>
                <w:rFonts w:ascii="Times New Roman" w:hAnsi="Times New Roman" w:cs="Times New Roman"/>
                <w:color w:val="auto"/>
                <w:kern w:val="0"/>
                <w:sz w:val="24"/>
                <w:szCs w:val="24"/>
                <w:highlight w:val="none"/>
              </w:rPr>
            </w:pPr>
          </w:p>
          <w:p w14:paraId="7E292FB5">
            <w:pPr>
              <w:adjustRightInd w:val="0"/>
              <w:snapToGrid w:val="0"/>
              <w:spacing w:line="276" w:lineRule="auto"/>
              <w:rPr>
                <w:rFonts w:ascii="Times New Roman" w:hAnsi="Times New Roman" w:cs="Times New Roman"/>
                <w:color w:val="auto"/>
                <w:kern w:val="0"/>
                <w:sz w:val="24"/>
                <w:szCs w:val="24"/>
                <w:highlight w:val="none"/>
              </w:rPr>
            </w:pPr>
          </w:p>
          <w:p w14:paraId="6A40F0BD">
            <w:pPr>
              <w:adjustRightInd w:val="0"/>
              <w:snapToGrid w:val="0"/>
              <w:spacing w:line="276" w:lineRule="auto"/>
              <w:rPr>
                <w:rFonts w:ascii="Times New Roman" w:hAnsi="Times New Roman" w:cs="Times New Roman"/>
                <w:color w:val="auto"/>
                <w:kern w:val="0"/>
                <w:sz w:val="24"/>
                <w:szCs w:val="24"/>
                <w:highlight w:val="none"/>
              </w:rPr>
            </w:pPr>
          </w:p>
          <w:p w14:paraId="41510BA0">
            <w:pPr>
              <w:adjustRightInd w:val="0"/>
              <w:snapToGrid w:val="0"/>
              <w:spacing w:line="276" w:lineRule="auto"/>
              <w:rPr>
                <w:rFonts w:ascii="Times New Roman" w:hAnsi="Times New Roman" w:cs="Times New Roman"/>
                <w:color w:val="auto"/>
                <w:kern w:val="0"/>
                <w:sz w:val="24"/>
                <w:szCs w:val="24"/>
                <w:highlight w:val="none"/>
              </w:rPr>
            </w:pPr>
          </w:p>
          <w:p w14:paraId="6F031D5B">
            <w:pPr>
              <w:adjustRightInd w:val="0"/>
              <w:snapToGrid w:val="0"/>
              <w:spacing w:line="276" w:lineRule="auto"/>
              <w:rPr>
                <w:rFonts w:ascii="Times New Roman" w:hAnsi="Times New Roman" w:cs="Times New Roman"/>
                <w:color w:val="auto"/>
                <w:kern w:val="0"/>
                <w:sz w:val="24"/>
                <w:szCs w:val="24"/>
                <w:highlight w:val="none"/>
              </w:rPr>
            </w:pPr>
          </w:p>
          <w:p w14:paraId="4C0F3768">
            <w:pPr>
              <w:adjustRightInd w:val="0"/>
              <w:snapToGrid w:val="0"/>
              <w:spacing w:line="276" w:lineRule="auto"/>
              <w:rPr>
                <w:rFonts w:ascii="Times New Roman" w:hAnsi="Times New Roman" w:cs="Times New Roman"/>
                <w:color w:val="auto"/>
                <w:kern w:val="0"/>
                <w:sz w:val="24"/>
                <w:szCs w:val="24"/>
                <w:highlight w:val="none"/>
              </w:rPr>
            </w:pPr>
          </w:p>
          <w:p w14:paraId="3EFB983F">
            <w:pPr>
              <w:adjustRightInd w:val="0"/>
              <w:snapToGrid w:val="0"/>
              <w:spacing w:line="276" w:lineRule="auto"/>
              <w:rPr>
                <w:rFonts w:ascii="Times New Roman" w:hAnsi="Times New Roman" w:cs="Times New Roman"/>
                <w:color w:val="auto"/>
                <w:kern w:val="0"/>
                <w:sz w:val="24"/>
                <w:szCs w:val="24"/>
                <w:highlight w:val="none"/>
              </w:rPr>
            </w:pPr>
          </w:p>
          <w:p w14:paraId="608F5265">
            <w:pPr>
              <w:adjustRightInd w:val="0"/>
              <w:snapToGrid w:val="0"/>
              <w:spacing w:line="276" w:lineRule="auto"/>
              <w:rPr>
                <w:rFonts w:ascii="Times New Roman" w:hAnsi="Times New Roman" w:cs="Times New Roman"/>
                <w:color w:val="auto"/>
                <w:kern w:val="0"/>
                <w:sz w:val="24"/>
                <w:szCs w:val="24"/>
                <w:highlight w:val="none"/>
              </w:rPr>
            </w:pPr>
          </w:p>
          <w:p w14:paraId="62B50E42">
            <w:pPr>
              <w:adjustRightInd w:val="0"/>
              <w:snapToGrid w:val="0"/>
              <w:spacing w:line="276" w:lineRule="auto"/>
              <w:rPr>
                <w:rFonts w:ascii="Times New Roman" w:hAnsi="Times New Roman" w:cs="Times New Roman"/>
                <w:color w:val="auto"/>
                <w:kern w:val="0"/>
                <w:sz w:val="24"/>
                <w:szCs w:val="24"/>
                <w:highlight w:val="none"/>
              </w:rPr>
            </w:pPr>
          </w:p>
        </w:tc>
      </w:tr>
    </w:tbl>
    <w:p w14:paraId="1492D102">
      <w:pPr>
        <w:rPr>
          <w:rFonts w:ascii="Times New Roman" w:hAnsi="Times New Roman"/>
        </w:rPr>
        <w:sectPr>
          <w:headerReference r:id="rId3" w:type="default"/>
          <w:footerReference r:id="rId5" w:type="default"/>
          <w:headerReference r:id="rId4" w:type="even"/>
          <w:pgSz w:w="11906" w:h="16838"/>
          <w:pgMar w:top="1701" w:right="1531" w:bottom="1701" w:left="1531" w:header="851" w:footer="992" w:gutter="0"/>
          <w:pgBorders>
            <w:top w:val="none" w:sz="0" w:space="0"/>
            <w:left w:val="none" w:sz="0" w:space="0"/>
            <w:bottom w:val="none" w:sz="0" w:space="0"/>
            <w:right w:val="none" w:sz="0" w:space="0"/>
          </w:pgBorders>
          <w:cols w:space="425" w:num="1"/>
          <w:docGrid w:type="lines" w:linePitch="312" w:charSpace="0"/>
        </w:sectPr>
      </w:pPr>
    </w:p>
    <w:p w14:paraId="1D7EC576">
      <w:pPr>
        <w:widowControl/>
        <w:adjustRightInd w:val="0"/>
        <w:snapToGrid w:val="0"/>
        <w:spacing w:beforeLines="50" w:afterLines="50"/>
        <w:jc w:val="center"/>
        <w:outlineLvl w:val="0"/>
        <w:rPr>
          <w:rFonts w:ascii="Times New Roman" w:hAnsi="Times New Roman" w:eastAsia="黑体" w:cs="Times New Roman"/>
          <w:snapToGrid w:val="0"/>
          <w:kern w:val="0"/>
          <w:sz w:val="32"/>
          <w:szCs w:val="32"/>
        </w:rPr>
      </w:pPr>
      <w:r>
        <w:rPr>
          <w:rFonts w:hint="eastAsia" w:ascii="Times New Roman" w:hAnsi="Times New Roman" w:eastAsia="黑体" w:cs="Times New Roman"/>
          <w:snapToGrid w:val="0"/>
          <w:kern w:val="0"/>
          <w:sz w:val="32"/>
          <w:szCs w:val="32"/>
        </w:rPr>
        <w:t>二、建设项目工程分析</w:t>
      </w:r>
    </w:p>
    <w:tbl>
      <w:tblPr>
        <w:tblStyle w:val="17"/>
        <w:tblpPr w:leftFromText="180" w:rightFromText="180" w:vertAnchor="page" w:horzAnchor="margin" w:tblpY="256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8616"/>
      </w:tblGrid>
      <w:tr w14:paraId="0BFC8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178" w:hRule="atLeast"/>
        </w:trPr>
        <w:tc>
          <w:tcPr>
            <w:tcW w:w="254" w:type="pct"/>
            <w:vAlign w:val="center"/>
          </w:tcPr>
          <w:p w14:paraId="71B5F2FA">
            <w:pPr>
              <w:widowControl/>
              <w:spacing w:line="360" w:lineRule="auto"/>
              <w:jc w:val="center"/>
              <w:rPr>
                <w:rFonts w:ascii="Times New Roman" w:hAnsi="Times New Roman" w:eastAsia="宋体" w:cs="宋体"/>
                <w:kern w:val="0"/>
                <w:sz w:val="24"/>
                <w:szCs w:val="24"/>
              </w:rPr>
            </w:pPr>
            <w:r>
              <w:rPr>
                <w:rFonts w:hint="eastAsia" w:ascii="Times New Roman" w:hAnsi="Times New Roman" w:eastAsia="宋体" w:cs="宋体"/>
                <w:b/>
                <w:bCs/>
                <w:kern w:val="0"/>
                <w:sz w:val="24"/>
                <w:szCs w:val="24"/>
              </w:rPr>
              <w:t>建设内容</w:t>
            </w:r>
          </w:p>
        </w:tc>
        <w:tc>
          <w:tcPr>
            <w:tcW w:w="4745" w:type="pct"/>
          </w:tcPr>
          <w:p w14:paraId="19391379">
            <w:pPr>
              <w:adjustRightInd w:val="0"/>
              <w:snapToGrid w:val="0"/>
              <w:spacing w:line="360" w:lineRule="auto"/>
              <w:ind w:firstLine="482" w:firstLineChars="200"/>
              <w:rPr>
                <w:rFonts w:ascii="Times New Roman" w:hAnsi="Times New Roman"/>
                <w:b/>
                <w:sz w:val="24"/>
                <w:szCs w:val="24"/>
                <w:highlight w:val="none"/>
              </w:rPr>
            </w:pPr>
            <w:r>
              <w:rPr>
                <w:rFonts w:hint="eastAsia" w:ascii="Times New Roman" w:hAnsi="Times New Roman"/>
                <w:b/>
                <w:sz w:val="24"/>
                <w:szCs w:val="24"/>
                <w:highlight w:val="none"/>
              </w:rPr>
              <w:t>1、</w:t>
            </w:r>
            <w:r>
              <w:rPr>
                <w:rFonts w:ascii="Times New Roman" w:hAnsi="Times New Roman"/>
                <w:b/>
                <w:sz w:val="24"/>
                <w:szCs w:val="24"/>
                <w:highlight w:val="none"/>
              </w:rPr>
              <w:t>项目背景</w:t>
            </w:r>
          </w:p>
          <w:p w14:paraId="303FB6CB">
            <w:pPr>
              <w:adjustRightInd w:val="0"/>
              <w:snapToGrid w:val="0"/>
              <w:spacing w:line="360" w:lineRule="auto"/>
              <w:ind w:firstLine="480" w:firstLineChars="200"/>
              <w:rPr>
                <w:rFonts w:ascii="Times New Roman" w:hAnsi="Times New Roman" w:eastAsia="宋体" w:cs="Times New Roman"/>
                <w:color w:val="auto"/>
                <w:kern w:val="0"/>
                <w:sz w:val="24"/>
                <w:szCs w:val="24"/>
                <w:highlight w:val="none"/>
              </w:rPr>
            </w:pPr>
            <w:r>
              <w:rPr>
                <w:rFonts w:hint="eastAsia" w:ascii="Times New Roman" w:hAnsi="Times New Roman" w:cs="Times New Roman"/>
                <w:sz w:val="24"/>
                <w:szCs w:val="24"/>
                <w:highlight w:val="none"/>
              </w:rPr>
              <w:t>安徽鑫辰汽车零部件有限公司</w:t>
            </w:r>
            <w:r>
              <w:rPr>
                <w:rFonts w:hint="eastAsia" w:ascii="Times New Roman" w:hAnsi="Times New Roman" w:eastAsia="宋体" w:cs="Times New Roman"/>
                <w:kern w:val="0"/>
                <w:sz w:val="24"/>
                <w:szCs w:val="24"/>
                <w:highlight w:val="none"/>
              </w:rPr>
              <w:t>拟投资10000万元</w:t>
            </w:r>
            <w:r>
              <w:rPr>
                <w:rFonts w:ascii="Times New Roman" w:hAnsi="Times New Roman" w:cs="ËÎÌå"/>
                <w:kern w:val="0"/>
                <w:sz w:val="24"/>
                <w:szCs w:val="24"/>
                <w:highlight w:val="none"/>
              </w:rPr>
              <w:t>建设</w:t>
            </w:r>
            <w:r>
              <w:rPr>
                <w:rFonts w:hint="eastAsia" w:ascii="Times New Roman" w:hAnsi="Times New Roman" w:cs="Times New Roman"/>
                <w:bCs/>
                <w:sz w:val="24"/>
                <w:szCs w:val="24"/>
                <w:highlight w:val="none"/>
              </w:rPr>
              <w:t>200万套汽车零部件项目</w:t>
            </w:r>
            <w:r>
              <w:rPr>
                <w:rFonts w:hint="eastAsia" w:ascii="Times New Roman" w:hAnsi="Times New Roman" w:eastAsia="宋体" w:cs="Times New Roman"/>
                <w:kern w:val="0"/>
                <w:sz w:val="24"/>
                <w:szCs w:val="24"/>
                <w:highlight w:val="none"/>
              </w:rPr>
              <w:t>。企业租赁</w:t>
            </w:r>
            <w:r>
              <w:rPr>
                <w:rFonts w:hint="eastAsia" w:ascii="Times New Roman" w:hAnsi="Times New Roman" w:eastAsia="宋体" w:cs="Times New Roman"/>
                <w:bCs/>
                <w:kern w:val="0"/>
                <w:sz w:val="24"/>
                <w:szCs w:val="24"/>
                <w:highlight w:val="none"/>
              </w:rPr>
              <w:t>安徽省淮南市谢家集区</w:t>
            </w:r>
            <w:r>
              <w:rPr>
                <w:rFonts w:hint="eastAsia" w:ascii="Times New Roman" w:hAnsi="Times New Roman" w:cs="ËÎÌå"/>
                <w:kern w:val="0"/>
                <w:sz w:val="24"/>
                <w:szCs w:val="24"/>
                <w:highlight w:val="none"/>
              </w:rPr>
              <w:t>汽配产业园3号厂房</w:t>
            </w:r>
            <w:r>
              <w:rPr>
                <w:rFonts w:hint="eastAsia" w:ascii="Times New Roman" w:hAnsi="Times New Roman" w:eastAsia="宋体" w:cs="Times New Roman"/>
                <w:kern w:val="0"/>
                <w:sz w:val="24"/>
                <w:szCs w:val="24"/>
                <w:highlight w:val="none"/>
              </w:rPr>
              <w:t>（占地面积5218.5m</w:t>
            </w:r>
            <w:r>
              <w:rPr>
                <w:rFonts w:hint="eastAsia" w:ascii="Times New Roman" w:hAnsi="Times New Roman" w:eastAsia="宋体" w:cs="Times New Roman"/>
                <w:kern w:val="0"/>
                <w:sz w:val="24"/>
                <w:szCs w:val="24"/>
                <w:highlight w:val="none"/>
                <w:vertAlign w:val="superscript"/>
              </w:rPr>
              <w:t>2</w:t>
            </w:r>
            <w:r>
              <w:rPr>
                <w:rFonts w:hint="eastAsia" w:ascii="Times New Roman" w:hAnsi="Times New Roman" w:eastAsia="宋体" w:cs="Times New Roman"/>
                <w:kern w:val="0"/>
                <w:sz w:val="24"/>
                <w:szCs w:val="24"/>
                <w:highlight w:val="none"/>
              </w:rPr>
              <w:t>）</w:t>
            </w:r>
            <w:r>
              <w:rPr>
                <w:rFonts w:hint="eastAsia" w:ascii="Times New Roman" w:hAnsi="Times New Roman" w:cs="ËÎÌå"/>
                <w:kern w:val="0"/>
                <w:sz w:val="24"/>
                <w:szCs w:val="24"/>
                <w:highlight w:val="none"/>
              </w:rPr>
              <w:t>，布设喷漆房、3D镭雕机、平面镭雕机、空压机、</w:t>
            </w:r>
            <w:r>
              <w:rPr>
                <w:rFonts w:hint="eastAsia" w:ascii="Times New Roman" w:hAnsi="Times New Roman" w:cs="ËÎÌå"/>
                <w:color w:val="auto"/>
                <w:kern w:val="0"/>
                <w:sz w:val="24"/>
                <w:szCs w:val="24"/>
                <w:highlight w:val="none"/>
              </w:rPr>
              <w:t>烘烤箱等设备，设置</w:t>
            </w:r>
            <w:r>
              <w:rPr>
                <w:rFonts w:hint="eastAsia" w:ascii="Times New Roman" w:hAnsi="Times New Roman" w:cs="ËÎÌå"/>
                <w:color w:val="auto"/>
                <w:kern w:val="0"/>
                <w:sz w:val="24"/>
                <w:szCs w:val="24"/>
                <w:highlight w:val="none"/>
                <w:lang w:val="en-US" w:eastAsia="zh-CN"/>
              </w:rPr>
              <w:t>3</w:t>
            </w:r>
            <w:r>
              <w:rPr>
                <w:rFonts w:hint="eastAsia" w:ascii="Times New Roman" w:hAnsi="Times New Roman" w:cs="ËÎÌå"/>
                <w:color w:val="auto"/>
                <w:kern w:val="0"/>
                <w:sz w:val="24"/>
                <w:szCs w:val="24"/>
                <w:highlight w:val="none"/>
              </w:rPr>
              <w:t>条</w:t>
            </w:r>
            <w:r>
              <w:rPr>
                <w:rFonts w:hint="eastAsia" w:hAnsi="宋体"/>
                <w:color w:val="auto"/>
                <w:spacing w:val="4"/>
                <w:sz w:val="24"/>
                <w:highlight w:val="none"/>
              </w:rPr>
              <w:t>汽车零部件涂装生产线；项目建成后</w:t>
            </w:r>
            <w:r>
              <w:rPr>
                <w:rFonts w:hint="eastAsia" w:ascii="Times New Roman" w:hAnsi="Times New Roman" w:cs="Times New Roman"/>
                <w:bCs/>
                <w:color w:val="auto"/>
                <w:sz w:val="24"/>
                <w:szCs w:val="24"/>
                <w:highlight w:val="none"/>
              </w:rPr>
              <w:t>最终</w:t>
            </w:r>
            <w:r>
              <w:rPr>
                <w:rFonts w:ascii="Times New Roman" w:hAnsi="Times New Roman" w:cs="ËÎÌå"/>
                <w:color w:val="auto"/>
                <w:kern w:val="0"/>
                <w:sz w:val="24"/>
                <w:szCs w:val="24"/>
                <w:highlight w:val="none"/>
              </w:rPr>
              <w:t>形成</w:t>
            </w:r>
            <w:r>
              <w:rPr>
                <w:rFonts w:ascii="Times New Roman" w:hAnsi="Times New Roman" w:cs="Times New Roman"/>
                <w:bCs/>
                <w:color w:val="auto"/>
                <w:sz w:val="24"/>
                <w:szCs w:val="24"/>
                <w:highlight w:val="none"/>
              </w:rPr>
              <w:t>年产</w:t>
            </w:r>
            <w:r>
              <w:rPr>
                <w:rFonts w:hint="eastAsia" w:ascii="Times New Roman" w:hAnsi="Times New Roman" w:cs="Times New Roman"/>
                <w:bCs/>
                <w:color w:val="auto"/>
                <w:sz w:val="24"/>
                <w:szCs w:val="24"/>
                <w:highlight w:val="none"/>
              </w:rPr>
              <w:t>200万套汽车零部件的生产规模</w:t>
            </w:r>
            <w:r>
              <w:rPr>
                <w:rFonts w:ascii="Times New Roman" w:hAnsi="Times New Roman" w:cs="ËÎÌå"/>
                <w:color w:val="auto"/>
                <w:kern w:val="0"/>
                <w:sz w:val="24"/>
                <w:szCs w:val="24"/>
                <w:highlight w:val="none"/>
              </w:rPr>
              <w:t>。</w:t>
            </w:r>
            <w:r>
              <w:rPr>
                <w:rFonts w:hint="eastAsia" w:ascii="Times New Roman" w:hAnsi="Times New Roman" w:cs="ËÎÌå"/>
                <w:color w:val="auto"/>
                <w:kern w:val="0"/>
                <w:sz w:val="24"/>
                <w:szCs w:val="24"/>
                <w:highlight w:val="none"/>
              </w:rPr>
              <w:t>该项目于2025年</w:t>
            </w:r>
            <w:r>
              <w:rPr>
                <w:rFonts w:hint="eastAsia" w:ascii="Times New Roman" w:hAnsi="Times New Roman" w:cs="ËÎÌå"/>
                <w:color w:val="auto"/>
                <w:kern w:val="0"/>
                <w:sz w:val="24"/>
                <w:szCs w:val="24"/>
                <w:highlight w:val="none"/>
                <w:lang w:val="en-US" w:eastAsia="zh-CN"/>
              </w:rPr>
              <w:t>9</w:t>
            </w:r>
            <w:r>
              <w:rPr>
                <w:rFonts w:hint="eastAsia" w:ascii="Times New Roman" w:hAnsi="Times New Roman" w:cs="ËÎÌå"/>
                <w:color w:val="auto"/>
                <w:kern w:val="0"/>
                <w:sz w:val="24"/>
                <w:szCs w:val="24"/>
                <w:highlight w:val="none"/>
              </w:rPr>
              <w:t>月1日经淮南市谢家集区发展和改革委员会通过备案，</w:t>
            </w:r>
            <w:r>
              <w:rPr>
                <w:rFonts w:hint="eastAsia" w:ascii="Times New Roman" w:hAnsi="Times New Roman" w:eastAsia="宋体" w:cs="Times New Roman"/>
                <w:color w:val="auto"/>
                <w:sz w:val="24"/>
                <w:highlight w:val="none"/>
              </w:rPr>
              <w:t>项目代码</w:t>
            </w:r>
            <w:r>
              <w:rPr>
                <w:rFonts w:hint="eastAsia" w:ascii="Times New Roman" w:hAnsi="Times New Roman" w:cs="ËÎÌå"/>
                <w:color w:val="auto"/>
                <w:kern w:val="0"/>
                <w:sz w:val="24"/>
                <w:szCs w:val="24"/>
                <w:highlight w:val="none"/>
              </w:rPr>
              <w:t>为</w:t>
            </w:r>
            <w:r>
              <w:rPr>
                <w:rFonts w:hint="eastAsia" w:ascii="Times New Roman" w:hAnsi="Times New Roman" w:cs="Times New Roman"/>
                <w:color w:val="auto"/>
                <w:sz w:val="24"/>
                <w:highlight w:val="none"/>
              </w:rPr>
              <w:t>2503-340404-04-01-507916</w:t>
            </w:r>
            <w:r>
              <w:rPr>
                <w:rFonts w:hint="eastAsia" w:ascii="Times New Roman" w:hAnsi="Times New Roman" w:eastAsia="宋体" w:cs="Times New Roman"/>
                <w:color w:val="auto"/>
                <w:kern w:val="0"/>
                <w:sz w:val="24"/>
                <w:szCs w:val="24"/>
                <w:highlight w:val="none"/>
              </w:rPr>
              <w:t>。</w:t>
            </w:r>
          </w:p>
          <w:p w14:paraId="06746F73">
            <w:pPr>
              <w:adjustRightInd w:val="0"/>
              <w:snapToGrid w:val="0"/>
              <w:spacing w:line="360" w:lineRule="auto"/>
              <w:ind w:firstLine="480" w:firstLineChars="200"/>
              <w:rPr>
                <w:rFonts w:ascii="Times New Roman" w:hAnsi="Times New Roman" w:cs="ËÎÌå"/>
                <w:b/>
                <w:bCs/>
                <w:kern w:val="0"/>
                <w:sz w:val="24"/>
                <w:szCs w:val="24"/>
                <w:highlight w:val="none"/>
              </w:rPr>
            </w:pPr>
            <w:r>
              <w:rPr>
                <w:rFonts w:ascii="Times New Roman" w:hAnsi="Times New Roman" w:eastAsia="宋体" w:cs="Times New Roman"/>
                <w:sz w:val="24"/>
                <w:highlight w:val="none"/>
              </w:rPr>
              <w:t>根据《中华人民共和国环境保护法》（主席令2014年第9号）、《中华人民共和国环境影响评价法》（2018年12月29日修订）、《建设项目环境保护管理条例》（20</w:t>
            </w:r>
            <w:r>
              <w:rPr>
                <w:rFonts w:ascii="Times New Roman" w:hAnsi="Times New Roman" w:cs="ËÎÌå"/>
                <w:kern w:val="0"/>
                <w:sz w:val="24"/>
                <w:szCs w:val="24"/>
                <w:highlight w:val="none"/>
              </w:rPr>
              <w:t>17年10月1日施行）</w:t>
            </w:r>
            <w:r>
              <w:rPr>
                <w:rFonts w:hint="eastAsia" w:ascii="Times New Roman" w:hAnsi="Times New Roman" w:cs="ËÎÌå"/>
                <w:kern w:val="0"/>
                <w:sz w:val="24"/>
                <w:szCs w:val="24"/>
                <w:highlight w:val="none"/>
              </w:rPr>
              <w:t>等相关要求，建设项目需履行环境影响评价手续。对照国民经济行业分类(GB/T 4754-2017)，项目属于C3670汽车零部件制造业，且项目</w:t>
            </w:r>
            <w:r>
              <w:rPr>
                <w:rFonts w:hint="eastAsia" w:ascii="Times New Roman" w:hAnsi="Times New Roman" w:eastAsia="宋体" w:cs="Times New Roman"/>
                <w:sz w:val="24"/>
                <w:highlight w:val="none"/>
              </w:rPr>
              <w:t>不涉及电镀工艺亦不使用溶剂型涂料，</w:t>
            </w:r>
            <w:r>
              <w:rPr>
                <w:rFonts w:hint="eastAsia" w:ascii="Times New Roman" w:hAnsi="Times New Roman" w:cs="ËÎÌå"/>
                <w:kern w:val="0"/>
                <w:sz w:val="24"/>
                <w:szCs w:val="24"/>
                <w:highlight w:val="none"/>
              </w:rPr>
              <w:t>对照</w:t>
            </w:r>
            <w:r>
              <w:rPr>
                <w:rFonts w:ascii="Times New Roman" w:hAnsi="Times New Roman" w:cs="ËÎÌå"/>
                <w:kern w:val="0"/>
                <w:sz w:val="24"/>
                <w:szCs w:val="24"/>
                <w:highlight w:val="none"/>
              </w:rPr>
              <w:t>《建设项目环境影响评价分类管理名录》（2021年版）</w:t>
            </w:r>
            <w:r>
              <w:rPr>
                <w:rFonts w:hint="eastAsia" w:ascii="Times New Roman" w:hAnsi="Times New Roman" w:cs="ËÎÌå"/>
                <w:kern w:val="0"/>
                <w:sz w:val="24"/>
                <w:szCs w:val="24"/>
                <w:highlight w:val="none"/>
              </w:rPr>
              <w:t>，</w:t>
            </w:r>
            <w:r>
              <w:rPr>
                <w:rFonts w:hint="eastAsia" w:ascii="Times New Roman" w:hAnsi="Times New Roman" w:eastAsia="宋体" w:cs="Times New Roman"/>
                <w:sz w:val="24"/>
                <w:highlight w:val="none"/>
              </w:rPr>
              <w:t>本项目</w:t>
            </w:r>
            <w:r>
              <w:rPr>
                <w:rFonts w:ascii="Times New Roman" w:hAnsi="Times New Roman" w:cs="ËÎÌå"/>
                <w:kern w:val="0"/>
                <w:sz w:val="24"/>
                <w:szCs w:val="24"/>
                <w:highlight w:val="none"/>
              </w:rPr>
              <w:t>属于</w:t>
            </w:r>
            <w:r>
              <w:rPr>
                <w:rFonts w:hint="eastAsia" w:ascii="Times New Roman" w:hAnsi="Times New Roman" w:cs="ËÎÌå"/>
                <w:kern w:val="0"/>
                <w:sz w:val="24"/>
                <w:szCs w:val="24"/>
                <w:highlight w:val="none"/>
              </w:rPr>
              <w:t>“三十三汽车制造业中的“其他””，项目年</w:t>
            </w:r>
            <w:r>
              <w:rPr>
                <w:rStyle w:val="22"/>
                <w:rFonts w:hint="eastAsia"/>
                <w:sz w:val="24"/>
                <w:szCs w:val="24"/>
                <w:highlight w:val="none"/>
              </w:rPr>
              <w:t>使用</w:t>
            </w:r>
            <w:r>
              <w:rPr>
                <w:rFonts w:hint="eastAsia" w:ascii="Times New Roman" w:hAnsi="Times New Roman" w:cs="ËÎÌå"/>
                <w:kern w:val="0"/>
                <w:sz w:val="24"/>
                <w:szCs w:val="24"/>
                <w:highlight w:val="none"/>
              </w:rPr>
              <w:t>漆料量约为5</w:t>
            </w:r>
            <w:r>
              <w:rPr>
                <w:rFonts w:hint="eastAsia" w:ascii="Times New Roman" w:hAnsi="Times New Roman" w:cs="ËÎÌå"/>
                <w:kern w:val="0"/>
                <w:sz w:val="24"/>
                <w:szCs w:val="24"/>
                <w:highlight w:val="none"/>
                <w:lang w:val="en-US" w:eastAsia="zh-CN"/>
              </w:rPr>
              <w:t>4.265</w:t>
            </w:r>
            <w:r>
              <w:rPr>
                <w:rFonts w:hint="eastAsia" w:ascii="Times New Roman" w:hAnsi="Times New Roman" w:cs="ËÎÌå"/>
                <w:kern w:val="0"/>
                <w:sz w:val="24"/>
                <w:szCs w:val="24"/>
                <w:highlight w:val="none"/>
              </w:rPr>
              <w:t>吨，需要</w:t>
            </w:r>
            <w:r>
              <w:rPr>
                <w:rFonts w:ascii="Times New Roman" w:hAnsi="Times New Roman" w:cs="ËÎÌå"/>
                <w:kern w:val="0"/>
                <w:sz w:val="24"/>
                <w:szCs w:val="24"/>
                <w:highlight w:val="none"/>
              </w:rPr>
              <w:t>编制环境影响报告表</w:t>
            </w:r>
            <w:r>
              <w:rPr>
                <w:rFonts w:hint="eastAsia" w:ascii="Times New Roman" w:hAnsi="Times New Roman" w:cs="ËÎÌå"/>
                <w:kern w:val="0"/>
                <w:sz w:val="24"/>
                <w:szCs w:val="24"/>
                <w:highlight w:val="none"/>
              </w:rPr>
              <w:t>。报告类别详细判定过程见下表。</w:t>
            </w:r>
          </w:p>
          <w:p w14:paraId="761ED124">
            <w:pPr>
              <w:spacing w:line="360" w:lineRule="auto"/>
              <w:jc w:val="center"/>
              <w:rPr>
                <w:rFonts w:ascii="Times New Roman" w:hAnsi="Times New Roman" w:eastAsia="黑体" w:cs="Times New Roman"/>
                <w:kern w:val="0"/>
                <w:sz w:val="24"/>
                <w:szCs w:val="24"/>
                <w:highlight w:val="none"/>
              </w:rPr>
            </w:pPr>
            <w:r>
              <w:rPr>
                <w:rFonts w:ascii="Times New Roman" w:hAnsi="Times New Roman" w:eastAsia="黑体" w:cs="Times New Roman"/>
                <w:sz w:val="24"/>
                <w:szCs w:val="24"/>
                <w:highlight w:val="none"/>
              </w:rPr>
              <w:t>表</w:t>
            </w:r>
            <w:r>
              <w:rPr>
                <w:rFonts w:hint="eastAsia" w:ascii="Times New Roman" w:hAnsi="Times New Roman" w:eastAsia="黑体" w:cs="Times New Roman"/>
                <w:sz w:val="24"/>
                <w:szCs w:val="24"/>
                <w:highlight w:val="none"/>
              </w:rPr>
              <w:t xml:space="preserve">2-1  </w:t>
            </w:r>
            <w:r>
              <w:rPr>
                <w:rFonts w:ascii="Times New Roman" w:hAnsi="Times New Roman" w:eastAsia="黑体" w:cs="Times New Roman"/>
                <w:sz w:val="24"/>
                <w:szCs w:val="24"/>
                <w:highlight w:val="none"/>
              </w:rPr>
              <w:t>环境影响评价报告类别</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3074"/>
              <w:gridCol w:w="2826"/>
              <w:gridCol w:w="1574"/>
              <w:gridCol w:w="926"/>
            </w:tblGrid>
            <w:tr w14:paraId="581FA64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1830" w:type="pct"/>
                  <w:tcBorders>
                    <w:top w:val="single" w:color="auto" w:sz="12" w:space="0"/>
                    <w:left w:val="nil"/>
                    <w:bottom w:val="single" w:color="auto" w:sz="6" w:space="0"/>
                    <w:right w:val="single" w:color="auto" w:sz="6" w:space="0"/>
                    <w:tl2br w:val="single" w:color="auto" w:sz="6" w:space="0"/>
                  </w:tcBorders>
                  <w:vAlign w:val="center"/>
                </w:tcPr>
                <w:p w14:paraId="5718C9C8">
                  <w:pPr>
                    <w:spacing w:line="276" w:lineRule="auto"/>
                    <w:jc w:val="right"/>
                    <w:rPr>
                      <w:rFonts w:ascii="Times New Roman" w:hAnsi="Times New Roman" w:cs="Times New Roman"/>
                      <w:b/>
                      <w:szCs w:val="21"/>
                      <w:highlight w:val="none"/>
                    </w:rPr>
                  </w:pPr>
                  <w:r>
                    <w:rPr>
                      <w:rFonts w:ascii="Times New Roman" w:hAnsi="Times New Roman" w:cs="Times New Roman"/>
                      <w:b/>
                      <w:szCs w:val="21"/>
                      <w:highlight w:val="none"/>
                    </w:rPr>
                    <w:t>环评类别</w:t>
                  </w:r>
                </w:p>
                <w:p w14:paraId="162819B0">
                  <w:pPr>
                    <w:spacing w:line="276" w:lineRule="auto"/>
                    <w:rPr>
                      <w:rFonts w:ascii="Times New Roman" w:hAnsi="Times New Roman" w:cs="Times New Roman"/>
                      <w:b/>
                      <w:szCs w:val="21"/>
                      <w:highlight w:val="none"/>
                    </w:rPr>
                  </w:pPr>
                  <w:r>
                    <w:rPr>
                      <w:rFonts w:ascii="Times New Roman" w:hAnsi="Times New Roman" w:cs="Times New Roman"/>
                      <w:b/>
                      <w:szCs w:val="21"/>
                      <w:highlight w:val="none"/>
                    </w:rPr>
                    <w:t>项目类别</w:t>
                  </w:r>
                </w:p>
              </w:tc>
              <w:tc>
                <w:tcPr>
                  <w:tcW w:w="1682" w:type="pct"/>
                  <w:tcBorders>
                    <w:top w:val="single" w:color="auto" w:sz="12" w:space="0"/>
                    <w:left w:val="single" w:color="auto" w:sz="6" w:space="0"/>
                    <w:bottom w:val="single" w:color="auto" w:sz="6" w:space="0"/>
                    <w:right w:val="single" w:color="auto" w:sz="6" w:space="0"/>
                  </w:tcBorders>
                  <w:vAlign w:val="center"/>
                </w:tcPr>
                <w:p w14:paraId="309588FA">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报告书</w:t>
                  </w:r>
                </w:p>
              </w:tc>
              <w:tc>
                <w:tcPr>
                  <w:tcW w:w="937" w:type="pct"/>
                  <w:tcBorders>
                    <w:top w:val="single" w:color="auto" w:sz="12" w:space="0"/>
                    <w:left w:val="single" w:color="auto" w:sz="6" w:space="0"/>
                    <w:bottom w:val="single" w:color="auto" w:sz="6" w:space="0"/>
                    <w:right w:val="single" w:color="auto" w:sz="6" w:space="0"/>
                  </w:tcBorders>
                  <w:shd w:val="clear" w:color="auto" w:fill="D8D8D8" w:themeFill="background1" w:themeFillShade="D9"/>
                  <w:vAlign w:val="center"/>
                </w:tcPr>
                <w:p w14:paraId="21CF7BC4">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报告表</w:t>
                  </w:r>
                </w:p>
              </w:tc>
              <w:tc>
                <w:tcPr>
                  <w:tcW w:w="553" w:type="pct"/>
                  <w:tcBorders>
                    <w:top w:val="single" w:color="auto" w:sz="12" w:space="0"/>
                    <w:left w:val="single" w:color="auto" w:sz="6" w:space="0"/>
                    <w:bottom w:val="single" w:color="auto" w:sz="6" w:space="0"/>
                    <w:right w:val="nil"/>
                  </w:tcBorders>
                  <w:vAlign w:val="center"/>
                </w:tcPr>
                <w:p w14:paraId="42F6F416">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登记表</w:t>
                  </w:r>
                </w:p>
              </w:tc>
            </w:tr>
            <w:tr w14:paraId="5BC9892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4"/>
                  <w:tcBorders>
                    <w:top w:val="single" w:color="auto" w:sz="6" w:space="0"/>
                    <w:left w:val="nil"/>
                    <w:bottom w:val="single" w:color="auto" w:sz="6" w:space="0"/>
                    <w:right w:val="nil"/>
                  </w:tcBorders>
                  <w:vAlign w:val="center"/>
                </w:tcPr>
                <w:p w14:paraId="54C940EA">
                  <w:pPr>
                    <w:spacing w:line="276" w:lineRule="auto"/>
                    <w:rPr>
                      <w:rFonts w:ascii="Times New Roman" w:hAnsi="Times New Roman" w:cs="Times New Roman"/>
                      <w:szCs w:val="21"/>
                      <w:highlight w:val="none"/>
                    </w:rPr>
                  </w:pPr>
                  <w:r>
                    <w:rPr>
                      <w:rFonts w:hint="eastAsia" w:ascii="Times New Roman" w:hAnsi="Times New Roman" w:cs="ËÎÌå"/>
                      <w:kern w:val="0"/>
                      <w:szCs w:val="21"/>
                      <w:highlight w:val="none"/>
                    </w:rPr>
                    <w:t>三十三、汽车制造业 36</w:t>
                  </w:r>
                </w:p>
              </w:tc>
            </w:tr>
            <w:tr w14:paraId="3F0FB95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1830" w:type="pct"/>
                  <w:tcBorders>
                    <w:top w:val="single" w:color="auto" w:sz="6" w:space="0"/>
                    <w:left w:val="nil"/>
                    <w:bottom w:val="single" w:color="auto" w:sz="12" w:space="0"/>
                    <w:right w:val="single" w:color="auto" w:sz="6" w:space="0"/>
                  </w:tcBorders>
                  <w:vAlign w:val="center"/>
                </w:tcPr>
                <w:p w14:paraId="2D798D6A">
                  <w:pPr>
                    <w:spacing w:line="276" w:lineRule="auto"/>
                    <w:jc w:val="center"/>
                    <w:rPr>
                      <w:rFonts w:ascii="Times New Roman" w:hAnsi="Times New Roman" w:eastAsia="宋体" w:cs="Times New Roman"/>
                      <w:szCs w:val="21"/>
                      <w:highlight w:val="none"/>
                    </w:rPr>
                  </w:pPr>
                  <w:r>
                    <w:rPr>
                      <w:rFonts w:ascii="Times New Roman" w:hAnsi="Times New Roman" w:cs="ËÎÌå"/>
                      <w:kern w:val="0"/>
                      <w:szCs w:val="21"/>
                      <w:highlight w:val="none"/>
                    </w:rPr>
                    <w:t>汽车整车制造361；汽车用发动机制造362；改装汽车制造363；低速汽车制造364；电车制造365；汽车车身、挂车制造366；汽车零部件及配件制造367</w:t>
                  </w:r>
                </w:p>
              </w:tc>
              <w:tc>
                <w:tcPr>
                  <w:tcW w:w="1682" w:type="pct"/>
                  <w:tcBorders>
                    <w:top w:val="single" w:color="auto" w:sz="6" w:space="0"/>
                    <w:left w:val="single" w:color="auto" w:sz="6" w:space="0"/>
                    <w:bottom w:val="single" w:color="auto" w:sz="12" w:space="0"/>
                    <w:right w:val="single" w:color="auto" w:sz="6" w:space="0"/>
                  </w:tcBorders>
                  <w:vAlign w:val="center"/>
                </w:tcPr>
                <w:p w14:paraId="4C41880C">
                  <w:pPr>
                    <w:spacing w:line="276" w:lineRule="auto"/>
                    <w:jc w:val="center"/>
                    <w:rPr>
                      <w:rFonts w:ascii="Times New Roman" w:hAnsi="Times New Roman" w:eastAsia="宋体" w:cs="Times New Roman"/>
                      <w:szCs w:val="21"/>
                      <w:highlight w:val="none"/>
                    </w:rPr>
                  </w:pPr>
                  <w:r>
                    <w:rPr>
                      <w:rFonts w:ascii="Times New Roman" w:hAnsi="Times New Roman" w:eastAsia="宋体" w:cs="Times New Roman"/>
                      <w:szCs w:val="21"/>
                      <w:highlight w:val="none"/>
                    </w:rPr>
                    <w:t>汽车整车制造（仅组装的除外）；汽车用发动机制造（仅组装的除外）；有电镀工艺的；年用溶剂型涂料（含稀释剂）10吨及以上的</w:t>
                  </w:r>
                </w:p>
              </w:tc>
              <w:tc>
                <w:tcPr>
                  <w:tcW w:w="937" w:type="pct"/>
                  <w:tcBorders>
                    <w:top w:val="single" w:color="auto" w:sz="6" w:space="0"/>
                    <w:left w:val="single" w:color="auto" w:sz="6" w:space="0"/>
                    <w:bottom w:val="single" w:color="auto" w:sz="12" w:space="0"/>
                    <w:right w:val="single" w:color="auto" w:sz="6" w:space="0"/>
                  </w:tcBorders>
                  <w:shd w:val="clear" w:color="auto" w:fill="D8D8D8" w:themeFill="background1" w:themeFillShade="D9"/>
                  <w:vAlign w:val="center"/>
                </w:tcPr>
                <w:p w14:paraId="4815B11B">
                  <w:pPr>
                    <w:spacing w:line="276" w:lineRule="auto"/>
                    <w:jc w:val="center"/>
                    <w:rPr>
                      <w:rFonts w:ascii="Times New Roman" w:hAnsi="Times New Roman" w:eastAsia="宋体" w:cs="Times New Roman"/>
                      <w:b/>
                      <w:kern w:val="0"/>
                      <w:szCs w:val="21"/>
                      <w:highlight w:val="none"/>
                    </w:rPr>
                  </w:pPr>
                  <w:r>
                    <w:rPr>
                      <w:rFonts w:ascii="Times New Roman" w:hAnsi="Times New Roman" w:cs="ËÎÌå"/>
                      <w:kern w:val="0"/>
                      <w:szCs w:val="21"/>
                      <w:highlight w:val="none"/>
                    </w:rPr>
                    <w:t>其他（年用非溶剂型低VOCs含量涂料10吨以下的除外）</w:t>
                  </w:r>
                </w:p>
              </w:tc>
              <w:tc>
                <w:tcPr>
                  <w:tcW w:w="553" w:type="pct"/>
                  <w:tcBorders>
                    <w:top w:val="single" w:color="auto" w:sz="6" w:space="0"/>
                    <w:left w:val="single" w:color="auto" w:sz="6" w:space="0"/>
                    <w:bottom w:val="single" w:color="auto" w:sz="12" w:space="0"/>
                    <w:right w:val="nil"/>
                  </w:tcBorders>
                  <w:vAlign w:val="center"/>
                </w:tcPr>
                <w:p w14:paraId="1D822B22">
                  <w:pPr>
                    <w:spacing w:line="276" w:lineRule="auto"/>
                    <w:jc w:val="center"/>
                    <w:rPr>
                      <w:rFonts w:ascii="Times New Roman" w:hAnsi="Times New Roman" w:eastAsia="宋体" w:cs="Times New Roman"/>
                      <w:szCs w:val="21"/>
                      <w:highlight w:val="none"/>
                    </w:rPr>
                  </w:pPr>
                  <w:r>
                    <w:rPr>
                      <w:rFonts w:ascii="Times New Roman" w:hAnsi="Times New Roman" w:eastAsia="宋体" w:cs="Times New Roman"/>
                      <w:szCs w:val="21"/>
                      <w:highlight w:val="none"/>
                    </w:rPr>
                    <w:t>/</w:t>
                  </w:r>
                </w:p>
              </w:tc>
            </w:tr>
          </w:tbl>
          <w:p w14:paraId="7853AB12">
            <w:pPr>
              <w:spacing w:line="348" w:lineRule="auto"/>
              <w:ind w:firstLine="480" w:firstLineChars="200"/>
              <w:rPr>
                <w:rFonts w:ascii="Times New Roman" w:hAnsi="宋体" w:eastAsia="宋体" w:cs="Times New Roman"/>
                <w:sz w:val="24"/>
                <w:szCs w:val="24"/>
                <w:highlight w:val="none"/>
              </w:rPr>
            </w:pPr>
            <w:r>
              <w:rPr>
                <w:rFonts w:ascii="Times New Roman" w:hAnsi="宋体" w:eastAsia="宋体" w:cs="Times New Roman"/>
                <w:sz w:val="24"/>
                <w:szCs w:val="24"/>
                <w:highlight w:val="none"/>
              </w:rPr>
              <w:t>本项目属于</w:t>
            </w:r>
            <w:r>
              <w:rPr>
                <w:rFonts w:hint="eastAsia" w:ascii="Times New Roman" w:hAnsi="宋体" w:eastAsia="宋体" w:cs="Times New Roman"/>
                <w:sz w:val="24"/>
                <w:szCs w:val="24"/>
                <w:highlight w:val="none"/>
              </w:rPr>
              <w:t>汽车零部件及配件制造</w:t>
            </w:r>
            <w:r>
              <w:rPr>
                <w:rFonts w:ascii="Times New Roman" w:hAnsi="宋体" w:eastAsia="宋体" w:cs="Times New Roman"/>
                <w:sz w:val="24"/>
                <w:szCs w:val="24"/>
                <w:highlight w:val="none"/>
              </w:rPr>
              <w:t>，对照《固定污染源排污许可分类管理名录》（</w:t>
            </w:r>
            <w:r>
              <w:rPr>
                <w:rFonts w:ascii="Times New Roman" w:hAnsi="Times New Roman" w:eastAsia="宋体" w:cs="Times New Roman"/>
                <w:sz w:val="24"/>
                <w:szCs w:val="24"/>
                <w:highlight w:val="none"/>
              </w:rPr>
              <w:t>2019</w:t>
            </w:r>
            <w:r>
              <w:rPr>
                <w:rFonts w:ascii="Times New Roman" w:hAnsi="宋体" w:eastAsia="宋体" w:cs="Times New Roman"/>
                <w:sz w:val="24"/>
                <w:szCs w:val="24"/>
                <w:highlight w:val="none"/>
              </w:rPr>
              <w:t>年版），本项目属于</w:t>
            </w:r>
            <w:r>
              <w:rPr>
                <w:rFonts w:hint="eastAsia" w:ascii="Times New Roman" w:hAnsi="宋体" w:eastAsia="宋体" w:cs="Times New Roman"/>
                <w:sz w:val="24"/>
                <w:szCs w:val="24"/>
                <w:highlight w:val="none"/>
              </w:rPr>
              <w:t>登记</w:t>
            </w:r>
            <w:r>
              <w:rPr>
                <w:rFonts w:ascii="Times New Roman" w:hAnsi="宋体" w:eastAsia="宋体" w:cs="Times New Roman"/>
                <w:sz w:val="24"/>
                <w:szCs w:val="24"/>
                <w:highlight w:val="none"/>
              </w:rPr>
              <w:t>管理，需要</w:t>
            </w:r>
            <w:r>
              <w:rPr>
                <w:rFonts w:hint="eastAsia" w:ascii="Times New Roman" w:hAnsi="宋体" w:eastAsia="宋体" w:cs="Times New Roman"/>
                <w:sz w:val="24"/>
                <w:szCs w:val="24"/>
                <w:highlight w:val="none"/>
              </w:rPr>
              <w:t>申领</w:t>
            </w:r>
            <w:r>
              <w:rPr>
                <w:rFonts w:ascii="Times New Roman" w:hAnsi="宋体" w:eastAsia="宋体" w:cs="Times New Roman"/>
                <w:sz w:val="24"/>
                <w:szCs w:val="24"/>
                <w:highlight w:val="none"/>
              </w:rPr>
              <w:t>排污许可</w:t>
            </w:r>
            <w:r>
              <w:rPr>
                <w:rFonts w:hint="eastAsia" w:ascii="Times New Roman" w:hAnsi="宋体" w:eastAsia="宋体" w:cs="Times New Roman"/>
                <w:sz w:val="24"/>
                <w:szCs w:val="24"/>
                <w:highlight w:val="none"/>
              </w:rPr>
              <w:t>证</w:t>
            </w:r>
            <w:r>
              <w:rPr>
                <w:rFonts w:ascii="Times New Roman" w:hAnsi="宋体" w:eastAsia="宋体" w:cs="Times New Roman"/>
                <w:sz w:val="24"/>
                <w:szCs w:val="24"/>
                <w:highlight w:val="none"/>
              </w:rPr>
              <w:t>。</w:t>
            </w:r>
          </w:p>
          <w:p w14:paraId="0B1D5378">
            <w:pPr>
              <w:spacing w:line="348" w:lineRule="auto"/>
              <w:ind w:firstLine="480" w:firstLineChars="200"/>
              <w:rPr>
                <w:rFonts w:ascii="Times New Roman" w:hAnsi="Times New Roman" w:eastAsia="宋体" w:cs="Times New Roman"/>
                <w:sz w:val="24"/>
                <w:szCs w:val="24"/>
                <w:highlight w:val="none"/>
              </w:rPr>
            </w:pPr>
          </w:p>
          <w:p w14:paraId="6B8354DA">
            <w:pPr>
              <w:spacing w:line="348" w:lineRule="auto"/>
              <w:ind w:firstLine="480" w:firstLineChars="200"/>
              <w:rPr>
                <w:rFonts w:ascii="Times New Roman" w:hAnsi="Times New Roman" w:eastAsia="宋体" w:cs="Times New Roman"/>
                <w:sz w:val="24"/>
                <w:szCs w:val="24"/>
                <w:highlight w:val="none"/>
              </w:rPr>
            </w:pPr>
          </w:p>
          <w:p w14:paraId="7314E29E">
            <w:pPr>
              <w:spacing w:line="348" w:lineRule="auto"/>
              <w:ind w:firstLine="480" w:firstLineChars="200"/>
              <w:rPr>
                <w:rFonts w:ascii="Times New Roman" w:hAnsi="Times New Roman" w:eastAsia="宋体" w:cs="Times New Roman"/>
                <w:sz w:val="24"/>
                <w:szCs w:val="24"/>
                <w:highlight w:val="none"/>
              </w:rPr>
            </w:pPr>
          </w:p>
          <w:p w14:paraId="2E2D9F18">
            <w:pPr>
              <w:spacing w:line="348" w:lineRule="auto"/>
              <w:jc w:val="center"/>
              <w:rPr>
                <w:rFonts w:ascii="Times New Roman" w:hAnsi="Times New Roman" w:eastAsia="黑体"/>
                <w:sz w:val="24"/>
                <w:szCs w:val="24"/>
                <w:highlight w:val="none"/>
              </w:rPr>
            </w:pPr>
            <w:r>
              <w:rPr>
                <w:rFonts w:ascii="Times New Roman" w:hAnsi="Times New Roman" w:eastAsia="黑体"/>
                <w:sz w:val="24"/>
                <w:szCs w:val="24"/>
                <w:highlight w:val="none"/>
              </w:rPr>
              <w:t>表</w:t>
            </w:r>
            <w:r>
              <w:rPr>
                <w:rFonts w:hint="eastAsia" w:ascii="Times New Roman" w:hAnsi="Times New Roman" w:eastAsia="黑体"/>
                <w:sz w:val="24"/>
                <w:szCs w:val="24"/>
                <w:highlight w:val="none"/>
              </w:rPr>
              <w:t xml:space="preserve">2-2  </w:t>
            </w:r>
            <w:r>
              <w:rPr>
                <w:rFonts w:ascii="Times New Roman" w:hAnsi="Times New Roman" w:eastAsia="黑体"/>
                <w:sz w:val="24"/>
                <w:szCs w:val="24"/>
                <w:highlight w:val="none"/>
              </w:rPr>
              <w:t>排污许可证申领类别一览表</w:t>
            </w:r>
          </w:p>
          <w:tbl>
            <w:tblPr>
              <w:tblStyle w:val="18"/>
              <w:tblW w:w="5000"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28"/>
              <w:gridCol w:w="1915"/>
              <w:gridCol w:w="3186"/>
              <w:gridCol w:w="1471"/>
            </w:tblGrid>
            <w:tr w14:paraId="2058E5CE">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825" w:type="dxa"/>
                  <w:vAlign w:val="center"/>
                </w:tcPr>
                <w:p w14:paraId="303CD3E8">
                  <w:pPr>
                    <w:spacing w:line="276" w:lineRule="auto"/>
                    <w:jc w:val="center"/>
                    <w:rPr>
                      <w:rFonts w:ascii="Times New Roman" w:hAnsi="Times New Roman" w:cs="Times New Roman"/>
                      <w:b/>
                      <w:kern w:val="0"/>
                      <w:szCs w:val="21"/>
                      <w:highlight w:val="none"/>
                    </w:rPr>
                  </w:pPr>
                  <w:r>
                    <w:rPr>
                      <w:rFonts w:ascii="Times New Roman" w:hAnsi="Times New Roman" w:cs="Times New Roman"/>
                      <w:b/>
                      <w:kern w:val="0"/>
                      <w:szCs w:val="21"/>
                      <w:highlight w:val="none"/>
                    </w:rPr>
                    <w:t>行业类别</w:t>
                  </w:r>
                </w:p>
              </w:tc>
              <w:tc>
                <w:tcPr>
                  <w:tcW w:w="1911" w:type="dxa"/>
                  <w:vAlign w:val="center"/>
                </w:tcPr>
                <w:p w14:paraId="12954770">
                  <w:pPr>
                    <w:spacing w:line="276" w:lineRule="auto"/>
                    <w:jc w:val="center"/>
                    <w:rPr>
                      <w:rFonts w:ascii="Times New Roman" w:hAnsi="Times New Roman" w:cs="Times New Roman"/>
                      <w:b/>
                      <w:kern w:val="0"/>
                      <w:szCs w:val="21"/>
                      <w:highlight w:val="none"/>
                    </w:rPr>
                  </w:pPr>
                  <w:r>
                    <w:rPr>
                      <w:rFonts w:ascii="Times New Roman" w:hAnsi="Times New Roman" w:cs="Times New Roman"/>
                      <w:b/>
                      <w:kern w:val="0"/>
                      <w:szCs w:val="21"/>
                      <w:highlight w:val="none"/>
                    </w:rPr>
                    <w:t>重点管理</w:t>
                  </w:r>
                </w:p>
              </w:tc>
              <w:tc>
                <w:tcPr>
                  <w:tcW w:w="3180" w:type="dxa"/>
                  <w:vAlign w:val="center"/>
                </w:tcPr>
                <w:p w14:paraId="5D14DCAA">
                  <w:pPr>
                    <w:spacing w:line="276" w:lineRule="auto"/>
                    <w:jc w:val="center"/>
                    <w:rPr>
                      <w:rFonts w:ascii="Times New Roman" w:hAnsi="Times New Roman" w:cs="Times New Roman"/>
                      <w:b/>
                      <w:kern w:val="0"/>
                      <w:szCs w:val="21"/>
                      <w:highlight w:val="none"/>
                    </w:rPr>
                  </w:pPr>
                  <w:r>
                    <w:rPr>
                      <w:rFonts w:ascii="Times New Roman" w:hAnsi="Times New Roman" w:cs="Times New Roman"/>
                      <w:b/>
                      <w:kern w:val="0"/>
                      <w:szCs w:val="21"/>
                      <w:highlight w:val="none"/>
                    </w:rPr>
                    <w:t>简化管理</w:t>
                  </w:r>
                </w:p>
              </w:tc>
              <w:tc>
                <w:tcPr>
                  <w:tcW w:w="1468" w:type="dxa"/>
                  <w:vAlign w:val="center"/>
                </w:tcPr>
                <w:p w14:paraId="302F7544">
                  <w:pPr>
                    <w:spacing w:line="276" w:lineRule="auto"/>
                    <w:jc w:val="center"/>
                    <w:rPr>
                      <w:rFonts w:ascii="Times New Roman" w:hAnsi="Times New Roman" w:cs="Times New Roman"/>
                      <w:b/>
                      <w:kern w:val="0"/>
                      <w:szCs w:val="21"/>
                      <w:highlight w:val="none"/>
                    </w:rPr>
                  </w:pPr>
                  <w:r>
                    <w:rPr>
                      <w:rFonts w:ascii="Times New Roman" w:hAnsi="Times New Roman" w:cs="Times New Roman"/>
                      <w:b/>
                      <w:kern w:val="0"/>
                      <w:szCs w:val="21"/>
                      <w:highlight w:val="none"/>
                    </w:rPr>
                    <w:t>登记管理</w:t>
                  </w:r>
                </w:p>
              </w:tc>
            </w:tr>
            <w:tr w14:paraId="6C393BF1">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84" w:type="dxa"/>
                  <w:gridSpan w:val="4"/>
                  <w:vAlign w:val="center"/>
                </w:tcPr>
                <w:p w14:paraId="0334F227">
                  <w:pPr>
                    <w:spacing w:line="276" w:lineRule="auto"/>
                    <w:rPr>
                      <w:rFonts w:ascii="Times New Roman" w:hAnsi="Times New Roman" w:cs="Times New Roman"/>
                      <w:kern w:val="0"/>
                      <w:szCs w:val="21"/>
                      <w:highlight w:val="none"/>
                    </w:rPr>
                  </w:pPr>
                  <w:r>
                    <w:rPr>
                      <w:rFonts w:hint="eastAsia" w:ascii="Times New Roman" w:hAnsi="Times New Roman" w:cs="Times New Roman"/>
                      <w:kern w:val="0"/>
                      <w:szCs w:val="21"/>
                      <w:highlight w:val="none"/>
                    </w:rPr>
                    <w:t>三十一、汽车制造</w:t>
                  </w:r>
                  <w:r>
                    <w:rPr>
                      <w:rFonts w:ascii="Times New Roman" w:hAnsi="Times New Roman" w:cs="Times New Roman"/>
                      <w:kern w:val="0"/>
                      <w:szCs w:val="21"/>
                      <w:highlight w:val="none"/>
                    </w:rPr>
                    <w:t>业</w:t>
                  </w:r>
                  <w:r>
                    <w:rPr>
                      <w:rFonts w:hint="eastAsia" w:ascii="Times New Roman" w:hAnsi="Times New Roman" w:cs="Times New Roman"/>
                      <w:kern w:val="0"/>
                      <w:szCs w:val="21"/>
                      <w:highlight w:val="none"/>
                    </w:rPr>
                    <w:t>36</w:t>
                  </w:r>
                </w:p>
              </w:tc>
            </w:tr>
            <w:tr w14:paraId="4054172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825" w:type="dxa"/>
                  <w:vAlign w:val="center"/>
                </w:tcPr>
                <w:p w14:paraId="65B93AB2">
                  <w:pPr>
                    <w:spacing w:line="276" w:lineRule="auto"/>
                    <w:jc w:val="center"/>
                    <w:rPr>
                      <w:rFonts w:ascii="Times New Roman" w:hAnsi="Times New Roman" w:cs="Times New Roman"/>
                      <w:kern w:val="0"/>
                      <w:szCs w:val="21"/>
                      <w:highlight w:val="none"/>
                    </w:rPr>
                  </w:pPr>
                  <w:r>
                    <w:rPr>
                      <w:rFonts w:ascii="Times New Roman" w:hAnsi="Times New Roman" w:cs="Times New Roman"/>
                      <w:kern w:val="0"/>
                      <w:szCs w:val="21"/>
                      <w:highlight w:val="none"/>
                    </w:rPr>
                    <w:t>汽车整车制造361，汽车用发动机制造362，改装汽车制造363，低速汽车制造364，电车制造365，汽车车身、挂车制造366，汽车零部件及配件制造367</w:t>
                  </w:r>
                </w:p>
              </w:tc>
              <w:tc>
                <w:tcPr>
                  <w:tcW w:w="1911" w:type="dxa"/>
                  <w:vAlign w:val="center"/>
                </w:tcPr>
                <w:p w14:paraId="649FF789">
                  <w:pPr>
                    <w:spacing w:line="276" w:lineRule="auto"/>
                    <w:jc w:val="center"/>
                    <w:rPr>
                      <w:rFonts w:ascii="Times New Roman" w:hAnsi="Times New Roman" w:cs="Times New Roman"/>
                      <w:kern w:val="0"/>
                      <w:szCs w:val="21"/>
                      <w:highlight w:val="none"/>
                    </w:rPr>
                  </w:pPr>
                  <w:r>
                    <w:rPr>
                      <w:rFonts w:ascii="Times New Roman" w:hAnsi="Times New Roman" w:cs="Times New Roman"/>
                      <w:kern w:val="0"/>
                      <w:szCs w:val="21"/>
                      <w:highlight w:val="none"/>
                    </w:rPr>
                    <w:t>纳入重点排污单位名录的</w:t>
                  </w:r>
                </w:p>
              </w:tc>
              <w:tc>
                <w:tcPr>
                  <w:tcW w:w="3180" w:type="dxa"/>
                  <w:shd w:val="clear" w:color="auto" w:fill="auto"/>
                  <w:vAlign w:val="center"/>
                </w:tcPr>
                <w:p w14:paraId="0C3A3549">
                  <w:pPr>
                    <w:spacing w:line="276" w:lineRule="auto"/>
                    <w:jc w:val="center"/>
                    <w:rPr>
                      <w:rFonts w:ascii="Times New Roman" w:hAnsi="Times New Roman" w:cs="Times New Roman"/>
                      <w:kern w:val="0"/>
                      <w:szCs w:val="21"/>
                      <w:highlight w:val="none"/>
                    </w:rPr>
                  </w:pPr>
                  <w:r>
                    <w:rPr>
                      <w:rFonts w:ascii="Times New Roman" w:hAnsi="Times New Roman" w:cs="Times New Roman"/>
                      <w:kern w:val="0"/>
                      <w:szCs w:val="21"/>
                      <w:highlight w:val="none"/>
                    </w:rPr>
                    <w:t>除重点管理以外的汽车整车制造361，除重点管理以外的年使用10吨及以上溶剂型涂料或者胶粘剂（含稀释剂、固化剂、清洗溶剂）的汽车用发动机制造362、改装汽车制造363、低速汽车制造364、电车制造365、汽车车身、挂车制造366、汽车零部件及配件制造367</w:t>
                  </w:r>
                </w:p>
              </w:tc>
              <w:tc>
                <w:tcPr>
                  <w:tcW w:w="1468" w:type="dxa"/>
                  <w:shd w:val="clear" w:color="auto" w:fill="D8D8D8" w:themeFill="background1" w:themeFillShade="D9"/>
                  <w:vAlign w:val="center"/>
                </w:tcPr>
                <w:p w14:paraId="73A7CFE6">
                  <w:pPr>
                    <w:spacing w:line="276" w:lineRule="auto"/>
                    <w:jc w:val="center"/>
                    <w:rPr>
                      <w:rFonts w:ascii="Times New Roman" w:hAnsi="Times New Roman" w:cs="Times New Roman"/>
                      <w:kern w:val="0"/>
                      <w:szCs w:val="21"/>
                      <w:highlight w:val="none"/>
                    </w:rPr>
                  </w:pPr>
                  <w:r>
                    <w:rPr>
                      <w:rFonts w:ascii="Times New Roman" w:hAnsi="Times New Roman" w:cs="Times New Roman"/>
                      <w:kern w:val="0"/>
                      <w:szCs w:val="21"/>
                      <w:highlight w:val="none"/>
                    </w:rPr>
                    <w:t>其他</w:t>
                  </w:r>
                </w:p>
              </w:tc>
            </w:tr>
          </w:tbl>
          <w:p w14:paraId="1EAC681C">
            <w:pPr>
              <w:spacing w:line="360" w:lineRule="auto"/>
              <w:ind w:firstLine="480" w:firstLineChars="200"/>
              <w:rPr>
                <w:rFonts w:ascii="Times New Roman" w:hAnsi="Times New Roman" w:cs="Times New Roman"/>
                <w:sz w:val="24"/>
                <w:highlight w:val="none"/>
              </w:rPr>
            </w:pPr>
            <w:r>
              <w:rPr>
                <w:rFonts w:hint="eastAsia" w:ascii="Times New Roman" w:hAnsi="Times New Roman" w:cs="Times New Roman"/>
                <w:sz w:val="24"/>
                <w:szCs w:val="24"/>
                <w:highlight w:val="none"/>
              </w:rPr>
              <w:t>安徽鑫辰汽车零部件有限公司</w:t>
            </w:r>
            <w:r>
              <w:rPr>
                <w:rFonts w:ascii="Times New Roman" w:hAnsi="Times New Roman" w:cs="Times New Roman"/>
                <w:sz w:val="24"/>
                <w:highlight w:val="none"/>
              </w:rPr>
              <w:t>委托我公司为该项目进行环境影响评价。我公司在接受委托后，立即到现场踏勘，认真了解项目所在区域的周边环境情况，收集了有关资料，编写完成本项目的环境影响报告表，现呈报生态环境主管部门审批。</w:t>
            </w:r>
          </w:p>
          <w:p w14:paraId="2BD8AB89">
            <w:pPr>
              <w:spacing w:line="360" w:lineRule="auto"/>
              <w:ind w:firstLine="482" w:firstLineChars="200"/>
              <w:rPr>
                <w:rFonts w:ascii="Times New Roman" w:hAnsi="Times New Roman" w:cs="Times New Roman"/>
                <w:b/>
                <w:sz w:val="24"/>
                <w:highlight w:val="none"/>
              </w:rPr>
            </w:pPr>
            <w:r>
              <w:rPr>
                <w:rFonts w:hint="eastAsia" w:ascii="Times New Roman" w:hAnsi="Times New Roman" w:cs="Times New Roman"/>
                <w:b/>
                <w:sz w:val="24"/>
                <w:highlight w:val="none"/>
              </w:rPr>
              <w:t>2</w:t>
            </w:r>
            <w:r>
              <w:rPr>
                <w:rFonts w:ascii="Times New Roman" w:hAnsi="Times New Roman" w:cs="Times New Roman"/>
                <w:b/>
                <w:sz w:val="24"/>
                <w:highlight w:val="none"/>
              </w:rPr>
              <w:t>、建设规模及内容</w:t>
            </w:r>
          </w:p>
          <w:p w14:paraId="1F29D442">
            <w:pPr>
              <w:spacing w:line="360" w:lineRule="auto"/>
              <w:ind w:firstLine="480" w:firstLineChars="200"/>
              <w:rPr>
                <w:rFonts w:ascii="Times New Roman" w:hAnsi="Times New Roman" w:cs="Times New Roman"/>
                <w:sz w:val="24"/>
                <w:highlight w:val="none"/>
              </w:rPr>
            </w:pPr>
            <w:r>
              <w:rPr>
                <w:rFonts w:ascii="Times New Roman" w:hAnsi="Times New Roman" w:cs="Times New Roman"/>
                <w:sz w:val="24"/>
                <w:highlight w:val="none"/>
              </w:rPr>
              <w:t>项目名称：</w:t>
            </w:r>
            <w:r>
              <w:rPr>
                <w:rFonts w:hint="eastAsia" w:ascii="Times New Roman" w:hAnsi="Times New Roman" w:cs="Times New Roman"/>
                <w:bCs/>
                <w:sz w:val="24"/>
                <w:highlight w:val="none"/>
              </w:rPr>
              <w:t>年产200万套汽车零部件项目</w:t>
            </w:r>
          </w:p>
          <w:p w14:paraId="0F34F18C">
            <w:pPr>
              <w:spacing w:line="360" w:lineRule="auto"/>
              <w:ind w:firstLine="480" w:firstLineChars="200"/>
              <w:rPr>
                <w:rFonts w:ascii="Times New Roman" w:hAnsi="Times New Roman" w:cs="Times New Roman"/>
                <w:bCs/>
                <w:sz w:val="24"/>
                <w:highlight w:val="none"/>
              </w:rPr>
            </w:pPr>
            <w:r>
              <w:rPr>
                <w:rFonts w:ascii="Times New Roman" w:hAnsi="Times New Roman" w:cs="Times New Roman"/>
                <w:bCs/>
                <w:sz w:val="24"/>
                <w:highlight w:val="none"/>
              </w:rPr>
              <w:t>建设单位：</w:t>
            </w:r>
            <w:r>
              <w:rPr>
                <w:rFonts w:hint="eastAsia" w:ascii="Times New Roman" w:hAnsi="Times New Roman" w:cs="Times New Roman"/>
                <w:sz w:val="24"/>
                <w:szCs w:val="24"/>
                <w:highlight w:val="none"/>
              </w:rPr>
              <w:t>安徽鑫辰汽车零部件有限公司</w:t>
            </w:r>
          </w:p>
          <w:p w14:paraId="1F5B6F78">
            <w:pPr>
              <w:spacing w:line="360" w:lineRule="auto"/>
              <w:ind w:firstLine="480" w:firstLineChars="200"/>
              <w:rPr>
                <w:rFonts w:ascii="Times New Roman" w:hAnsi="Times New Roman" w:cs="Times New Roman"/>
                <w:bCs/>
                <w:sz w:val="24"/>
                <w:highlight w:val="none"/>
              </w:rPr>
            </w:pPr>
            <w:r>
              <w:rPr>
                <w:rFonts w:ascii="Times New Roman" w:hAnsi="Times New Roman" w:cs="Times New Roman"/>
                <w:bCs/>
                <w:sz w:val="24"/>
                <w:highlight w:val="none"/>
              </w:rPr>
              <w:t>项目性质：新建</w:t>
            </w:r>
          </w:p>
          <w:p w14:paraId="40C3DC43">
            <w:pPr>
              <w:spacing w:line="360" w:lineRule="auto"/>
              <w:ind w:firstLine="480" w:firstLineChars="200"/>
              <w:rPr>
                <w:rFonts w:ascii="Times New Roman" w:hAnsi="Times New Roman" w:cs="Times New Roman"/>
                <w:bCs/>
                <w:sz w:val="24"/>
                <w:highlight w:val="none"/>
              </w:rPr>
            </w:pPr>
            <w:r>
              <w:rPr>
                <w:rFonts w:ascii="Times New Roman" w:hAnsi="Times New Roman" w:cs="Times New Roman"/>
                <w:bCs/>
                <w:sz w:val="24"/>
                <w:highlight w:val="none"/>
              </w:rPr>
              <w:t>投资总额：</w:t>
            </w:r>
            <w:r>
              <w:rPr>
                <w:rFonts w:hint="eastAsia" w:ascii="Times New Roman" w:hAnsi="Times New Roman" w:cs="Times New Roman"/>
                <w:bCs/>
                <w:sz w:val="24"/>
                <w:highlight w:val="none"/>
              </w:rPr>
              <w:t>10000</w:t>
            </w:r>
            <w:r>
              <w:rPr>
                <w:rFonts w:ascii="Times New Roman" w:hAnsi="Times New Roman" w:cs="Times New Roman"/>
                <w:bCs/>
                <w:sz w:val="24"/>
                <w:highlight w:val="none"/>
              </w:rPr>
              <w:t>万元</w:t>
            </w:r>
          </w:p>
          <w:p w14:paraId="628FC742">
            <w:pPr>
              <w:spacing w:line="360" w:lineRule="auto"/>
              <w:ind w:firstLine="480" w:firstLineChars="200"/>
              <w:rPr>
                <w:rFonts w:ascii="Times New Roman" w:hAnsi="Times New Roman" w:cs="Times New Roman"/>
                <w:bCs/>
                <w:sz w:val="24"/>
                <w:highlight w:val="none"/>
              </w:rPr>
            </w:pPr>
            <w:r>
              <w:rPr>
                <w:rFonts w:ascii="Times New Roman" w:hAnsi="Times New Roman" w:cs="Times New Roman"/>
                <w:bCs/>
                <w:sz w:val="24"/>
                <w:highlight w:val="none"/>
              </w:rPr>
              <w:t>建设地点：安徽省</w:t>
            </w:r>
            <w:r>
              <w:rPr>
                <w:rFonts w:hint="eastAsia" w:ascii="Times New Roman" w:hAnsi="Times New Roman" w:cs="Times New Roman"/>
                <w:bCs/>
                <w:sz w:val="24"/>
                <w:highlight w:val="none"/>
              </w:rPr>
              <w:t>淮南市谢家集区</w:t>
            </w:r>
            <w:r>
              <w:rPr>
                <w:rFonts w:ascii="Times New Roman" w:hAnsi="Times New Roman" w:cs="Times New Roman"/>
                <w:bCs/>
                <w:sz w:val="24"/>
                <w:highlight w:val="none"/>
              </w:rPr>
              <w:t>汽配产业园</w:t>
            </w:r>
            <w:r>
              <w:rPr>
                <w:rFonts w:hint="eastAsia" w:ascii="Times New Roman" w:hAnsi="Times New Roman" w:cs="Times New Roman"/>
                <w:bCs/>
                <w:sz w:val="24"/>
                <w:highlight w:val="none"/>
              </w:rPr>
              <w:t>3号厂房（</w:t>
            </w:r>
            <w:r>
              <w:rPr>
                <w:rFonts w:ascii="Times New Roman" w:hAnsi="Times New Roman" w:cs="Times New Roman"/>
                <w:bCs/>
                <w:sz w:val="24"/>
                <w:highlight w:val="none"/>
              </w:rPr>
              <w:t>项目区域地块中心地理坐标为E：</w:t>
            </w:r>
            <w:r>
              <w:rPr>
                <w:rFonts w:ascii="Times New Roman" w:hAnsi="Times New Roman" w:eastAsia="宋体" w:cs="Times New Roman"/>
                <w:sz w:val="24"/>
                <w:highlight w:val="none"/>
              </w:rPr>
              <w:t>11</w:t>
            </w:r>
            <w:r>
              <w:rPr>
                <w:rFonts w:hint="eastAsia" w:ascii="Times New Roman" w:hAnsi="Times New Roman" w:eastAsia="宋体" w:cs="Times New Roman"/>
                <w:sz w:val="24"/>
                <w:highlight w:val="none"/>
              </w:rPr>
              <w:t>6</w:t>
            </w:r>
            <w:r>
              <w:rPr>
                <w:rFonts w:ascii="Times New Roman" w:hAnsi="Times New Roman" w:cs="Times New Roman"/>
                <w:bCs/>
                <w:sz w:val="24"/>
                <w:highlight w:val="none"/>
              </w:rPr>
              <w:t>°</w:t>
            </w:r>
            <w:r>
              <w:rPr>
                <w:rFonts w:hint="eastAsia" w:ascii="Times New Roman" w:hAnsi="Times New Roman" w:cs="Times New Roman"/>
                <w:bCs/>
                <w:sz w:val="24"/>
                <w:highlight w:val="none"/>
              </w:rPr>
              <w:t>54</w:t>
            </w:r>
            <w:r>
              <w:rPr>
                <w:rFonts w:ascii="Times New Roman" w:hAnsi="Times New Roman" w:cs="Times New Roman"/>
                <w:bCs/>
                <w:sz w:val="24"/>
                <w:highlight w:val="none"/>
              </w:rPr>
              <w:t>′</w:t>
            </w:r>
            <w:r>
              <w:rPr>
                <w:rFonts w:hint="eastAsia" w:ascii="Times New Roman" w:hAnsi="Times New Roman" w:cs="Times New Roman"/>
                <w:bCs/>
                <w:sz w:val="24"/>
                <w:highlight w:val="none"/>
              </w:rPr>
              <w:t>16.423</w:t>
            </w:r>
            <w:r>
              <w:rPr>
                <w:rFonts w:ascii="Times New Roman" w:hAnsi="Times New Roman" w:cs="Times New Roman"/>
                <w:bCs/>
                <w:sz w:val="24"/>
                <w:highlight w:val="none"/>
              </w:rPr>
              <w:t>″，N：</w:t>
            </w:r>
            <w:r>
              <w:rPr>
                <w:rFonts w:ascii="Times New Roman" w:hAnsi="Times New Roman" w:eastAsia="宋体" w:cs="Times New Roman"/>
                <w:sz w:val="24"/>
                <w:highlight w:val="none"/>
              </w:rPr>
              <w:t>3</w:t>
            </w:r>
            <w:r>
              <w:rPr>
                <w:rFonts w:hint="eastAsia" w:ascii="Times New Roman" w:hAnsi="Times New Roman" w:eastAsia="宋体" w:cs="Times New Roman"/>
                <w:sz w:val="24"/>
                <w:highlight w:val="none"/>
              </w:rPr>
              <w:t>2</w:t>
            </w:r>
            <w:r>
              <w:rPr>
                <w:rFonts w:ascii="Times New Roman" w:hAnsi="Times New Roman" w:cs="Times New Roman"/>
                <w:bCs/>
                <w:sz w:val="24"/>
                <w:highlight w:val="none"/>
              </w:rPr>
              <w:t>°</w:t>
            </w:r>
            <w:r>
              <w:rPr>
                <w:rFonts w:hint="eastAsia" w:ascii="Times New Roman" w:hAnsi="Times New Roman" w:cs="Times New Roman"/>
                <w:bCs/>
                <w:sz w:val="24"/>
                <w:highlight w:val="none"/>
              </w:rPr>
              <w:t>33</w:t>
            </w:r>
            <w:r>
              <w:rPr>
                <w:rFonts w:ascii="Times New Roman" w:hAnsi="Times New Roman" w:cs="Times New Roman"/>
                <w:bCs/>
                <w:sz w:val="24"/>
                <w:highlight w:val="none"/>
              </w:rPr>
              <w:t>′</w:t>
            </w:r>
            <w:r>
              <w:rPr>
                <w:rFonts w:hint="eastAsia" w:ascii="Times New Roman" w:hAnsi="Times New Roman" w:cs="Times New Roman"/>
                <w:bCs/>
                <w:sz w:val="24"/>
                <w:highlight w:val="none"/>
              </w:rPr>
              <w:t>33.031</w:t>
            </w:r>
            <w:r>
              <w:rPr>
                <w:rFonts w:ascii="Times New Roman" w:hAnsi="Times New Roman" w:cs="Times New Roman"/>
                <w:bCs/>
                <w:sz w:val="24"/>
                <w:highlight w:val="none"/>
              </w:rPr>
              <w:t>″</w:t>
            </w:r>
            <w:r>
              <w:rPr>
                <w:rFonts w:hint="eastAsia" w:ascii="Times New Roman" w:hAnsi="Times New Roman" w:cs="Times New Roman"/>
                <w:bCs/>
                <w:sz w:val="24"/>
                <w:highlight w:val="none"/>
              </w:rPr>
              <w:t>）。</w:t>
            </w:r>
          </w:p>
          <w:p w14:paraId="22BBB30A">
            <w:pPr>
              <w:spacing w:line="360" w:lineRule="auto"/>
              <w:ind w:firstLine="480" w:firstLineChars="200"/>
              <w:rPr>
                <w:rFonts w:ascii="Times New Roman" w:hAnsi="Times New Roman" w:eastAsia="宋体" w:cs="Times New Roman"/>
                <w:b/>
                <w:bCs/>
                <w:sz w:val="24"/>
                <w:szCs w:val="24"/>
                <w:highlight w:val="none"/>
              </w:rPr>
            </w:pPr>
            <w:r>
              <w:rPr>
                <w:rFonts w:ascii="Times New Roman" w:hAnsi="Times New Roman" w:cs="Times New Roman"/>
                <w:sz w:val="24"/>
                <w:highlight w:val="none"/>
              </w:rPr>
              <w:t>本项目</w:t>
            </w:r>
            <w:r>
              <w:rPr>
                <w:rFonts w:hint="eastAsia" w:ascii="Times New Roman" w:hAnsi="Times New Roman" w:cs="Times New Roman"/>
                <w:sz w:val="24"/>
                <w:highlight w:val="none"/>
              </w:rPr>
              <w:t>租赁安徽省</w:t>
            </w:r>
            <w:r>
              <w:rPr>
                <w:rFonts w:hint="eastAsia" w:ascii="Times New Roman" w:hAnsi="Times New Roman" w:cs="Times New Roman"/>
                <w:bCs/>
                <w:sz w:val="24"/>
                <w:highlight w:val="none"/>
              </w:rPr>
              <w:t>淮南市谢家集区</w:t>
            </w:r>
            <w:r>
              <w:rPr>
                <w:rFonts w:ascii="Times New Roman" w:hAnsi="Times New Roman" w:cs="Times New Roman"/>
                <w:bCs/>
                <w:sz w:val="24"/>
                <w:highlight w:val="none"/>
              </w:rPr>
              <w:t>汽配产业园</w:t>
            </w:r>
            <w:r>
              <w:rPr>
                <w:rFonts w:hint="eastAsia" w:ascii="Times New Roman" w:hAnsi="Times New Roman" w:cs="Times New Roman"/>
                <w:bCs/>
                <w:sz w:val="24"/>
                <w:highlight w:val="none"/>
              </w:rPr>
              <w:t>3号厂房</w:t>
            </w:r>
            <w:r>
              <w:rPr>
                <w:rFonts w:hint="eastAsia" w:ascii="Times New Roman" w:hAnsi="Times New Roman" w:cs="Times New Roman"/>
                <w:sz w:val="24"/>
                <w:highlight w:val="none"/>
              </w:rPr>
              <w:t>，用于涂装生产线建设，建设</w:t>
            </w:r>
            <w:r>
              <w:rPr>
                <w:rFonts w:hint="eastAsia" w:ascii="Times New Roman" w:hAnsi="Times New Roman" w:cs="Times New Roman"/>
                <w:bCs/>
                <w:sz w:val="24"/>
                <w:highlight w:val="none"/>
              </w:rPr>
              <w:t>年产200万套汽车零部件项目</w:t>
            </w:r>
            <w:r>
              <w:rPr>
                <w:rFonts w:hint="eastAsia" w:ascii="Times New Roman" w:hAnsi="Times New Roman" w:cs="Times New Roman"/>
                <w:sz w:val="24"/>
                <w:highlight w:val="none"/>
              </w:rPr>
              <w:t>。</w:t>
            </w:r>
            <w:r>
              <w:rPr>
                <w:rFonts w:ascii="Times New Roman" w:hAnsi="Times New Roman" w:cs="Times New Roman"/>
                <w:sz w:val="24"/>
                <w:highlight w:val="none"/>
              </w:rPr>
              <w:t>项目主要工程内容详见</w:t>
            </w:r>
            <w:r>
              <w:rPr>
                <w:rFonts w:hint="eastAsia" w:ascii="Times New Roman" w:hAnsi="Times New Roman" w:cs="Times New Roman"/>
                <w:sz w:val="24"/>
                <w:highlight w:val="none"/>
              </w:rPr>
              <w:t>下表。项目总平面图见附图3。</w:t>
            </w:r>
          </w:p>
          <w:p w14:paraId="20C56A96">
            <w:pPr>
              <w:spacing w:line="360" w:lineRule="auto"/>
              <w:jc w:val="center"/>
              <w:rPr>
                <w:rFonts w:ascii="Times New Roman" w:hAnsi="Times New Roman" w:eastAsia="黑体" w:cs="Times New Roman"/>
                <w:bCs/>
                <w:sz w:val="24"/>
                <w:szCs w:val="24"/>
                <w:highlight w:val="none"/>
              </w:rPr>
            </w:pPr>
          </w:p>
          <w:p w14:paraId="083B42C3">
            <w:pPr>
              <w:spacing w:line="360" w:lineRule="auto"/>
              <w:jc w:val="center"/>
              <w:rPr>
                <w:rFonts w:ascii="Times New Roman" w:hAnsi="Times New Roman" w:eastAsia="黑体" w:cs="Times New Roman"/>
                <w:bCs/>
                <w:sz w:val="24"/>
                <w:szCs w:val="24"/>
                <w:highlight w:val="none"/>
              </w:rPr>
            </w:pPr>
          </w:p>
          <w:p w14:paraId="42CC1C56">
            <w:pPr>
              <w:spacing w:line="360" w:lineRule="auto"/>
              <w:jc w:val="center"/>
              <w:rPr>
                <w:rFonts w:ascii="Times New Roman" w:hAnsi="Times New Roman" w:eastAsia="黑体" w:cs="Times New Roman"/>
                <w:bCs/>
                <w:sz w:val="24"/>
                <w:szCs w:val="24"/>
                <w:highlight w:val="none"/>
              </w:rPr>
            </w:pPr>
          </w:p>
          <w:p w14:paraId="2B4D807F">
            <w:pPr>
              <w:spacing w:line="360" w:lineRule="auto"/>
              <w:jc w:val="center"/>
              <w:rPr>
                <w:rFonts w:ascii="Times New Roman" w:hAnsi="Times New Roman" w:eastAsia="黑体" w:cs="Times New Roman"/>
                <w:bCs/>
                <w:sz w:val="24"/>
                <w:szCs w:val="24"/>
                <w:highlight w:val="none"/>
              </w:rPr>
            </w:pPr>
          </w:p>
          <w:p w14:paraId="0A031FF0">
            <w:pPr>
              <w:spacing w:line="360" w:lineRule="auto"/>
              <w:jc w:val="center"/>
              <w:rPr>
                <w:rFonts w:ascii="Times New Roman" w:hAnsi="Times New Roman" w:eastAsia="黑体" w:cs="Times New Roman"/>
                <w:bCs/>
                <w:sz w:val="24"/>
                <w:szCs w:val="24"/>
                <w:highlight w:val="none"/>
              </w:rPr>
            </w:pPr>
          </w:p>
          <w:p w14:paraId="7787EF25">
            <w:pPr>
              <w:spacing w:line="360" w:lineRule="auto"/>
              <w:jc w:val="center"/>
              <w:rPr>
                <w:rFonts w:ascii="Times New Roman" w:hAnsi="Times New Roman" w:eastAsia="黑体" w:cs="Times New Roman"/>
                <w:bCs/>
                <w:sz w:val="24"/>
                <w:szCs w:val="24"/>
                <w:highlight w:val="none"/>
              </w:rPr>
            </w:pPr>
            <w:r>
              <w:rPr>
                <w:rFonts w:ascii="Times New Roman" w:hAnsi="Times New Roman" w:eastAsia="黑体" w:cs="Times New Roman"/>
                <w:bCs/>
                <w:sz w:val="24"/>
                <w:szCs w:val="24"/>
                <w:highlight w:val="none"/>
              </w:rPr>
              <w:t>表2</w:t>
            </w:r>
            <w:r>
              <w:rPr>
                <w:rFonts w:hint="eastAsia" w:ascii="Times New Roman" w:hAnsi="Times New Roman" w:eastAsia="黑体" w:cs="Times New Roman"/>
                <w:bCs/>
                <w:sz w:val="24"/>
                <w:szCs w:val="24"/>
                <w:highlight w:val="none"/>
              </w:rPr>
              <w:t xml:space="preserve">-3  </w:t>
            </w:r>
            <w:r>
              <w:rPr>
                <w:rFonts w:ascii="Times New Roman" w:hAnsi="Times New Roman" w:eastAsia="黑体" w:cs="Times New Roman"/>
                <w:bCs/>
                <w:sz w:val="24"/>
                <w:szCs w:val="24"/>
                <w:highlight w:val="none"/>
              </w:rPr>
              <w:t>本项目组成一览表</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868"/>
              <w:gridCol w:w="1747"/>
              <w:gridCol w:w="3843"/>
              <w:gridCol w:w="1931"/>
            </w:tblGrid>
            <w:tr w14:paraId="5948A67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Align w:val="center"/>
                </w:tcPr>
                <w:p w14:paraId="4F122E1A">
                  <w:pPr>
                    <w:spacing w:line="276" w:lineRule="auto"/>
                    <w:jc w:val="center"/>
                    <w:rPr>
                      <w:rFonts w:ascii="Times New Roman" w:hAnsi="Times New Roman" w:eastAsia="宋体" w:cs="Times New Roman"/>
                      <w:b/>
                      <w:bCs/>
                      <w:color w:val="auto"/>
                      <w:szCs w:val="21"/>
                      <w:highlight w:val="none"/>
                    </w:rPr>
                  </w:pPr>
                  <w:r>
                    <w:rPr>
                      <w:rFonts w:ascii="Times New Roman" w:hAnsi="Times New Roman" w:eastAsia="宋体" w:cs="Times New Roman"/>
                      <w:b/>
                      <w:bCs/>
                      <w:color w:val="auto"/>
                      <w:szCs w:val="21"/>
                      <w:highlight w:val="none"/>
                    </w:rPr>
                    <w:t>工程类别</w:t>
                  </w:r>
                </w:p>
              </w:tc>
              <w:tc>
                <w:tcPr>
                  <w:tcW w:w="1747" w:type="dxa"/>
                  <w:vAlign w:val="center"/>
                </w:tcPr>
                <w:p w14:paraId="1AB929AC">
                  <w:pPr>
                    <w:spacing w:line="276" w:lineRule="auto"/>
                    <w:jc w:val="center"/>
                    <w:rPr>
                      <w:rFonts w:ascii="Times New Roman" w:hAnsi="Times New Roman" w:eastAsia="宋体" w:cs="Times New Roman"/>
                      <w:b/>
                      <w:bCs/>
                      <w:color w:val="auto"/>
                      <w:szCs w:val="21"/>
                      <w:highlight w:val="none"/>
                    </w:rPr>
                  </w:pPr>
                  <w:r>
                    <w:rPr>
                      <w:rFonts w:ascii="Times New Roman" w:hAnsi="Times New Roman" w:eastAsia="宋体" w:cs="Times New Roman"/>
                      <w:b/>
                      <w:bCs/>
                      <w:color w:val="auto"/>
                      <w:szCs w:val="21"/>
                      <w:highlight w:val="none"/>
                    </w:rPr>
                    <w:t>单项工程名称</w:t>
                  </w:r>
                </w:p>
              </w:tc>
              <w:tc>
                <w:tcPr>
                  <w:tcW w:w="3843" w:type="dxa"/>
                  <w:vAlign w:val="center"/>
                </w:tcPr>
                <w:p w14:paraId="0BED75AB">
                  <w:pPr>
                    <w:spacing w:line="276" w:lineRule="auto"/>
                    <w:jc w:val="center"/>
                    <w:rPr>
                      <w:rFonts w:ascii="Times New Roman" w:hAnsi="Times New Roman" w:eastAsia="宋体" w:cs="Times New Roman"/>
                      <w:b/>
                      <w:bCs/>
                      <w:color w:val="auto"/>
                      <w:szCs w:val="21"/>
                      <w:highlight w:val="none"/>
                    </w:rPr>
                  </w:pPr>
                  <w:r>
                    <w:rPr>
                      <w:rFonts w:ascii="Times New Roman" w:hAnsi="Times New Roman" w:eastAsia="宋体" w:cs="Times New Roman"/>
                      <w:b/>
                      <w:bCs/>
                      <w:color w:val="auto"/>
                      <w:szCs w:val="21"/>
                      <w:highlight w:val="none"/>
                    </w:rPr>
                    <w:t>建设内容</w:t>
                  </w:r>
                </w:p>
              </w:tc>
              <w:tc>
                <w:tcPr>
                  <w:tcW w:w="1931" w:type="dxa"/>
                  <w:vAlign w:val="center"/>
                </w:tcPr>
                <w:p w14:paraId="7B957604">
                  <w:pPr>
                    <w:spacing w:line="276" w:lineRule="auto"/>
                    <w:jc w:val="center"/>
                    <w:rPr>
                      <w:rFonts w:ascii="Times New Roman" w:hAnsi="Times New Roman" w:eastAsia="宋体" w:cs="Times New Roman"/>
                      <w:b/>
                      <w:bCs/>
                      <w:color w:val="auto"/>
                      <w:szCs w:val="21"/>
                      <w:highlight w:val="none"/>
                    </w:rPr>
                  </w:pPr>
                  <w:r>
                    <w:rPr>
                      <w:rFonts w:ascii="Times New Roman" w:hAnsi="Times New Roman" w:eastAsia="宋体" w:cs="Times New Roman"/>
                      <w:b/>
                      <w:bCs/>
                      <w:color w:val="auto"/>
                      <w:szCs w:val="21"/>
                      <w:highlight w:val="none"/>
                    </w:rPr>
                    <w:t>建设规模</w:t>
                  </w:r>
                </w:p>
              </w:tc>
            </w:tr>
            <w:tr w14:paraId="18BD77B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restart"/>
                  <w:vAlign w:val="center"/>
                </w:tcPr>
                <w:p w14:paraId="23AB4085">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主体工程</w:t>
                  </w:r>
                </w:p>
              </w:tc>
              <w:tc>
                <w:tcPr>
                  <w:tcW w:w="1747" w:type="dxa"/>
                  <w:vAlign w:val="center"/>
                </w:tcPr>
                <w:p w14:paraId="3F524204">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打磨擦拭区</w:t>
                  </w:r>
                </w:p>
              </w:tc>
              <w:tc>
                <w:tcPr>
                  <w:tcW w:w="3843" w:type="dxa"/>
                  <w:vAlign w:val="center"/>
                </w:tcPr>
                <w:p w14:paraId="0912C721">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3楼喷底漆房南侧，主要用于汽车零部件半成品的打磨擦拭</w:t>
                  </w:r>
                </w:p>
              </w:tc>
              <w:tc>
                <w:tcPr>
                  <w:tcW w:w="1931" w:type="dxa"/>
                  <w:vMerge w:val="restart"/>
                  <w:vAlign w:val="center"/>
                </w:tcPr>
                <w:p w14:paraId="587C2667">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年</w:t>
                  </w:r>
                  <w:r>
                    <w:rPr>
                      <w:rFonts w:hint="eastAsia" w:ascii="Times New Roman" w:hAnsi="Times New Roman" w:eastAsia="宋体" w:cs="Times New Roman"/>
                      <w:bCs/>
                      <w:color w:val="auto"/>
                      <w:szCs w:val="21"/>
                      <w:highlight w:val="none"/>
                    </w:rPr>
                    <w:t>产200万套汽车零部件</w:t>
                  </w:r>
                </w:p>
              </w:tc>
            </w:tr>
            <w:tr w14:paraId="23F5AF9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5A53C36F">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730F5569">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底漆上线区</w:t>
                  </w:r>
                </w:p>
              </w:tc>
              <w:tc>
                <w:tcPr>
                  <w:tcW w:w="3843" w:type="dxa"/>
                  <w:vAlign w:val="center"/>
                </w:tcPr>
                <w:p w14:paraId="1E92A19E">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3楼底漆线南侧和2楼喷漆线南侧，主要用于喷底漆前的原料暂存</w:t>
                  </w:r>
                </w:p>
              </w:tc>
              <w:tc>
                <w:tcPr>
                  <w:tcW w:w="1931" w:type="dxa"/>
                  <w:vMerge w:val="continue"/>
                  <w:vAlign w:val="center"/>
                </w:tcPr>
                <w:p w14:paraId="08C32CF5">
                  <w:pPr>
                    <w:spacing w:line="276" w:lineRule="auto"/>
                    <w:jc w:val="center"/>
                    <w:rPr>
                      <w:rFonts w:ascii="Times New Roman" w:hAnsi="Times New Roman" w:eastAsia="宋体" w:cs="Times New Roman"/>
                      <w:bCs/>
                      <w:color w:val="auto"/>
                      <w:szCs w:val="21"/>
                      <w:highlight w:val="none"/>
                    </w:rPr>
                  </w:pPr>
                </w:p>
              </w:tc>
            </w:tr>
            <w:tr w14:paraId="7CD843D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5E46475E">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00E19CBB">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调漆房</w:t>
                  </w:r>
                </w:p>
              </w:tc>
              <w:tc>
                <w:tcPr>
                  <w:tcW w:w="3843" w:type="dxa"/>
                  <w:vAlign w:val="center"/>
                </w:tcPr>
                <w:p w14:paraId="7CC9895F">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3楼</w:t>
                  </w:r>
                  <w:r>
                    <w:rPr>
                      <w:rFonts w:hint="eastAsia" w:ascii="Times New Roman" w:hAnsi="Times New Roman" w:eastAsia="宋体" w:cs="Times New Roman"/>
                      <w:bCs/>
                      <w:color w:val="auto"/>
                      <w:szCs w:val="21"/>
                      <w:highlight w:val="none"/>
                      <w:lang w:val="en-US" w:eastAsia="zh-CN"/>
                    </w:rPr>
                    <w:t>及2楼底漆上线区北</w:t>
                  </w:r>
                  <w:r>
                    <w:rPr>
                      <w:rFonts w:hint="eastAsia" w:ascii="Times New Roman" w:hAnsi="Times New Roman" w:eastAsia="宋体" w:cs="Times New Roman"/>
                      <w:bCs/>
                      <w:color w:val="auto"/>
                      <w:szCs w:val="21"/>
                      <w:highlight w:val="none"/>
                    </w:rPr>
                    <w:t>侧，</w:t>
                  </w:r>
                  <w:r>
                    <w:rPr>
                      <w:rFonts w:hint="eastAsia" w:ascii="Times New Roman" w:hAnsi="Times New Roman" w:eastAsia="宋体" w:cs="Times New Roman"/>
                      <w:bCs/>
                      <w:color w:val="auto"/>
                      <w:szCs w:val="21"/>
                      <w:highlight w:val="none"/>
                      <w:lang w:val="en-US" w:eastAsia="zh-CN"/>
                    </w:rPr>
                    <w:t>3楼</w:t>
                  </w:r>
                  <w:r>
                    <w:rPr>
                      <w:rFonts w:hint="eastAsia" w:ascii="Times New Roman" w:hAnsi="Times New Roman" w:eastAsia="宋体" w:cs="Times New Roman"/>
                      <w:bCs/>
                      <w:color w:val="auto"/>
                      <w:szCs w:val="21"/>
                      <w:highlight w:val="none"/>
                    </w:rPr>
                    <w:t>布设</w:t>
                  </w:r>
                  <w:r>
                    <w:rPr>
                      <w:rFonts w:hint="eastAsia" w:ascii="Times New Roman" w:hAnsi="Times New Roman" w:eastAsia="宋体" w:cs="Times New Roman"/>
                      <w:bCs/>
                      <w:color w:val="auto"/>
                      <w:szCs w:val="21"/>
                      <w:highlight w:val="none"/>
                      <w:lang w:val="en-US" w:eastAsia="zh-CN"/>
                    </w:rPr>
                    <w:t>2</w:t>
                  </w:r>
                  <w:r>
                    <w:rPr>
                      <w:rFonts w:hint="eastAsia" w:ascii="Times New Roman" w:hAnsi="Times New Roman" w:eastAsia="宋体" w:cs="Times New Roman"/>
                      <w:bCs/>
                      <w:color w:val="auto"/>
                      <w:szCs w:val="21"/>
                      <w:highlight w:val="none"/>
                    </w:rPr>
                    <w:t>个调漆房，</w:t>
                  </w:r>
                  <w:r>
                    <w:rPr>
                      <w:rFonts w:hint="eastAsia" w:ascii="Times New Roman" w:hAnsi="Times New Roman" w:eastAsia="宋体" w:cs="Times New Roman"/>
                      <w:bCs/>
                      <w:color w:val="auto"/>
                      <w:szCs w:val="21"/>
                      <w:highlight w:val="none"/>
                      <w:lang w:val="en-US" w:eastAsia="zh-CN"/>
                    </w:rPr>
                    <w:t>2楼布设1个调漆房，</w:t>
                  </w:r>
                  <w:r>
                    <w:rPr>
                      <w:rFonts w:hint="eastAsia" w:ascii="Times New Roman" w:hAnsi="Times New Roman" w:eastAsia="宋体" w:cs="Times New Roman"/>
                      <w:bCs/>
                      <w:color w:val="auto"/>
                      <w:szCs w:val="21"/>
                      <w:highlight w:val="none"/>
                    </w:rPr>
                    <w:t>主要用于底漆、面漆的调配</w:t>
                  </w:r>
                </w:p>
              </w:tc>
              <w:tc>
                <w:tcPr>
                  <w:tcW w:w="1931" w:type="dxa"/>
                  <w:vMerge w:val="continue"/>
                  <w:vAlign w:val="center"/>
                </w:tcPr>
                <w:p w14:paraId="3CBA4248">
                  <w:pPr>
                    <w:spacing w:line="276" w:lineRule="auto"/>
                    <w:jc w:val="center"/>
                    <w:rPr>
                      <w:rFonts w:ascii="Times New Roman" w:hAnsi="Times New Roman" w:eastAsia="宋体" w:cs="Times New Roman"/>
                      <w:bCs/>
                      <w:color w:val="auto"/>
                      <w:szCs w:val="21"/>
                      <w:highlight w:val="none"/>
                    </w:rPr>
                  </w:pPr>
                </w:p>
              </w:tc>
            </w:tr>
            <w:tr w14:paraId="25DBB6E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4C1343C8">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7C066A8B">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喷漆区</w:t>
                  </w:r>
                </w:p>
              </w:tc>
              <w:tc>
                <w:tcPr>
                  <w:tcW w:w="3843" w:type="dxa"/>
                  <w:vAlign w:val="center"/>
                </w:tcPr>
                <w:p w14:paraId="4AB1F775">
                  <w:pPr>
                    <w:spacing w:line="276" w:lineRule="auto"/>
                    <w:jc w:val="center"/>
                    <w:rPr>
                      <w:rFonts w:hint="default" w:ascii="Times New Roman" w:hAnsi="Times New Roman" w:eastAsia="宋体" w:cs="Times New Roman"/>
                      <w:bCs/>
                      <w:color w:val="auto"/>
                      <w:szCs w:val="21"/>
                      <w:highlight w:val="none"/>
                      <w:lang w:val="en-US" w:eastAsia="zh-CN"/>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3楼中部和2楼西侧，3楼布设2个喷底漆房、2个喷面漆房，2楼布设1个喷底漆房、1个喷面漆房，3楼建设</w:t>
                  </w:r>
                  <w:r>
                    <w:rPr>
                      <w:rFonts w:hint="eastAsia" w:ascii="Times New Roman" w:hAnsi="Times New Roman" w:eastAsia="宋体" w:cs="Times New Roman"/>
                      <w:bCs/>
                      <w:color w:val="auto"/>
                      <w:szCs w:val="21"/>
                      <w:highlight w:val="none"/>
                      <w:lang w:val="en-US" w:eastAsia="zh-CN"/>
                    </w:rPr>
                    <w:t>2</w:t>
                  </w:r>
                  <w:r>
                    <w:rPr>
                      <w:rFonts w:hint="eastAsia" w:ascii="Times New Roman" w:hAnsi="Times New Roman" w:eastAsia="宋体" w:cs="Times New Roman"/>
                      <w:bCs/>
                      <w:color w:val="auto"/>
                      <w:szCs w:val="21"/>
                      <w:highlight w:val="none"/>
                    </w:rPr>
                    <w:t>条</w:t>
                  </w:r>
                  <w:r>
                    <w:rPr>
                      <w:rFonts w:hint="eastAsia" w:ascii="Times New Roman" w:hAnsi="Times New Roman" w:eastAsia="宋体" w:cs="Times New Roman"/>
                      <w:bCs/>
                      <w:color w:val="auto"/>
                      <w:szCs w:val="21"/>
                      <w:highlight w:val="none"/>
                      <w:lang w:val="en-US" w:eastAsia="zh-CN"/>
                    </w:rPr>
                    <w:t>喷漆</w:t>
                  </w:r>
                  <w:r>
                    <w:rPr>
                      <w:rFonts w:hint="eastAsia" w:ascii="Times New Roman" w:hAnsi="Times New Roman" w:eastAsia="宋体" w:cs="Times New Roman"/>
                      <w:bCs/>
                      <w:color w:val="auto"/>
                      <w:szCs w:val="21"/>
                      <w:highlight w:val="none"/>
                    </w:rPr>
                    <w:t>线</w:t>
                  </w:r>
                  <w:r>
                    <w:rPr>
                      <w:rFonts w:hint="eastAsia" w:ascii="Times New Roman" w:hAnsi="Times New Roman" w:eastAsia="宋体" w:cs="Times New Roman"/>
                      <w:bCs/>
                      <w:color w:val="auto"/>
                      <w:szCs w:val="21"/>
                      <w:highlight w:val="none"/>
                      <w:lang w:val="en-US" w:eastAsia="zh-CN"/>
                    </w:rPr>
                    <w:t>，2楼建设1条</w:t>
                  </w:r>
                  <w:r>
                    <w:rPr>
                      <w:rFonts w:hint="eastAsia" w:ascii="Times New Roman" w:hAnsi="Times New Roman" w:eastAsia="宋体" w:cs="Times New Roman"/>
                      <w:bCs/>
                      <w:color w:val="auto"/>
                      <w:szCs w:val="21"/>
                      <w:highlight w:val="none"/>
                    </w:rPr>
                    <w:t>喷漆线</w:t>
                  </w:r>
                </w:p>
              </w:tc>
              <w:tc>
                <w:tcPr>
                  <w:tcW w:w="1931" w:type="dxa"/>
                  <w:vMerge w:val="continue"/>
                  <w:vAlign w:val="center"/>
                </w:tcPr>
                <w:p w14:paraId="3D5E673F">
                  <w:pPr>
                    <w:spacing w:line="276" w:lineRule="auto"/>
                    <w:jc w:val="center"/>
                    <w:rPr>
                      <w:rFonts w:ascii="Times New Roman" w:hAnsi="Times New Roman" w:eastAsia="宋体" w:cs="Times New Roman"/>
                      <w:bCs/>
                      <w:color w:val="auto"/>
                      <w:szCs w:val="21"/>
                      <w:highlight w:val="none"/>
                    </w:rPr>
                  </w:pPr>
                </w:p>
              </w:tc>
            </w:tr>
            <w:tr w14:paraId="02A132A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58F30B51">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1178382F">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烘干区</w:t>
                  </w:r>
                </w:p>
              </w:tc>
              <w:tc>
                <w:tcPr>
                  <w:tcW w:w="3843" w:type="dxa"/>
                  <w:vAlign w:val="center"/>
                </w:tcPr>
                <w:p w14:paraId="46247301">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3楼北侧和2楼</w:t>
                  </w:r>
                  <w:r>
                    <w:rPr>
                      <w:rFonts w:hint="eastAsia" w:ascii="Times New Roman" w:hAnsi="Times New Roman" w:eastAsia="宋体" w:cs="Times New Roman"/>
                      <w:bCs/>
                      <w:color w:val="auto"/>
                      <w:szCs w:val="21"/>
                      <w:highlight w:val="none"/>
                      <w:lang w:val="en-US" w:eastAsia="zh-CN"/>
                    </w:rPr>
                    <w:t>中部</w:t>
                  </w:r>
                  <w:r>
                    <w:rPr>
                      <w:rFonts w:hint="eastAsia" w:ascii="Times New Roman" w:hAnsi="Times New Roman" w:eastAsia="宋体" w:cs="Times New Roman"/>
                      <w:bCs/>
                      <w:color w:val="auto"/>
                      <w:szCs w:val="21"/>
                      <w:highlight w:val="none"/>
                    </w:rPr>
                    <w:t>，</w:t>
                  </w:r>
                  <w:r>
                    <w:rPr>
                      <w:rFonts w:hint="eastAsia" w:ascii="Times New Roman" w:hAnsi="Times New Roman" w:eastAsia="宋体" w:cs="Times New Roman"/>
                      <w:bCs/>
                      <w:color w:val="auto"/>
                      <w:szCs w:val="21"/>
                      <w:highlight w:val="none"/>
                      <w:lang w:val="en-US" w:eastAsia="zh-CN"/>
                    </w:rPr>
                    <w:t>3楼</w:t>
                  </w:r>
                  <w:r>
                    <w:rPr>
                      <w:rFonts w:hint="eastAsia" w:ascii="Times New Roman" w:hAnsi="Times New Roman" w:eastAsia="宋体" w:cs="Times New Roman"/>
                      <w:bCs/>
                      <w:color w:val="auto"/>
                      <w:szCs w:val="21"/>
                      <w:highlight w:val="none"/>
                    </w:rPr>
                    <w:t>布设1个</w:t>
                  </w:r>
                  <w:r>
                    <w:rPr>
                      <w:rFonts w:hint="eastAsia" w:ascii="Times New Roman" w:hAnsi="Times New Roman" w:eastAsia="宋体" w:cs="Times New Roman"/>
                      <w:bCs/>
                      <w:color w:val="auto"/>
                      <w:szCs w:val="21"/>
                      <w:highlight w:val="none"/>
                      <w:lang w:val="en-US" w:eastAsia="zh-CN"/>
                    </w:rPr>
                    <w:t>电加热式</w:t>
                  </w:r>
                  <w:r>
                    <w:rPr>
                      <w:rFonts w:hint="eastAsia" w:ascii="Times New Roman" w:hAnsi="Times New Roman" w:eastAsia="宋体" w:cs="Times New Roman"/>
                      <w:bCs/>
                      <w:color w:val="auto"/>
                      <w:szCs w:val="21"/>
                      <w:highlight w:val="none"/>
                    </w:rPr>
                    <w:t>烘烤箱，</w:t>
                  </w:r>
                  <w:r>
                    <w:rPr>
                      <w:rFonts w:hint="eastAsia" w:ascii="Times New Roman" w:hAnsi="Times New Roman" w:eastAsia="宋体" w:cs="Times New Roman"/>
                      <w:bCs/>
                      <w:color w:val="auto"/>
                      <w:szCs w:val="21"/>
                      <w:highlight w:val="none"/>
                      <w:lang w:val="en-US" w:eastAsia="zh-CN"/>
                    </w:rPr>
                    <w:t>2楼布设1个电加热式烘干炉，</w:t>
                  </w:r>
                  <w:r>
                    <w:rPr>
                      <w:rFonts w:hint="eastAsia" w:ascii="Times New Roman" w:hAnsi="Times New Roman" w:eastAsia="宋体" w:cs="Times New Roman"/>
                      <w:bCs/>
                      <w:color w:val="auto"/>
                      <w:szCs w:val="21"/>
                      <w:highlight w:val="none"/>
                    </w:rPr>
                    <w:t>用于喷完底漆和面漆的汽车零部件的烘干</w:t>
                  </w:r>
                </w:p>
              </w:tc>
              <w:tc>
                <w:tcPr>
                  <w:tcW w:w="1931" w:type="dxa"/>
                  <w:vMerge w:val="continue"/>
                  <w:vAlign w:val="center"/>
                </w:tcPr>
                <w:p w14:paraId="6090ACCB">
                  <w:pPr>
                    <w:spacing w:line="276" w:lineRule="auto"/>
                    <w:jc w:val="center"/>
                    <w:rPr>
                      <w:rFonts w:ascii="Times New Roman" w:hAnsi="Times New Roman" w:eastAsia="宋体" w:cs="Times New Roman"/>
                      <w:bCs/>
                      <w:color w:val="auto"/>
                      <w:szCs w:val="21"/>
                      <w:highlight w:val="none"/>
                    </w:rPr>
                  </w:pPr>
                </w:p>
              </w:tc>
            </w:tr>
            <w:tr w14:paraId="15D0632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6AC76449">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4B871FEC">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镭雕区</w:t>
                  </w:r>
                </w:p>
              </w:tc>
              <w:tc>
                <w:tcPr>
                  <w:tcW w:w="3843" w:type="dxa"/>
                  <w:vAlign w:val="center"/>
                </w:tcPr>
                <w:p w14:paraId="01DB83C9">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1楼北部</w:t>
                  </w:r>
                  <w:r>
                    <w:rPr>
                      <w:rFonts w:ascii="Times New Roman" w:hAnsi="Times New Roman" w:eastAsia="宋体" w:cs="Times New Roman"/>
                      <w:bCs/>
                      <w:color w:val="auto"/>
                      <w:szCs w:val="21"/>
                      <w:highlight w:val="none"/>
                    </w:rPr>
                    <w:t>，布设</w:t>
                  </w:r>
                  <w:r>
                    <w:rPr>
                      <w:rFonts w:hint="eastAsia" w:ascii="Times New Roman" w:hAnsi="Times New Roman" w:eastAsia="宋体" w:cs="Times New Roman"/>
                      <w:bCs/>
                      <w:color w:val="auto"/>
                      <w:szCs w:val="21"/>
                      <w:highlight w:val="none"/>
                    </w:rPr>
                    <w:t>1台3D镭雕机和1台平面镭雕机，</w:t>
                  </w:r>
                  <w:r>
                    <w:rPr>
                      <w:rFonts w:ascii="Times New Roman" w:hAnsi="Times New Roman" w:eastAsia="宋体" w:cs="Times New Roman"/>
                      <w:bCs/>
                      <w:color w:val="auto"/>
                      <w:szCs w:val="21"/>
                      <w:highlight w:val="none"/>
                    </w:rPr>
                    <w:t>主要用于部分汽车零部件的</w:t>
                  </w:r>
                  <w:r>
                    <w:rPr>
                      <w:rFonts w:hint="eastAsia" w:ascii="Times New Roman" w:hAnsi="Times New Roman" w:eastAsia="宋体" w:cs="Times New Roman"/>
                      <w:bCs/>
                      <w:color w:val="auto"/>
                      <w:szCs w:val="21"/>
                      <w:highlight w:val="none"/>
                    </w:rPr>
                    <w:t>镭雕</w:t>
                  </w:r>
                </w:p>
              </w:tc>
              <w:tc>
                <w:tcPr>
                  <w:tcW w:w="1931" w:type="dxa"/>
                  <w:vMerge w:val="continue"/>
                  <w:vAlign w:val="center"/>
                </w:tcPr>
                <w:p w14:paraId="77768E24">
                  <w:pPr>
                    <w:spacing w:line="276" w:lineRule="auto"/>
                    <w:jc w:val="center"/>
                    <w:rPr>
                      <w:rFonts w:ascii="Times New Roman" w:hAnsi="Times New Roman" w:eastAsia="宋体" w:cs="Times New Roman"/>
                      <w:bCs/>
                      <w:color w:val="auto"/>
                      <w:szCs w:val="21"/>
                      <w:highlight w:val="none"/>
                    </w:rPr>
                  </w:pPr>
                </w:p>
              </w:tc>
            </w:tr>
            <w:tr w14:paraId="5BA6F3E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68AF1B18">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284882F9">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抛光</w:t>
                  </w:r>
                  <w:r>
                    <w:rPr>
                      <w:rFonts w:ascii="Times New Roman" w:hAnsi="Times New Roman" w:eastAsia="宋体" w:cs="Times New Roman"/>
                      <w:bCs/>
                      <w:color w:val="auto"/>
                      <w:szCs w:val="21"/>
                      <w:highlight w:val="none"/>
                    </w:rPr>
                    <w:t>区</w:t>
                  </w:r>
                </w:p>
              </w:tc>
              <w:tc>
                <w:tcPr>
                  <w:tcW w:w="3843" w:type="dxa"/>
                  <w:vAlign w:val="center"/>
                </w:tcPr>
                <w:p w14:paraId="3188522C">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2楼东侧</w:t>
                  </w:r>
                  <w:r>
                    <w:rPr>
                      <w:rFonts w:ascii="Times New Roman" w:hAnsi="Times New Roman" w:eastAsia="宋体" w:cs="Times New Roman"/>
                      <w:bCs/>
                      <w:color w:val="auto"/>
                      <w:szCs w:val="21"/>
                      <w:highlight w:val="none"/>
                    </w:rPr>
                    <w:t>，对汽车零部件进行</w:t>
                  </w:r>
                  <w:r>
                    <w:rPr>
                      <w:rFonts w:hint="eastAsia" w:ascii="Times New Roman" w:hAnsi="Times New Roman" w:eastAsia="宋体" w:cs="Times New Roman"/>
                      <w:bCs/>
                      <w:color w:val="auto"/>
                      <w:szCs w:val="21"/>
                      <w:highlight w:val="none"/>
                    </w:rPr>
                    <w:t>抛光</w:t>
                  </w:r>
                </w:p>
              </w:tc>
              <w:tc>
                <w:tcPr>
                  <w:tcW w:w="1931" w:type="dxa"/>
                  <w:vMerge w:val="continue"/>
                  <w:vAlign w:val="center"/>
                </w:tcPr>
                <w:p w14:paraId="4C90B112">
                  <w:pPr>
                    <w:spacing w:line="276" w:lineRule="auto"/>
                    <w:jc w:val="center"/>
                    <w:rPr>
                      <w:rFonts w:ascii="Times New Roman" w:hAnsi="Times New Roman" w:eastAsia="宋体" w:cs="Times New Roman"/>
                      <w:bCs/>
                      <w:color w:val="auto"/>
                      <w:szCs w:val="21"/>
                      <w:highlight w:val="none"/>
                    </w:rPr>
                  </w:pPr>
                </w:p>
              </w:tc>
            </w:tr>
            <w:tr w14:paraId="0290782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2276ABA3">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565DEC4C">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包装区</w:t>
                  </w:r>
                </w:p>
              </w:tc>
              <w:tc>
                <w:tcPr>
                  <w:tcW w:w="3843" w:type="dxa"/>
                  <w:vAlign w:val="center"/>
                </w:tcPr>
                <w:p w14:paraId="49118B34">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2楼东部</w:t>
                  </w:r>
                  <w:r>
                    <w:rPr>
                      <w:rFonts w:ascii="Times New Roman" w:hAnsi="Times New Roman" w:eastAsia="宋体" w:cs="Times New Roman"/>
                      <w:bCs/>
                      <w:color w:val="auto"/>
                      <w:szCs w:val="21"/>
                      <w:highlight w:val="none"/>
                    </w:rPr>
                    <w:t>，主要用于成品汽车零部件的包装</w:t>
                  </w:r>
                </w:p>
              </w:tc>
              <w:tc>
                <w:tcPr>
                  <w:tcW w:w="1931" w:type="dxa"/>
                  <w:vMerge w:val="continue"/>
                  <w:vAlign w:val="center"/>
                </w:tcPr>
                <w:p w14:paraId="458DCFCD">
                  <w:pPr>
                    <w:spacing w:line="276" w:lineRule="auto"/>
                    <w:jc w:val="center"/>
                    <w:rPr>
                      <w:rFonts w:ascii="Times New Roman" w:hAnsi="Times New Roman" w:eastAsia="宋体" w:cs="Times New Roman"/>
                      <w:bCs/>
                      <w:color w:val="auto"/>
                      <w:szCs w:val="21"/>
                      <w:highlight w:val="none"/>
                    </w:rPr>
                  </w:pPr>
                </w:p>
              </w:tc>
            </w:tr>
            <w:tr w14:paraId="3B16E9A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01B0A245">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6C13E43D">
                  <w:pPr>
                    <w:spacing w:line="276" w:lineRule="auto"/>
                    <w:jc w:val="center"/>
                    <w:rPr>
                      <w:rFonts w:hint="default" w:ascii="Times New Roman" w:hAnsi="Times New Roman" w:eastAsia="宋体" w:cs="Times New Roman"/>
                      <w:bCs/>
                      <w:color w:val="auto"/>
                      <w:szCs w:val="21"/>
                      <w:highlight w:val="none"/>
                      <w:lang w:val="en-US" w:eastAsia="zh-CN"/>
                    </w:rPr>
                  </w:pPr>
                  <w:r>
                    <w:rPr>
                      <w:rFonts w:hint="eastAsia" w:ascii="Times New Roman" w:hAnsi="Times New Roman" w:eastAsia="宋体" w:cs="Times New Roman"/>
                      <w:bCs/>
                      <w:color w:val="auto"/>
                      <w:szCs w:val="21"/>
                      <w:highlight w:val="none"/>
                      <w:lang w:val="en-US" w:eastAsia="zh-CN"/>
                    </w:rPr>
                    <w:t>治具房间</w:t>
                  </w:r>
                </w:p>
              </w:tc>
              <w:tc>
                <w:tcPr>
                  <w:tcW w:w="3843" w:type="dxa"/>
                  <w:vAlign w:val="center"/>
                </w:tcPr>
                <w:p w14:paraId="44D7602F">
                  <w:pPr>
                    <w:spacing w:line="276" w:lineRule="auto"/>
                    <w:jc w:val="center"/>
                    <w:rPr>
                      <w:rFonts w:hint="default" w:ascii="Times New Roman" w:hAnsi="Times New Roman" w:eastAsia="宋体" w:cs="Times New Roman"/>
                      <w:bCs/>
                      <w:color w:val="auto"/>
                      <w:szCs w:val="21"/>
                      <w:highlight w:val="none"/>
                      <w:lang w:val="en-US" w:eastAsia="zh-CN"/>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lang w:val="en-US" w:eastAsia="zh-CN"/>
                    </w:rPr>
                    <w:t>3</w:t>
                  </w:r>
                  <w:r>
                    <w:rPr>
                      <w:rFonts w:hint="eastAsia" w:ascii="Times New Roman" w:hAnsi="Times New Roman" w:eastAsia="宋体" w:cs="Times New Roman"/>
                      <w:bCs/>
                      <w:color w:val="auto"/>
                      <w:szCs w:val="21"/>
                      <w:highlight w:val="none"/>
                    </w:rPr>
                    <w:t>楼</w:t>
                  </w:r>
                  <w:r>
                    <w:rPr>
                      <w:rFonts w:hint="eastAsia" w:ascii="Times New Roman" w:hAnsi="Times New Roman" w:eastAsia="宋体" w:cs="Times New Roman"/>
                      <w:bCs/>
                      <w:color w:val="auto"/>
                      <w:szCs w:val="21"/>
                      <w:highlight w:val="none"/>
                      <w:lang w:val="en-US" w:eastAsia="zh-CN"/>
                    </w:rPr>
                    <w:t>烘干区南侧</w:t>
                  </w:r>
                  <w:r>
                    <w:rPr>
                      <w:rFonts w:ascii="Times New Roman" w:hAnsi="Times New Roman" w:eastAsia="宋体" w:cs="Times New Roman"/>
                      <w:bCs/>
                      <w:color w:val="auto"/>
                      <w:szCs w:val="21"/>
                      <w:highlight w:val="none"/>
                    </w:rPr>
                    <w:t>，主要用于</w:t>
                  </w:r>
                  <w:r>
                    <w:rPr>
                      <w:rFonts w:hint="eastAsia" w:ascii="Times New Roman" w:hAnsi="Times New Roman" w:eastAsia="宋体" w:cs="Times New Roman"/>
                      <w:bCs/>
                      <w:color w:val="auto"/>
                      <w:szCs w:val="21"/>
                      <w:highlight w:val="none"/>
                      <w:lang w:val="en-US" w:eastAsia="zh-CN"/>
                    </w:rPr>
                    <w:t>储存治具</w:t>
                  </w:r>
                </w:p>
              </w:tc>
              <w:tc>
                <w:tcPr>
                  <w:tcW w:w="1931" w:type="dxa"/>
                  <w:vMerge w:val="continue"/>
                  <w:vAlign w:val="center"/>
                </w:tcPr>
                <w:p w14:paraId="5EE9AE3B">
                  <w:pPr>
                    <w:spacing w:line="276" w:lineRule="auto"/>
                    <w:jc w:val="center"/>
                    <w:rPr>
                      <w:rFonts w:ascii="Times New Roman" w:hAnsi="Times New Roman" w:eastAsia="宋体" w:cs="Times New Roman"/>
                      <w:bCs/>
                      <w:color w:val="auto"/>
                      <w:szCs w:val="21"/>
                      <w:highlight w:val="none"/>
                    </w:rPr>
                  </w:pPr>
                </w:p>
              </w:tc>
            </w:tr>
            <w:tr w14:paraId="5C83E8D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restart"/>
                  <w:vAlign w:val="center"/>
                </w:tcPr>
                <w:p w14:paraId="12503DBF">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辅助工程</w:t>
                  </w:r>
                </w:p>
              </w:tc>
              <w:tc>
                <w:tcPr>
                  <w:tcW w:w="1747" w:type="dxa"/>
                  <w:vAlign w:val="center"/>
                </w:tcPr>
                <w:p w14:paraId="100A3260">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办公区</w:t>
                  </w:r>
                </w:p>
              </w:tc>
              <w:tc>
                <w:tcPr>
                  <w:tcW w:w="5774" w:type="dxa"/>
                  <w:gridSpan w:val="2"/>
                  <w:vAlign w:val="center"/>
                </w:tcPr>
                <w:p w14:paraId="6295E006">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位于厂区</w:t>
                  </w:r>
                  <w:r>
                    <w:rPr>
                      <w:rFonts w:hint="eastAsia" w:ascii="Times New Roman" w:hAnsi="Times New Roman" w:eastAsia="宋体" w:cs="Times New Roman"/>
                      <w:bCs/>
                      <w:color w:val="auto"/>
                      <w:szCs w:val="21"/>
                      <w:highlight w:val="none"/>
                    </w:rPr>
                    <w:t>2楼南</w:t>
                  </w:r>
                  <w:r>
                    <w:rPr>
                      <w:rFonts w:ascii="Times New Roman" w:hAnsi="Times New Roman" w:eastAsia="宋体" w:cs="Times New Roman"/>
                      <w:bCs/>
                      <w:color w:val="auto"/>
                      <w:szCs w:val="21"/>
                      <w:highlight w:val="none"/>
                    </w:rPr>
                    <w:t>部</w:t>
                  </w:r>
                  <w:r>
                    <w:rPr>
                      <w:rFonts w:hint="eastAsia" w:ascii="Times New Roman" w:hAnsi="Times New Roman" w:eastAsia="宋体" w:cs="Times New Roman"/>
                      <w:bCs/>
                      <w:color w:val="auto"/>
                      <w:szCs w:val="21"/>
                      <w:highlight w:val="none"/>
                    </w:rPr>
                    <w:t>，</w:t>
                  </w:r>
                  <w:r>
                    <w:rPr>
                      <w:rFonts w:ascii="Times New Roman" w:hAnsi="Times New Roman" w:eastAsia="宋体" w:cs="Times New Roman"/>
                      <w:bCs/>
                      <w:color w:val="auto"/>
                      <w:szCs w:val="21"/>
                      <w:highlight w:val="none"/>
                    </w:rPr>
                    <w:t>占地面积</w:t>
                  </w:r>
                  <w:r>
                    <w:rPr>
                      <w:rFonts w:hint="eastAsia" w:ascii="Times New Roman" w:hAnsi="Times New Roman" w:eastAsia="宋体" w:cs="Times New Roman"/>
                      <w:bCs/>
                      <w:color w:val="auto"/>
                      <w:szCs w:val="21"/>
                      <w:highlight w:val="none"/>
                    </w:rPr>
                    <w:t>180</w:t>
                  </w:r>
                  <w:r>
                    <w:rPr>
                      <w:rFonts w:ascii="Times New Roman" w:hAnsi="Times New Roman" w:eastAsia="宋体" w:cs="Times New Roman"/>
                      <w:bCs/>
                      <w:color w:val="auto"/>
                      <w:szCs w:val="21"/>
                      <w:highlight w:val="none"/>
                    </w:rPr>
                    <w:t>m</w:t>
                  </w:r>
                  <w:r>
                    <w:rPr>
                      <w:rFonts w:ascii="Times New Roman" w:hAnsi="Times New Roman" w:eastAsia="宋体" w:cs="Times New Roman"/>
                      <w:bCs/>
                      <w:color w:val="auto"/>
                      <w:szCs w:val="21"/>
                      <w:highlight w:val="none"/>
                      <w:vertAlign w:val="superscript"/>
                    </w:rPr>
                    <w:t>2</w:t>
                  </w:r>
                  <w:r>
                    <w:rPr>
                      <w:rFonts w:ascii="Times New Roman" w:hAnsi="Times New Roman" w:eastAsia="宋体" w:cs="Times New Roman"/>
                      <w:bCs/>
                      <w:color w:val="auto"/>
                      <w:szCs w:val="21"/>
                      <w:highlight w:val="none"/>
                    </w:rPr>
                    <w:t>，主要用于日常办公</w:t>
                  </w:r>
                </w:p>
              </w:tc>
            </w:tr>
            <w:tr w14:paraId="2C51736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15585308">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5BA61384">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换鞋区</w:t>
                  </w:r>
                </w:p>
              </w:tc>
              <w:tc>
                <w:tcPr>
                  <w:tcW w:w="5774" w:type="dxa"/>
                  <w:gridSpan w:val="2"/>
                  <w:vAlign w:val="center"/>
                </w:tcPr>
                <w:p w14:paraId="21E97F98">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位于厂房北部，</w:t>
                  </w:r>
                  <w:r>
                    <w:rPr>
                      <w:rFonts w:ascii="Times New Roman" w:hAnsi="Times New Roman" w:eastAsia="宋体" w:cs="Times New Roman"/>
                      <w:bCs/>
                      <w:color w:val="auto"/>
                      <w:szCs w:val="21"/>
                      <w:highlight w:val="none"/>
                    </w:rPr>
                    <w:t>占地面积为</w:t>
                  </w:r>
                  <w:r>
                    <w:rPr>
                      <w:rFonts w:hint="eastAsia" w:ascii="Times New Roman" w:hAnsi="Times New Roman" w:eastAsia="宋体" w:cs="Times New Roman"/>
                      <w:bCs/>
                      <w:color w:val="auto"/>
                      <w:szCs w:val="21"/>
                      <w:highlight w:val="none"/>
                    </w:rPr>
                    <w:t>20</w:t>
                  </w:r>
                  <w:r>
                    <w:rPr>
                      <w:rFonts w:ascii="Times New Roman" w:hAnsi="Times New Roman" w:eastAsia="宋体" w:cs="Times New Roman"/>
                      <w:bCs/>
                      <w:color w:val="auto"/>
                      <w:szCs w:val="21"/>
                      <w:highlight w:val="none"/>
                    </w:rPr>
                    <w:t>m</w:t>
                  </w:r>
                  <w:r>
                    <w:rPr>
                      <w:rFonts w:ascii="Times New Roman" w:hAnsi="Times New Roman" w:eastAsia="宋体" w:cs="Times New Roman"/>
                      <w:bCs/>
                      <w:color w:val="auto"/>
                      <w:szCs w:val="21"/>
                      <w:highlight w:val="none"/>
                      <w:vertAlign w:val="superscript"/>
                    </w:rPr>
                    <w:t>2</w:t>
                  </w:r>
                  <w:r>
                    <w:rPr>
                      <w:rFonts w:ascii="Times New Roman" w:hAnsi="Times New Roman" w:eastAsia="宋体" w:cs="Times New Roman"/>
                      <w:bCs/>
                      <w:color w:val="auto"/>
                      <w:szCs w:val="21"/>
                      <w:highlight w:val="none"/>
                    </w:rPr>
                    <w:t>，主要用于工作前换鞋使用</w:t>
                  </w:r>
                </w:p>
              </w:tc>
            </w:tr>
            <w:tr w14:paraId="56E2F55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23" w:hRule="atLeast"/>
                <w:jc w:val="center"/>
              </w:trPr>
              <w:tc>
                <w:tcPr>
                  <w:tcW w:w="868" w:type="dxa"/>
                  <w:vMerge w:val="restart"/>
                  <w:vAlign w:val="center"/>
                </w:tcPr>
                <w:p w14:paraId="079C57D5">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储运工程</w:t>
                  </w:r>
                </w:p>
              </w:tc>
              <w:tc>
                <w:tcPr>
                  <w:tcW w:w="1747" w:type="dxa"/>
                  <w:vAlign w:val="center"/>
                </w:tcPr>
                <w:p w14:paraId="1345F77D">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供</w:t>
                  </w:r>
                  <w:r>
                    <w:rPr>
                      <w:rFonts w:ascii="Times New Roman" w:hAnsi="Times New Roman" w:eastAsia="宋体" w:cs="Times New Roman"/>
                      <w:bCs/>
                      <w:color w:val="auto"/>
                      <w:szCs w:val="21"/>
                      <w:highlight w:val="none"/>
                    </w:rPr>
                    <w:t>漆室</w:t>
                  </w:r>
                </w:p>
              </w:tc>
              <w:tc>
                <w:tcPr>
                  <w:tcW w:w="5774" w:type="dxa"/>
                  <w:gridSpan w:val="2"/>
                  <w:vAlign w:val="center"/>
                </w:tcPr>
                <w:p w14:paraId="2C3845E0">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位于</w:t>
                  </w:r>
                  <w:r>
                    <w:rPr>
                      <w:rFonts w:ascii="Times New Roman" w:hAnsi="Times New Roman" w:eastAsia="宋体" w:cs="Times New Roman"/>
                      <w:bCs/>
                      <w:color w:val="auto"/>
                      <w:szCs w:val="21"/>
                      <w:highlight w:val="none"/>
                    </w:rPr>
                    <w:t>厂区</w:t>
                  </w:r>
                  <w:r>
                    <w:rPr>
                      <w:rFonts w:hint="eastAsia" w:ascii="Times New Roman" w:hAnsi="Times New Roman" w:eastAsia="宋体" w:cs="Times New Roman"/>
                      <w:bCs/>
                      <w:color w:val="auto"/>
                      <w:szCs w:val="21"/>
                      <w:highlight w:val="none"/>
                    </w:rPr>
                    <w:t>3楼</w:t>
                  </w:r>
                  <w:r>
                    <w:rPr>
                      <w:rFonts w:hint="eastAsia" w:ascii="Times New Roman" w:hAnsi="Times New Roman" w:eastAsia="宋体" w:cs="Times New Roman"/>
                      <w:bCs/>
                      <w:color w:val="auto"/>
                      <w:szCs w:val="21"/>
                      <w:highlight w:val="none"/>
                      <w:lang w:val="en-US" w:eastAsia="zh-CN"/>
                    </w:rPr>
                    <w:t>喷漆线两侧</w:t>
                  </w:r>
                  <w:r>
                    <w:rPr>
                      <w:rFonts w:hint="eastAsia" w:ascii="Times New Roman" w:hAnsi="Times New Roman" w:eastAsia="宋体" w:cs="Times New Roman"/>
                      <w:bCs/>
                      <w:color w:val="auto"/>
                      <w:szCs w:val="21"/>
                      <w:highlight w:val="none"/>
                    </w:rPr>
                    <w:t>和2楼西部，</w:t>
                  </w:r>
                  <w:r>
                    <w:rPr>
                      <w:rFonts w:ascii="Times New Roman" w:hAnsi="Times New Roman" w:eastAsia="宋体" w:cs="Times New Roman"/>
                      <w:bCs/>
                      <w:color w:val="auto"/>
                      <w:szCs w:val="21"/>
                      <w:highlight w:val="none"/>
                    </w:rPr>
                    <w:t>用于储存</w:t>
                  </w:r>
                  <w:r>
                    <w:rPr>
                      <w:rFonts w:hint="eastAsia" w:ascii="Times New Roman" w:hAnsi="Times New Roman" w:eastAsia="宋体" w:cs="Times New Roman"/>
                      <w:bCs/>
                      <w:color w:val="auto"/>
                      <w:szCs w:val="21"/>
                      <w:highlight w:val="none"/>
                    </w:rPr>
                    <w:t>涂料（水性底漆、水性面漆），</w:t>
                  </w:r>
                  <w:r>
                    <w:rPr>
                      <w:rFonts w:hint="eastAsia" w:ascii="Times New Roman" w:hAnsi="Times New Roman" w:eastAsia="宋体" w:cs="Times New Roman"/>
                      <w:bCs/>
                      <w:color w:val="auto"/>
                      <w:szCs w:val="21"/>
                      <w:highlight w:val="none"/>
                      <w:lang w:val="en-US" w:eastAsia="zh-CN"/>
                    </w:rPr>
                    <w:t>单个</w:t>
                  </w:r>
                  <w:r>
                    <w:rPr>
                      <w:rFonts w:ascii="Times New Roman" w:hAnsi="Times New Roman" w:eastAsia="宋体" w:cs="Times New Roman"/>
                      <w:bCs/>
                      <w:color w:val="auto"/>
                      <w:szCs w:val="21"/>
                      <w:highlight w:val="none"/>
                    </w:rPr>
                    <w:t>占地面积为</w:t>
                  </w:r>
                  <w:r>
                    <w:rPr>
                      <w:rFonts w:hint="eastAsia" w:ascii="Times New Roman" w:hAnsi="Times New Roman" w:eastAsia="宋体" w:cs="Times New Roman"/>
                      <w:bCs/>
                      <w:color w:val="auto"/>
                      <w:szCs w:val="21"/>
                      <w:highlight w:val="none"/>
                    </w:rPr>
                    <w:t>20</w:t>
                  </w:r>
                  <w:r>
                    <w:rPr>
                      <w:rFonts w:ascii="Times New Roman" w:hAnsi="Times New Roman" w:eastAsia="宋体" w:cs="Times New Roman"/>
                      <w:bCs/>
                      <w:color w:val="auto"/>
                      <w:szCs w:val="21"/>
                      <w:highlight w:val="none"/>
                    </w:rPr>
                    <w:t>m</w:t>
                  </w:r>
                  <w:r>
                    <w:rPr>
                      <w:rFonts w:ascii="Times New Roman" w:hAnsi="Times New Roman" w:eastAsia="宋体" w:cs="Times New Roman"/>
                      <w:bCs/>
                      <w:color w:val="auto"/>
                      <w:szCs w:val="21"/>
                      <w:highlight w:val="none"/>
                      <w:vertAlign w:val="superscript"/>
                    </w:rPr>
                    <w:t>2</w:t>
                  </w:r>
                </w:p>
              </w:tc>
            </w:tr>
            <w:tr w14:paraId="7469CBC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23" w:hRule="atLeast"/>
                <w:jc w:val="center"/>
              </w:trPr>
              <w:tc>
                <w:tcPr>
                  <w:tcW w:w="868" w:type="dxa"/>
                  <w:vMerge w:val="continue"/>
                  <w:vAlign w:val="center"/>
                </w:tcPr>
                <w:p w14:paraId="2E8310DC">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0177D01F">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原料仓库</w:t>
                  </w:r>
                </w:p>
              </w:tc>
              <w:tc>
                <w:tcPr>
                  <w:tcW w:w="5774" w:type="dxa"/>
                  <w:gridSpan w:val="2"/>
                  <w:vAlign w:val="center"/>
                </w:tcPr>
                <w:p w14:paraId="2036E8AB">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位于</w:t>
                  </w:r>
                  <w:r>
                    <w:rPr>
                      <w:rFonts w:ascii="Times New Roman" w:hAnsi="Times New Roman" w:eastAsia="宋体" w:cs="Times New Roman"/>
                      <w:bCs/>
                      <w:color w:val="auto"/>
                      <w:szCs w:val="21"/>
                      <w:highlight w:val="none"/>
                    </w:rPr>
                    <w:t>厂区</w:t>
                  </w:r>
                  <w:r>
                    <w:rPr>
                      <w:rFonts w:hint="eastAsia" w:ascii="Times New Roman" w:hAnsi="Times New Roman" w:eastAsia="宋体" w:cs="Times New Roman"/>
                      <w:bCs/>
                      <w:color w:val="auto"/>
                      <w:szCs w:val="21"/>
                      <w:highlight w:val="none"/>
                    </w:rPr>
                    <w:t>1楼东部，占地面积480m</w:t>
                  </w:r>
                  <w:r>
                    <w:rPr>
                      <w:rFonts w:hint="eastAsia" w:ascii="Times New Roman" w:hAnsi="Times New Roman" w:eastAsia="宋体" w:cs="Times New Roman"/>
                      <w:bCs/>
                      <w:color w:val="auto"/>
                      <w:szCs w:val="21"/>
                      <w:highlight w:val="none"/>
                      <w:vertAlign w:val="superscript"/>
                    </w:rPr>
                    <w:t>2</w:t>
                  </w:r>
                  <w:r>
                    <w:rPr>
                      <w:rFonts w:hint="eastAsia" w:ascii="Times New Roman" w:hAnsi="Times New Roman" w:eastAsia="宋体" w:cs="Times New Roman"/>
                      <w:bCs/>
                      <w:color w:val="auto"/>
                      <w:szCs w:val="21"/>
                      <w:highlight w:val="none"/>
                    </w:rPr>
                    <w:t>，用于储存外购的汽车零部件</w:t>
                  </w:r>
                  <w:r>
                    <w:rPr>
                      <w:rFonts w:hint="eastAsia" w:ascii="Times New Roman" w:hAnsi="Times New Roman" w:eastAsia="宋体" w:cs="Times New Roman"/>
                      <w:bCs/>
                      <w:color w:val="auto"/>
                      <w:szCs w:val="21"/>
                      <w:highlight w:val="none"/>
                      <w:lang w:val="en-US" w:eastAsia="zh-CN"/>
                    </w:rPr>
                    <w:t>半成品</w:t>
                  </w:r>
                </w:p>
              </w:tc>
            </w:tr>
            <w:tr w14:paraId="2C4643D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23" w:hRule="atLeast"/>
                <w:jc w:val="center"/>
              </w:trPr>
              <w:tc>
                <w:tcPr>
                  <w:tcW w:w="868" w:type="dxa"/>
                  <w:vMerge w:val="continue"/>
                  <w:vAlign w:val="center"/>
                </w:tcPr>
                <w:p w14:paraId="01C35BD9">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79B501EB">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成品仓库</w:t>
                  </w:r>
                </w:p>
              </w:tc>
              <w:tc>
                <w:tcPr>
                  <w:tcW w:w="5774" w:type="dxa"/>
                  <w:gridSpan w:val="2"/>
                  <w:vAlign w:val="center"/>
                </w:tcPr>
                <w:p w14:paraId="496F1B33">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位于</w:t>
                  </w:r>
                  <w:r>
                    <w:rPr>
                      <w:rFonts w:ascii="Times New Roman" w:hAnsi="Times New Roman" w:eastAsia="宋体" w:cs="Times New Roman"/>
                      <w:bCs/>
                      <w:color w:val="auto"/>
                      <w:szCs w:val="21"/>
                      <w:highlight w:val="none"/>
                    </w:rPr>
                    <w:t>厂区</w:t>
                  </w:r>
                  <w:r>
                    <w:rPr>
                      <w:rFonts w:hint="eastAsia" w:ascii="Times New Roman" w:hAnsi="Times New Roman" w:eastAsia="宋体" w:cs="Times New Roman"/>
                      <w:bCs/>
                      <w:color w:val="auto"/>
                      <w:szCs w:val="21"/>
                      <w:highlight w:val="none"/>
                    </w:rPr>
                    <w:t>1楼南部，占地面积3600m</w:t>
                  </w:r>
                  <w:r>
                    <w:rPr>
                      <w:rFonts w:hint="eastAsia" w:ascii="Times New Roman" w:hAnsi="Times New Roman" w:eastAsia="宋体" w:cs="Times New Roman"/>
                      <w:bCs/>
                      <w:color w:val="auto"/>
                      <w:szCs w:val="21"/>
                      <w:highlight w:val="none"/>
                      <w:vertAlign w:val="superscript"/>
                    </w:rPr>
                    <w:t>2</w:t>
                  </w:r>
                  <w:r>
                    <w:rPr>
                      <w:rFonts w:hint="eastAsia" w:ascii="Times New Roman" w:hAnsi="Times New Roman" w:eastAsia="宋体" w:cs="Times New Roman"/>
                      <w:bCs/>
                      <w:color w:val="auto"/>
                      <w:szCs w:val="21"/>
                      <w:highlight w:val="none"/>
                    </w:rPr>
                    <w:t>，用于储存成品汽车零部件</w:t>
                  </w:r>
                </w:p>
              </w:tc>
            </w:tr>
            <w:tr w14:paraId="43A8295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restart"/>
                  <w:vAlign w:val="center"/>
                </w:tcPr>
                <w:p w14:paraId="325395EE">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公用工程</w:t>
                  </w:r>
                </w:p>
              </w:tc>
              <w:tc>
                <w:tcPr>
                  <w:tcW w:w="1747" w:type="dxa"/>
                  <w:vAlign w:val="center"/>
                </w:tcPr>
                <w:p w14:paraId="50B40630">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供电</w:t>
                  </w:r>
                </w:p>
              </w:tc>
              <w:tc>
                <w:tcPr>
                  <w:tcW w:w="3843" w:type="dxa"/>
                  <w:vAlign w:val="center"/>
                </w:tcPr>
                <w:p w14:paraId="3404276E">
                  <w:pPr>
                    <w:spacing w:line="276" w:lineRule="auto"/>
                    <w:jc w:val="center"/>
                    <w:rPr>
                      <w:rFonts w:ascii="Times New Roman" w:hAnsi="Times New Roman" w:eastAsia="宋体" w:cs="Times New Roman"/>
                      <w:bCs/>
                      <w:color w:val="auto"/>
                      <w:szCs w:val="21"/>
                      <w:highlight w:val="none"/>
                    </w:rPr>
                  </w:pPr>
                  <w:r>
                    <w:rPr>
                      <w:rFonts w:ascii="Times New Roman" w:hAnsi="Times New Roman" w:cs="Times New Roman"/>
                      <w:color w:val="auto"/>
                      <w:highlight w:val="none"/>
                    </w:rPr>
                    <w:t>市政电网供电</w:t>
                  </w:r>
                </w:p>
              </w:tc>
              <w:tc>
                <w:tcPr>
                  <w:tcW w:w="1931" w:type="dxa"/>
                  <w:vAlign w:val="center"/>
                </w:tcPr>
                <w:p w14:paraId="29AAC624">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用电量</w:t>
                  </w:r>
                  <w:r>
                    <w:rPr>
                      <w:rFonts w:hint="eastAsia" w:ascii="Times New Roman" w:hAnsi="Times New Roman" w:eastAsia="宋体" w:cs="Times New Roman"/>
                      <w:bCs/>
                      <w:color w:val="auto"/>
                      <w:szCs w:val="21"/>
                      <w:highlight w:val="none"/>
                    </w:rPr>
                    <w:t>80万kW·h/a</w:t>
                  </w:r>
                </w:p>
              </w:tc>
            </w:tr>
            <w:tr w14:paraId="109E1A2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34EE74AA">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7F76BE1D">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给水</w:t>
                  </w:r>
                </w:p>
              </w:tc>
              <w:tc>
                <w:tcPr>
                  <w:tcW w:w="3843" w:type="dxa"/>
                  <w:vAlign w:val="center"/>
                </w:tcPr>
                <w:p w14:paraId="5EE3E72D">
                  <w:pPr>
                    <w:spacing w:line="276" w:lineRule="auto"/>
                    <w:jc w:val="center"/>
                    <w:rPr>
                      <w:rFonts w:ascii="Times New Roman" w:hAnsi="Times New Roman" w:eastAsia="宋体" w:cs="Times New Roman"/>
                      <w:bCs/>
                      <w:color w:val="auto"/>
                      <w:szCs w:val="21"/>
                      <w:highlight w:val="none"/>
                    </w:rPr>
                  </w:pPr>
                  <w:r>
                    <w:rPr>
                      <w:rFonts w:ascii="Times New Roman" w:hAnsi="Times New Roman" w:cs="Times New Roman"/>
                      <w:color w:val="auto"/>
                      <w:highlight w:val="none"/>
                    </w:rPr>
                    <w:t>市政管网供给</w:t>
                  </w:r>
                </w:p>
              </w:tc>
              <w:tc>
                <w:tcPr>
                  <w:tcW w:w="1931" w:type="dxa"/>
                  <w:vAlign w:val="center"/>
                </w:tcPr>
                <w:p w14:paraId="6AAC07B3">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用水量</w:t>
                  </w:r>
                  <w:r>
                    <w:rPr>
                      <w:rFonts w:hint="eastAsia" w:ascii="Times New Roman" w:hAnsi="Times New Roman" w:eastAsia="宋体" w:cs="Times New Roman"/>
                      <w:bCs/>
                      <w:color w:val="auto"/>
                      <w:szCs w:val="21"/>
                      <w:highlight w:val="none"/>
                      <w:lang w:val="en-US" w:eastAsia="zh-CN"/>
                    </w:rPr>
                    <w:t>1095.96</w:t>
                  </w:r>
                  <w:r>
                    <w:rPr>
                      <w:rFonts w:hint="eastAsia" w:ascii="Times New Roman" w:hAnsi="Times New Roman" w:eastAsia="宋体" w:cs="Times New Roman"/>
                      <w:bCs/>
                      <w:color w:val="auto"/>
                      <w:szCs w:val="21"/>
                      <w:highlight w:val="none"/>
                    </w:rPr>
                    <w:t>m</w:t>
                  </w:r>
                  <w:r>
                    <w:rPr>
                      <w:rFonts w:hint="eastAsia" w:ascii="Times New Roman" w:hAnsi="Times New Roman" w:eastAsia="宋体" w:cs="Times New Roman"/>
                      <w:bCs/>
                      <w:color w:val="auto"/>
                      <w:szCs w:val="21"/>
                      <w:highlight w:val="none"/>
                      <w:vertAlign w:val="superscript"/>
                    </w:rPr>
                    <w:t>3</w:t>
                  </w:r>
                  <w:r>
                    <w:rPr>
                      <w:rFonts w:hint="eastAsia" w:ascii="Times New Roman" w:hAnsi="Times New Roman" w:eastAsia="宋体" w:cs="Times New Roman"/>
                      <w:bCs/>
                      <w:color w:val="auto"/>
                      <w:szCs w:val="21"/>
                      <w:highlight w:val="none"/>
                    </w:rPr>
                    <w:t>/a</w:t>
                  </w:r>
                </w:p>
              </w:tc>
            </w:tr>
            <w:tr w14:paraId="66A2490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1F2B19B2">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178B4317">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排水</w:t>
                  </w:r>
                </w:p>
              </w:tc>
              <w:tc>
                <w:tcPr>
                  <w:tcW w:w="3843" w:type="dxa"/>
                  <w:vAlign w:val="center"/>
                </w:tcPr>
                <w:p w14:paraId="773C2694">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雨污分流。雨水排入市政雨水管网；生活污水经化粪池预处理后</w:t>
                  </w:r>
                  <w:r>
                    <w:rPr>
                      <w:rFonts w:ascii="Times New Roman" w:hAnsi="Times New Roman"/>
                      <w:color w:val="auto"/>
                      <w:highlight w:val="none"/>
                    </w:rPr>
                    <w:t>排入</w:t>
                  </w:r>
                  <w:r>
                    <w:rPr>
                      <w:rFonts w:hint="eastAsia" w:ascii="Times New Roman" w:hAnsi="Times New Roman"/>
                      <w:color w:val="auto"/>
                      <w:highlight w:val="none"/>
                    </w:rPr>
                    <w:t>八公山</w:t>
                  </w:r>
                  <w:r>
                    <w:rPr>
                      <w:rFonts w:ascii="Times New Roman" w:hAnsi="Times New Roman"/>
                      <w:color w:val="auto"/>
                      <w:highlight w:val="none"/>
                    </w:rPr>
                    <w:t>污水处理厂</w:t>
                  </w:r>
                </w:p>
              </w:tc>
              <w:tc>
                <w:tcPr>
                  <w:tcW w:w="1931" w:type="dxa"/>
                  <w:vAlign w:val="center"/>
                </w:tcPr>
                <w:p w14:paraId="1CF4C27F">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排水量</w:t>
                  </w:r>
                  <w:r>
                    <w:rPr>
                      <w:rFonts w:hint="eastAsia" w:ascii="Times New Roman" w:hAnsi="Times New Roman" w:eastAsia="宋体" w:cs="Times New Roman"/>
                      <w:bCs/>
                      <w:color w:val="auto"/>
                      <w:szCs w:val="21"/>
                      <w:highlight w:val="none"/>
                    </w:rPr>
                    <w:t>765m</w:t>
                  </w:r>
                  <w:r>
                    <w:rPr>
                      <w:rFonts w:hint="eastAsia" w:ascii="Times New Roman" w:hAnsi="Times New Roman" w:eastAsia="宋体" w:cs="Times New Roman"/>
                      <w:bCs/>
                      <w:color w:val="auto"/>
                      <w:szCs w:val="21"/>
                      <w:highlight w:val="none"/>
                      <w:vertAlign w:val="superscript"/>
                    </w:rPr>
                    <w:t>3</w:t>
                  </w:r>
                  <w:r>
                    <w:rPr>
                      <w:rFonts w:hint="eastAsia" w:ascii="Times New Roman" w:hAnsi="Times New Roman" w:eastAsia="宋体" w:cs="Times New Roman"/>
                      <w:bCs/>
                      <w:color w:val="auto"/>
                      <w:szCs w:val="21"/>
                      <w:highlight w:val="none"/>
                    </w:rPr>
                    <w:t>/a</w:t>
                  </w:r>
                </w:p>
              </w:tc>
            </w:tr>
            <w:tr w14:paraId="409F7ED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466" w:hRule="atLeast"/>
                <w:jc w:val="center"/>
              </w:trPr>
              <w:tc>
                <w:tcPr>
                  <w:tcW w:w="868" w:type="dxa"/>
                  <w:vMerge w:val="restart"/>
                  <w:vAlign w:val="center"/>
                </w:tcPr>
                <w:p w14:paraId="7DB37336">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环保工程</w:t>
                  </w:r>
                </w:p>
              </w:tc>
              <w:tc>
                <w:tcPr>
                  <w:tcW w:w="1747" w:type="dxa"/>
                  <w:vAlign w:val="center"/>
                </w:tcPr>
                <w:p w14:paraId="4C9EF677">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废气</w:t>
                  </w:r>
                </w:p>
              </w:tc>
              <w:tc>
                <w:tcPr>
                  <w:tcW w:w="5774" w:type="dxa"/>
                  <w:gridSpan w:val="2"/>
                  <w:vAlign w:val="center"/>
                </w:tcPr>
                <w:p w14:paraId="37628377">
                  <w:pPr>
                    <w:spacing w:line="276" w:lineRule="auto"/>
                    <w:jc w:val="center"/>
                    <w:rPr>
                      <w:rFonts w:ascii="Times New Roman" w:hAnsi="Times New Roman" w:eastAsia="宋体" w:cs="Times New Roman"/>
                      <w:b/>
                      <w:bCs/>
                      <w:color w:val="auto"/>
                      <w:szCs w:val="21"/>
                      <w:highlight w:val="none"/>
                    </w:rPr>
                  </w:pPr>
                  <w:r>
                    <w:rPr>
                      <w:rFonts w:hint="eastAsia" w:ascii="Times New Roman" w:hAnsi="Times New Roman" w:eastAsia="宋体" w:cs="Times New Roman"/>
                      <w:b/>
                      <w:bCs/>
                      <w:color w:val="auto"/>
                      <w:szCs w:val="21"/>
                      <w:highlight w:val="none"/>
                    </w:rPr>
                    <w:t>喷底漆生产线喷底漆废气</w:t>
                  </w:r>
                  <w:r>
                    <w:rPr>
                      <w:rFonts w:ascii="Times New Roman" w:hAnsi="Times New Roman" w:eastAsia="宋体" w:cs="Times New Roman"/>
                      <w:b/>
                      <w:bCs/>
                      <w:color w:val="auto"/>
                      <w:szCs w:val="21"/>
                      <w:highlight w:val="none"/>
                    </w:rPr>
                    <w:t>G</w:t>
                  </w:r>
                  <w:r>
                    <w:rPr>
                      <w:rFonts w:hint="eastAsia" w:ascii="Times New Roman" w:hAnsi="Times New Roman" w:eastAsia="宋体" w:cs="Times New Roman"/>
                      <w:b/>
                      <w:bCs/>
                      <w:color w:val="auto"/>
                      <w:szCs w:val="21"/>
                      <w:highlight w:val="none"/>
                      <w:vertAlign w:val="subscript"/>
                    </w:rPr>
                    <w:t>2</w:t>
                  </w:r>
                  <w:r>
                    <w:rPr>
                      <w:rFonts w:hint="eastAsia" w:ascii="Times New Roman" w:hAnsi="Times New Roman" w:eastAsia="宋体" w:cs="Times New Roman"/>
                      <w:b/>
                      <w:bCs/>
                      <w:color w:val="auto"/>
                      <w:szCs w:val="21"/>
                      <w:highlight w:val="none"/>
                    </w:rPr>
                    <w:t>、喷面漆生产线喷面漆废气</w:t>
                  </w:r>
                  <w:r>
                    <w:rPr>
                      <w:rFonts w:ascii="Times New Roman" w:hAnsi="Times New Roman" w:eastAsia="宋体" w:cs="Times New Roman"/>
                      <w:b/>
                      <w:bCs/>
                      <w:color w:val="auto"/>
                      <w:szCs w:val="21"/>
                      <w:highlight w:val="none"/>
                    </w:rPr>
                    <w:t>G</w:t>
                  </w:r>
                  <w:r>
                    <w:rPr>
                      <w:rFonts w:hint="eastAsia" w:ascii="Times New Roman" w:hAnsi="Times New Roman" w:eastAsia="宋体" w:cs="Times New Roman"/>
                      <w:b/>
                      <w:bCs/>
                      <w:color w:val="auto"/>
                      <w:szCs w:val="21"/>
                      <w:highlight w:val="none"/>
                      <w:vertAlign w:val="subscript"/>
                    </w:rPr>
                    <w:t>4</w:t>
                  </w:r>
                  <w:r>
                    <w:rPr>
                      <w:rFonts w:hint="eastAsia" w:ascii="Times New Roman" w:hAnsi="Times New Roman" w:eastAsia="宋体" w:cs="Times New Roman"/>
                      <w:bCs/>
                      <w:color w:val="auto"/>
                      <w:szCs w:val="21"/>
                      <w:highlight w:val="none"/>
                    </w:rPr>
                    <w:t>由负压收集后经“水帘</w:t>
                  </w:r>
                  <w:r>
                    <w:rPr>
                      <w:rFonts w:ascii="Times New Roman" w:hAnsi="Times New Roman" w:eastAsia="宋体" w:cs="Times New Roman"/>
                      <w:bCs/>
                      <w:color w:val="auto"/>
                      <w:szCs w:val="21"/>
                      <w:highlight w:val="none"/>
                    </w:rPr>
                    <w:t>+</w:t>
                  </w:r>
                  <w:r>
                    <w:rPr>
                      <w:rFonts w:hint="eastAsia" w:ascii="Times New Roman" w:hAnsi="Times New Roman" w:eastAsia="宋体" w:cs="Times New Roman"/>
                      <w:bCs/>
                      <w:color w:val="auto"/>
                      <w:szCs w:val="21"/>
                      <w:highlight w:val="none"/>
                    </w:rPr>
                    <w:t>两级过滤棉”（</w:t>
                  </w:r>
                  <w:r>
                    <w:rPr>
                      <w:rFonts w:ascii="Times New Roman" w:hAnsi="Times New Roman" w:eastAsia="宋体" w:cs="Times New Roman"/>
                      <w:bCs/>
                      <w:color w:val="auto"/>
                      <w:szCs w:val="21"/>
                      <w:highlight w:val="none"/>
                    </w:rPr>
                    <w:t>TA00</w:t>
                  </w:r>
                  <w:r>
                    <w:rPr>
                      <w:rFonts w:hint="eastAsia" w:ascii="Times New Roman" w:hAnsi="Times New Roman" w:eastAsia="宋体" w:cs="Times New Roman"/>
                      <w:bCs/>
                      <w:color w:val="auto"/>
                      <w:szCs w:val="21"/>
                      <w:highlight w:val="none"/>
                    </w:rPr>
                    <w:t>1）处理后与经负压收集后的</w:t>
                  </w:r>
                  <w:r>
                    <w:rPr>
                      <w:rFonts w:hint="eastAsia" w:ascii="Times New Roman" w:hAnsi="Times New Roman" w:eastAsia="宋体" w:cs="Times New Roman"/>
                      <w:b/>
                      <w:bCs/>
                      <w:color w:val="auto"/>
                      <w:szCs w:val="21"/>
                      <w:highlight w:val="none"/>
                    </w:rPr>
                    <w:t>调底漆废气</w:t>
                  </w:r>
                  <w:r>
                    <w:rPr>
                      <w:rFonts w:ascii="Times New Roman" w:hAnsi="Times New Roman" w:eastAsia="宋体" w:cs="Times New Roman"/>
                      <w:b/>
                      <w:bCs/>
                      <w:color w:val="auto"/>
                      <w:szCs w:val="21"/>
                      <w:highlight w:val="none"/>
                    </w:rPr>
                    <w:t>G</w:t>
                  </w:r>
                  <w:r>
                    <w:rPr>
                      <w:rFonts w:hint="eastAsia" w:ascii="Times New Roman" w:hAnsi="Times New Roman" w:eastAsia="宋体" w:cs="Times New Roman"/>
                      <w:b/>
                      <w:bCs/>
                      <w:color w:val="auto"/>
                      <w:szCs w:val="21"/>
                      <w:highlight w:val="none"/>
                      <w:vertAlign w:val="subscript"/>
                    </w:rPr>
                    <w:t>1</w:t>
                  </w:r>
                  <w:r>
                    <w:rPr>
                      <w:rFonts w:hint="eastAsia" w:ascii="Times New Roman" w:hAnsi="Times New Roman" w:eastAsia="宋体" w:cs="Times New Roman"/>
                      <w:b/>
                      <w:bCs/>
                      <w:color w:val="auto"/>
                      <w:szCs w:val="21"/>
                      <w:highlight w:val="none"/>
                    </w:rPr>
                    <w:t>、调面漆废气</w:t>
                  </w:r>
                  <w:r>
                    <w:rPr>
                      <w:rFonts w:ascii="Times New Roman" w:hAnsi="Times New Roman" w:eastAsia="宋体" w:cs="Times New Roman"/>
                      <w:b/>
                      <w:bCs/>
                      <w:color w:val="auto"/>
                      <w:szCs w:val="21"/>
                      <w:highlight w:val="none"/>
                    </w:rPr>
                    <w:t>G</w:t>
                  </w:r>
                  <w:r>
                    <w:rPr>
                      <w:rFonts w:hint="eastAsia" w:ascii="Times New Roman" w:hAnsi="Times New Roman" w:eastAsia="宋体" w:cs="Times New Roman"/>
                      <w:b/>
                      <w:bCs/>
                      <w:color w:val="auto"/>
                      <w:szCs w:val="21"/>
                      <w:highlight w:val="none"/>
                      <w:vertAlign w:val="subscript"/>
                    </w:rPr>
                    <w:t>3</w:t>
                  </w:r>
                  <w:r>
                    <w:rPr>
                      <w:rFonts w:hint="eastAsia" w:ascii="Times New Roman" w:hAnsi="Times New Roman" w:eastAsia="宋体" w:cs="Times New Roman"/>
                      <w:b/>
                      <w:bCs/>
                      <w:color w:val="auto"/>
                      <w:szCs w:val="21"/>
                      <w:highlight w:val="none"/>
                    </w:rPr>
                    <w:t>、烘干废气</w:t>
                  </w:r>
                  <w:r>
                    <w:rPr>
                      <w:rFonts w:ascii="Times New Roman" w:hAnsi="Times New Roman" w:eastAsia="宋体" w:cs="Times New Roman"/>
                      <w:b/>
                      <w:bCs/>
                      <w:color w:val="auto"/>
                      <w:szCs w:val="21"/>
                      <w:highlight w:val="none"/>
                    </w:rPr>
                    <w:t>G</w:t>
                  </w:r>
                  <w:r>
                    <w:rPr>
                      <w:rFonts w:hint="eastAsia" w:ascii="Times New Roman" w:hAnsi="Times New Roman" w:eastAsia="宋体" w:cs="Times New Roman"/>
                      <w:b/>
                      <w:bCs/>
                      <w:color w:val="auto"/>
                      <w:szCs w:val="21"/>
                      <w:highlight w:val="none"/>
                      <w:vertAlign w:val="subscript"/>
                    </w:rPr>
                    <w:t>5</w:t>
                  </w:r>
                  <w:r>
                    <w:rPr>
                      <w:rFonts w:hint="eastAsia" w:ascii="Times New Roman" w:hAnsi="Times New Roman" w:eastAsia="宋体" w:cs="Times New Roman"/>
                      <w:color w:val="auto"/>
                      <w:szCs w:val="21"/>
                      <w:highlight w:val="none"/>
                    </w:rPr>
                    <w:t>一并</w:t>
                  </w:r>
                  <w:r>
                    <w:rPr>
                      <w:rFonts w:hint="eastAsia" w:ascii="Times New Roman" w:hAnsi="Times New Roman" w:eastAsia="宋体" w:cs="Times New Roman"/>
                      <w:bCs/>
                      <w:color w:val="auto"/>
                      <w:szCs w:val="21"/>
                      <w:highlight w:val="none"/>
                    </w:rPr>
                    <w:t>通过“两级活性炭吸附装置”处理后由20</w:t>
                  </w:r>
                  <w:r>
                    <w:rPr>
                      <w:rFonts w:ascii="Times New Roman" w:hAnsi="Times New Roman" w:eastAsia="宋体" w:cs="Times New Roman"/>
                      <w:bCs/>
                      <w:color w:val="auto"/>
                      <w:szCs w:val="21"/>
                      <w:highlight w:val="none"/>
                    </w:rPr>
                    <w:t>m</w:t>
                  </w:r>
                  <w:r>
                    <w:rPr>
                      <w:rFonts w:hint="eastAsia" w:ascii="Times New Roman" w:hAnsi="Times New Roman" w:eastAsia="宋体" w:cs="Times New Roman"/>
                      <w:bCs/>
                      <w:color w:val="auto"/>
                      <w:szCs w:val="21"/>
                      <w:highlight w:val="none"/>
                    </w:rPr>
                    <w:t>高DA001排气筒排放</w:t>
                  </w:r>
                </w:p>
              </w:tc>
            </w:tr>
            <w:tr w14:paraId="5C707CA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41A00780">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211F16ED">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废水</w:t>
                  </w:r>
                </w:p>
              </w:tc>
              <w:tc>
                <w:tcPr>
                  <w:tcW w:w="5774" w:type="dxa"/>
                  <w:gridSpan w:val="2"/>
                  <w:vAlign w:val="center"/>
                </w:tcPr>
                <w:p w14:paraId="5598E815">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雨污分流。雨水排入市政雨水管网；生活污水经化粪池预处理后</w:t>
                  </w:r>
                  <w:r>
                    <w:rPr>
                      <w:rFonts w:ascii="Times New Roman" w:hAnsi="Times New Roman"/>
                      <w:color w:val="auto"/>
                      <w:highlight w:val="none"/>
                    </w:rPr>
                    <w:t>排入八公山污水处理厂</w:t>
                  </w:r>
                </w:p>
              </w:tc>
            </w:tr>
            <w:tr w14:paraId="35E1904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1875A6A7">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008DAA27">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噪声</w:t>
                  </w:r>
                </w:p>
              </w:tc>
              <w:tc>
                <w:tcPr>
                  <w:tcW w:w="5774" w:type="dxa"/>
                  <w:gridSpan w:val="2"/>
                  <w:vAlign w:val="center"/>
                </w:tcPr>
                <w:p w14:paraId="49622088">
                  <w:pPr>
                    <w:spacing w:line="276" w:lineRule="auto"/>
                    <w:jc w:val="center"/>
                    <w:rPr>
                      <w:color w:val="auto"/>
                      <w:highlight w:val="none"/>
                    </w:rPr>
                  </w:pPr>
                  <w:r>
                    <w:rPr>
                      <w:rFonts w:hint="eastAsia"/>
                      <w:color w:val="auto"/>
                      <w:highlight w:val="none"/>
                    </w:rPr>
                    <w:t>选用低噪声设备，通过合理布局、基础减震、隔声、消声等措施来降低噪声</w:t>
                  </w:r>
                </w:p>
              </w:tc>
            </w:tr>
            <w:tr w14:paraId="1B94613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052BFF7F">
                  <w:pPr>
                    <w:spacing w:line="276" w:lineRule="auto"/>
                    <w:jc w:val="center"/>
                    <w:rPr>
                      <w:rFonts w:ascii="Times New Roman" w:hAnsi="Times New Roman" w:eastAsia="宋体" w:cs="Times New Roman"/>
                      <w:bCs/>
                      <w:color w:val="auto"/>
                      <w:szCs w:val="21"/>
                      <w:highlight w:val="none"/>
                    </w:rPr>
                  </w:pPr>
                </w:p>
              </w:tc>
              <w:tc>
                <w:tcPr>
                  <w:tcW w:w="1747" w:type="dxa"/>
                  <w:vMerge w:val="restart"/>
                  <w:vAlign w:val="center"/>
                </w:tcPr>
                <w:p w14:paraId="18A527E7">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固废</w:t>
                  </w:r>
                </w:p>
              </w:tc>
              <w:tc>
                <w:tcPr>
                  <w:tcW w:w="5774" w:type="dxa"/>
                  <w:gridSpan w:val="2"/>
                  <w:vAlign w:val="center"/>
                </w:tcPr>
                <w:p w14:paraId="7B1DE350">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生活垃圾：由环卫部门清运</w:t>
                  </w:r>
                </w:p>
              </w:tc>
            </w:tr>
            <w:tr w14:paraId="4198A8B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080" w:hRule="atLeast"/>
                <w:jc w:val="center"/>
              </w:trPr>
              <w:tc>
                <w:tcPr>
                  <w:tcW w:w="868" w:type="dxa"/>
                  <w:vMerge w:val="continue"/>
                  <w:vAlign w:val="center"/>
                </w:tcPr>
                <w:p w14:paraId="37FF56EC">
                  <w:pPr>
                    <w:spacing w:line="276" w:lineRule="auto"/>
                    <w:jc w:val="center"/>
                    <w:rPr>
                      <w:rFonts w:ascii="Times New Roman" w:hAnsi="Times New Roman" w:eastAsia="宋体" w:cs="Times New Roman"/>
                      <w:bCs/>
                      <w:color w:val="auto"/>
                      <w:szCs w:val="21"/>
                      <w:highlight w:val="none"/>
                    </w:rPr>
                  </w:pPr>
                </w:p>
              </w:tc>
              <w:tc>
                <w:tcPr>
                  <w:tcW w:w="1747" w:type="dxa"/>
                  <w:vMerge w:val="continue"/>
                  <w:vAlign w:val="center"/>
                </w:tcPr>
                <w:p w14:paraId="0CB2FC07">
                  <w:pPr>
                    <w:spacing w:line="276" w:lineRule="auto"/>
                    <w:jc w:val="center"/>
                    <w:rPr>
                      <w:rFonts w:ascii="Times New Roman" w:hAnsi="Times New Roman" w:eastAsia="宋体" w:cs="Times New Roman"/>
                      <w:bCs/>
                      <w:color w:val="auto"/>
                      <w:szCs w:val="21"/>
                      <w:highlight w:val="none"/>
                    </w:rPr>
                  </w:pPr>
                </w:p>
              </w:tc>
              <w:tc>
                <w:tcPr>
                  <w:tcW w:w="5774" w:type="dxa"/>
                  <w:gridSpan w:val="2"/>
                  <w:vAlign w:val="center"/>
                </w:tcPr>
                <w:p w14:paraId="784DE0BE">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危险废物：位于厂房</w:t>
                  </w:r>
                  <w:r>
                    <w:rPr>
                      <w:rFonts w:hint="eastAsia" w:ascii="Times New Roman" w:hAnsi="Times New Roman" w:eastAsia="宋体" w:cs="Times New Roman"/>
                      <w:bCs/>
                      <w:color w:val="auto"/>
                      <w:szCs w:val="21"/>
                      <w:highlight w:val="none"/>
                    </w:rPr>
                    <w:t>3楼东侧，设一座20</w:t>
                  </w:r>
                  <w:r>
                    <w:rPr>
                      <w:rFonts w:ascii="Times New Roman" w:hAnsi="Times New Roman" w:eastAsia="宋体" w:cs="Times New Roman"/>
                      <w:bCs/>
                      <w:color w:val="auto"/>
                      <w:szCs w:val="21"/>
                      <w:highlight w:val="none"/>
                    </w:rPr>
                    <w:t>m</w:t>
                  </w:r>
                  <w:r>
                    <w:rPr>
                      <w:rFonts w:ascii="Times New Roman" w:hAnsi="Times New Roman" w:eastAsia="宋体" w:cs="Times New Roman"/>
                      <w:bCs/>
                      <w:color w:val="auto"/>
                      <w:szCs w:val="21"/>
                      <w:highlight w:val="none"/>
                      <w:vertAlign w:val="superscript"/>
                    </w:rPr>
                    <w:t>2</w:t>
                  </w:r>
                  <w:r>
                    <w:rPr>
                      <w:rFonts w:hint="eastAsia" w:ascii="Times New Roman" w:hAnsi="Times New Roman" w:eastAsia="宋体" w:cs="Times New Roman"/>
                      <w:bCs/>
                      <w:color w:val="auto"/>
                      <w:szCs w:val="21"/>
                      <w:highlight w:val="none"/>
                    </w:rPr>
                    <w:t>危险废物暂存间，暂存</w:t>
                  </w:r>
                  <w:r>
                    <w:rPr>
                      <w:rFonts w:hint="eastAsia"/>
                      <w:color w:val="auto"/>
                      <w:szCs w:val="21"/>
                      <w:highlight w:val="none"/>
                    </w:rPr>
                    <w:t>废涂料桶、废漆渣、废过滤棉、废活性炭、水帘喷漆装置定期更换的废液、废润滑油、废润滑油桶</w:t>
                  </w:r>
                  <w:r>
                    <w:rPr>
                      <w:rFonts w:hint="eastAsia" w:ascii="Times New Roman" w:hAnsi="Times New Roman" w:eastAsia="宋体" w:cs="Times New Roman"/>
                      <w:bCs/>
                      <w:color w:val="auto"/>
                      <w:szCs w:val="21"/>
                      <w:highlight w:val="none"/>
                    </w:rPr>
                    <w:t>等危险废物，委托有资质的单位定期处置</w:t>
                  </w:r>
                </w:p>
              </w:tc>
            </w:tr>
            <w:tr w14:paraId="1601A52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080" w:hRule="atLeast"/>
                <w:jc w:val="center"/>
              </w:trPr>
              <w:tc>
                <w:tcPr>
                  <w:tcW w:w="868" w:type="dxa"/>
                  <w:vMerge w:val="continue"/>
                  <w:vAlign w:val="center"/>
                </w:tcPr>
                <w:p w14:paraId="7A4CA591">
                  <w:pPr>
                    <w:spacing w:line="276" w:lineRule="auto"/>
                    <w:jc w:val="center"/>
                    <w:rPr>
                      <w:rFonts w:ascii="Times New Roman" w:hAnsi="Times New Roman" w:eastAsia="宋体" w:cs="Times New Roman"/>
                      <w:bCs/>
                      <w:color w:val="auto"/>
                      <w:szCs w:val="21"/>
                      <w:highlight w:val="none"/>
                    </w:rPr>
                  </w:pPr>
                </w:p>
              </w:tc>
              <w:tc>
                <w:tcPr>
                  <w:tcW w:w="1747" w:type="dxa"/>
                  <w:vMerge w:val="continue"/>
                  <w:vAlign w:val="center"/>
                </w:tcPr>
                <w:p w14:paraId="51A721C3">
                  <w:pPr>
                    <w:spacing w:line="276" w:lineRule="auto"/>
                    <w:jc w:val="center"/>
                    <w:rPr>
                      <w:rFonts w:ascii="Times New Roman" w:hAnsi="Times New Roman" w:eastAsia="宋体" w:cs="Times New Roman"/>
                      <w:bCs/>
                      <w:color w:val="auto"/>
                      <w:szCs w:val="21"/>
                      <w:highlight w:val="none"/>
                    </w:rPr>
                  </w:pPr>
                </w:p>
              </w:tc>
              <w:tc>
                <w:tcPr>
                  <w:tcW w:w="5774" w:type="dxa"/>
                  <w:gridSpan w:val="2"/>
                  <w:vAlign w:val="center"/>
                </w:tcPr>
                <w:p w14:paraId="40AB096B">
                  <w:pPr>
                    <w:spacing w:line="276" w:lineRule="auto"/>
                    <w:jc w:val="center"/>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一般固体废物：位于厂房</w:t>
                  </w:r>
                  <w:r>
                    <w:rPr>
                      <w:rFonts w:hint="eastAsia" w:ascii="Times New Roman" w:hAnsi="Times New Roman" w:eastAsia="宋体" w:cs="Times New Roman"/>
                      <w:bCs/>
                      <w:color w:val="auto"/>
                      <w:szCs w:val="21"/>
                      <w:highlight w:val="none"/>
                    </w:rPr>
                    <w:t>2楼西北侧</w:t>
                  </w:r>
                  <w:r>
                    <w:rPr>
                      <w:rFonts w:ascii="Times New Roman" w:hAnsi="Times New Roman" w:eastAsia="宋体" w:cs="Times New Roman"/>
                      <w:bCs/>
                      <w:color w:val="auto"/>
                      <w:szCs w:val="21"/>
                      <w:highlight w:val="none"/>
                    </w:rPr>
                    <w:t>，设一座</w:t>
                  </w:r>
                  <w:r>
                    <w:rPr>
                      <w:rFonts w:hint="eastAsia" w:ascii="Times New Roman" w:hAnsi="Times New Roman" w:eastAsia="宋体" w:cs="Times New Roman"/>
                      <w:bCs/>
                      <w:color w:val="auto"/>
                      <w:szCs w:val="21"/>
                      <w:highlight w:val="none"/>
                    </w:rPr>
                    <w:t>15</w:t>
                  </w:r>
                  <w:r>
                    <w:rPr>
                      <w:rFonts w:ascii="Times New Roman" w:hAnsi="Times New Roman" w:eastAsia="宋体" w:cs="Times New Roman"/>
                      <w:bCs/>
                      <w:color w:val="auto"/>
                      <w:szCs w:val="21"/>
                      <w:highlight w:val="none"/>
                    </w:rPr>
                    <w:t>m</w:t>
                  </w:r>
                  <w:r>
                    <w:rPr>
                      <w:rFonts w:ascii="Times New Roman" w:hAnsi="Times New Roman" w:eastAsia="宋体" w:cs="Times New Roman"/>
                      <w:bCs/>
                      <w:color w:val="auto"/>
                      <w:szCs w:val="21"/>
                      <w:highlight w:val="none"/>
                      <w:vertAlign w:val="superscript"/>
                    </w:rPr>
                    <w:t>2</w:t>
                  </w:r>
                  <w:r>
                    <w:rPr>
                      <w:rFonts w:ascii="Times New Roman" w:hAnsi="Times New Roman" w:eastAsia="宋体" w:cs="Times New Roman"/>
                      <w:bCs/>
                      <w:color w:val="auto"/>
                      <w:szCs w:val="21"/>
                      <w:highlight w:val="none"/>
                    </w:rPr>
                    <w:t>一般工业固体废物暂存间，暂存布袋除尘器收集粉尘，布袋除尘器收集粉尘定期外售综合利用</w:t>
                  </w:r>
                </w:p>
              </w:tc>
            </w:tr>
            <w:tr w14:paraId="534428D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868" w:type="dxa"/>
                  <w:vMerge w:val="continue"/>
                  <w:vAlign w:val="center"/>
                </w:tcPr>
                <w:p w14:paraId="48D3DEF9">
                  <w:pPr>
                    <w:spacing w:line="276" w:lineRule="auto"/>
                    <w:jc w:val="center"/>
                    <w:rPr>
                      <w:rFonts w:ascii="Times New Roman" w:hAnsi="Times New Roman" w:eastAsia="宋体" w:cs="Times New Roman"/>
                      <w:bCs/>
                      <w:color w:val="auto"/>
                      <w:szCs w:val="21"/>
                      <w:highlight w:val="none"/>
                    </w:rPr>
                  </w:pPr>
                </w:p>
              </w:tc>
              <w:tc>
                <w:tcPr>
                  <w:tcW w:w="1747" w:type="dxa"/>
                  <w:vAlign w:val="center"/>
                </w:tcPr>
                <w:p w14:paraId="60CCE1B2">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环境风险</w:t>
                  </w:r>
                </w:p>
              </w:tc>
              <w:tc>
                <w:tcPr>
                  <w:tcW w:w="5774" w:type="dxa"/>
                  <w:gridSpan w:val="2"/>
                  <w:vAlign w:val="center"/>
                </w:tcPr>
                <w:p w14:paraId="61E3CDE2">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（1）分区防渗：项目危废暂存间、喷漆烘干区、调漆房、供漆室采取重点防渗，其他区域厂房一般防渗</w:t>
                  </w:r>
                </w:p>
                <w:p w14:paraId="2F6B48A6">
                  <w:pPr>
                    <w:spacing w:line="276" w:lineRule="auto"/>
                    <w:jc w:val="center"/>
                    <w:rPr>
                      <w:rFonts w:ascii="Times New Roman" w:hAnsi="Times New Roman" w:eastAsia="宋体" w:cs="Times New Roman"/>
                      <w:bCs/>
                      <w:color w:val="auto"/>
                      <w:szCs w:val="21"/>
                      <w:highlight w:val="none"/>
                    </w:rPr>
                  </w:pPr>
                  <w:r>
                    <w:rPr>
                      <w:rFonts w:hint="eastAsia" w:ascii="Times New Roman" w:hAnsi="Times New Roman" w:eastAsia="宋体" w:cs="Times New Roman"/>
                      <w:bCs/>
                      <w:color w:val="auto"/>
                      <w:szCs w:val="21"/>
                      <w:highlight w:val="none"/>
                    </w:rPr>
                    <w:t>（2）项目危废暂存间、供漆室设置导流沟、集液池，并配置消防沙、干粉灭火器等消防设施</w:t>
                  </w:r>
                </w:p>
                <w:p w14:paraId="04461144">
                  <w:pPr>
                    <w:spacing w:line="276" w:lineRule="auto"/>
                    <w:jc w:val="center"/>
                    <w:rPr>
                      <w:rFonts w:hint="default" w:ascii="Times New Roman" w:hAnsi="Times New Roman" w:eastAsia="宋体" w:cs="Times New Roman"/>
                      <w:bCs/>
                      <w:color w:val="auto"/>
                      <w:szCs w:val="21"/>
                      <w:highlight w:val="none"/>
                      <w:lang w:val="en-US"/>
                    </w:rPr>
                  </w:pPr>
                  <w:r>
                    <w:rPr>
                      <w:rFonts w:hint="eastAsia" w:ascii="Times New Roman" w:hAnsi="Times New Roman" w:eastAsia="宋体" w:cs="Times New Roman"/>
                      <w:bCs/>
                      <w:color w:val="auto"/>
                      <w:szCs w:val="21"/>
                      <w:highlight w:val="none"/>
                    </w:rPr>
                    <w:t>（3）编制突发环境事件应急预案</w:t>
                  </w:r>
                  <w:r>
                    <w:rPr>
                      <w:rFonts w:hint="eastAsia" w:ascii="Times New Roman" w:hAnsi="Times New Roman" w:eastAsia="宋体" w:cs="Times New Roman"/>
                      <w:bCs/>
                      <w:color w:val="auto"/>
                      <w:szCs w:val="21"/>
                      <w:highlight w:val="none"/>
                      <w:lang w:val="en-US" w:eastAsia="zh-CN"/>
                    </w:rPr>
                    <w:t>并到生态环境主管部门备案</w:t>
                  </w:r>
                </w:p>
              </w:tc>
            </w:tr>
          </w:tbl>
          <w:p w14:paraId="34F3C335">
            <w:pPr>
              <w:spacing w:line="360" w:lineRule="auto"/>
              <w:ind w:firstLine="482" w:firstLineChars="200"/>
              <w:jc w:val="left"/>
              <w:rPr>
                <w:rFonts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3</w:t>
            </w:r>
            <w:r>
              <w:rPr>
                <w:rFonts w:ascii="Times New Roman" w:hAnsi="Times New Roman" w:eastAsia="宋体" w:cs="Times New Roman"/>
                <w:b/>
                <w:bCs/>
                <w:sz w:val="24"/>
                <w:szCs w:val="24"/>
                <w:highlight w:val="none"/>
              </w:rPr>
              <w:t>、</w:t>
            </w:r>
            <w:r>
              <w:rPr>
                <w:rFonts w:hint="eastAsia" w:ascii="Times New Roman" w:hAnsi="Times New Roman" w:eastAsia="宋体" w:cs="Times New Roman"/>
                <w:b/>
                <w:bCs/>
                <w:sz w:val="24"/>
                <w:szCs w:val="24"/>
                <w:highlight w:val="none"/>
              </w:rPr>
              <w:t>产品方案</w:t>
            </w:r>
          </w:p>
          <w:p w14:paraId="59C16F49">
            <w:pPr>
              <w:spacing w:line="360" w:lineRule="auto"/>
              <w:ind w:firstLine="480" w:firstLineChars="200"/>
              <w:jc w:val="left"/>
              <w:rPr>
                <w:rFonts w:ascii="Times New Roman" w:hAnsi="Times New Roman" w:eastAsia="宋体" w:cs="宋体"/>
                <w:bCs/>
                <w:sz w:val="24"/>
                <w:szCs w:val="24"/>
                <w:highlight w:val="none"/>
              </w:rPr>
            </w:pPr>
            <w:r>
              <w:rPr>
                <w:rFonts w:hint="eastAsia" w:ascii="Times New Roman" w:hAnsi="Times New Roman" w:eastAsia="宋体" w:cs="宋体"/>
                <w:bCs/>
                <w:sz w:val="24"/>
                <w:szCs w:val="24"/>
                <w:highlight w:val="none"/>
              </w:rPr>
              <w:t>本项目产品主要为汽车零部件，项目产品方案见下表。</w:t>
            </w:r>
          </w:p>
          <w:p w14:paraId="7CC34F47">
            <w:pPr>
              <w:spacing w:line="360" w:lineRule="auto"/>
              <w:jc w:val="center"/>
              <w:rPr>
                <w:rFonts w:ascii="Times New Roman" w:hAnsi="Times New Roman" w:eastAsia="黑体" w:cs="Times New Roman"/>
                <w:bCs/>
                <w:sz w:val="24"/>
                <w:szCs w:val="24"/>
                <w:highlight w:val="none"/>
              </w:rPr>
            </w:pPr>
          </w:p>
          <w:p w14:paraId="65684B75">
            <w:pPr>
              <w:spacing w:line="360" w:lineRule="auto"/>
              <w:jc w:val="center"/>
              <w:rPr>
                <w:rFonts w:ascii="Times New Roman" w:hAnsi="Times New Roman" w:eastAsia="黑体" w:cs="Times New Roman"/>
                <w:bCs/>
                <w:sz w:val="24"/>
                <w:szCs w:val="24"/>
                <w:highlight w:val="none"/>
              </w:rPr>
            </w:pPr>
          </w:p>
          <w:p w14:paraId="1F40D60D">
            <w:pPr>
              <w:spacing w:line="360" w:lineRule="auto"/>
              <w:jc w:val="center"/>
              <w:rPr>
                <w:rFonts w:ascii="Times New Roman" w:hAnsi="Times New Roman" w:eastAsia="黑体" w:cs="Times New Roman"/>
                <w:bCs/>
                <w:sz w:val="24"/>
                <w:szCs w:val="24"/>
                <w:highlight w:val="none"/>
              </w:rPr>
            </w:pPr>
          </w:p>
          <w:p w14:paraId="044D60FE">
            <w:pPr>
              <w:spacing w:line="360" w:lineRule="auto"/>
              <w:jc w:val="center"/>
              <w:rPr>
                <w:rFonts w:ascii="Times New Roman" w:hAnsi="Times New Roman" w:eastAsia="黑体" w:cs="Times New Roman"/>
                <w:bCs/>
                <w:sz w:val="24"/>
                <w:szCs w:val="24"/>
                <w:highlight w:val="none"/>
              </w:rPr>
            </w:pPr>
            <w:r>
              <w:rPr>
                <w:rFonts w:ascii="Times New Roman" w:hAnsi="Times New Roman" w:eastAsia="黑体" w:cs="Times New Roman"/>
                <w:bCs/>
                <w:sz w:val="24"/>
                <w:szCs w:val="24"/>
                <w:highlight w:val="none"/>
              </w:rPr>
              <w:t>表</w:t>
            </w:r>
            <w:r>
              <w:rPr>
                <w:rFonts w:hint="eastAsia" w:ascii="Times New Roman" w:hAnsi="Times New Roman" w:eastAsia="黑体" w:cs="Times New Roman"/>
                <w:bCs/>
                <w:sz w:val="24"/>
                <w:szCs w:val="24"/>
                <w:highlight w:val="none"/>
              </w:rPr>
              <w:t>2-</w:t>
            </w:r>
            <w:r>
              <w:rPr>
                <w:rFonts w:hint="eastAsia" w:ascii="Times New Roman" w:hAnsi="Times New Roman" w:eastAsia="黑体" w:cs="Times New Roman"/>
                <w:bCs/>
                <w:sz w:val="24"/>
                <w:szCs w:val="24"/>
                <w:highlight w:val="none"/>
                <w:lang w:val="en-US" w:eastAsia="zh-CN"/>
              </w:rPr>
              <w:t>4</w:t>
            </w:r>
            <w:r>
              <w:rPr>
                <w:rFonts w:hint="eastAsia" w:ascii="Times New Roman" w:hAnsi="Times New Roman" w:eastAsia="黑体" w:cs="Times New Roman"/>
                <w:bCs/>
                <w:sz w:val="24"/>
                <w:szCs w:val="24"/>
                <w:highlight w:val="none"/>
              </w:rPr>
              <w:t xml:space="preserve">  项目产品方案</w:t>
            </w:r>
            <w:r>
              <w:rPr>
                <w:rFonts w:ascii="Times New Roman" w:hAnsi="Times New Roman" w:eastAsia="黑体" w:cs="Times New Roman"/>
                <w:bCs/>
                <w:sz w:val="24"/>
                <w:szCs w:val="24"/>
                <w:highlight w:val="none"/>
              </w:rPr>
              <w:t>一览表</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426"/>
              <w:gridCol w:w="709"/>
              <w:gridCol w:w="1107"/>
              <w:gridCol w:w="2030"/>
              <w:gridCol w:w="925"/>
              <w:gridCol w:w="925"/>
              <w:gridCol w:w="928"/>
              <w:gridCol w:w="923"/>
            </w:tblGrid>
            <w:tr w14:paraId="3FEB704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6" w:type="pct"/>
                  <w:vAlign w:val="center"/>
                </w:tcPr>
                <w:p w14:paraId="3D576B58">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序号</w:t>
                  </w:r>
                </w:p>
              </w:tc>
              <w:tc>
                <w:tcPr>
                  <w:tcW w:w="833" w:type="pct"/>
                  <w:gridSpan w:val="2"/>
                  <w:vAlign w:val="center"/>
                </w:tcPr>
                <w:p w14:paraId="22510175">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产品名称</w:t>
                  </w:r>
                </w:p>
              </w:tc>
              <w:tc>
                <w:tcPr>
                  <w:tcW w:w="732" w:type="pct"/>
                  <w:vAlign w:val="center"/>
                </w:tcPr>
                <w:p w14:paraId="50DA13D9">
                  <w:pPr>
                    <w:spacing w:line="276" w:lineRule="auto"/>
                    <w:jc w:val="center"/>
                    <w:rPr>
                      <w:rFonts w:ascii="Times New Roman" w:hAnsi="Times New Roman" w:cs="Times New Roman"/>
                      <w:b/>
                      <w:bCs/>
                      <w:sz w:val="48"/>
                      <w:szCs w:val="21"/>
                      <w:highlight w:val="none"/>
                    </w:rPr>
                  </w:pPr>
                  <w:r>
                    <w:rPr>
                      <w:rFonts w:ascii="Times New Roman" w:hAnsi="Times New Roman" w:cs="Times New Roman"/>
                      <w:b/>
                      <w:szCs w:val="21"/>
                      <w:highlight w:val="none"/>
                    </w:rPr>
                    <w:t>单件喷涂面积（m</w:t>
                  </w:r>
                  <w:r>
                    <w:rPr>
                      <w:rFonts w:hint="eastAsia" w:ascii="Times New Roman" w:hAnsi="Times New Roman" w:cs="Times New Roman"/>
                      <w:b/>
                      <w:szCs w:val="21"/>
                      <w:highlight w:val="none"/>
                      <w:vertAlign w:val="superscript"/>
                    </w:rPr>
                    <w:t>2</w:t>
                  </w:r>
                  <w:r>
                    <w:rPr>
                      <w:rFonts w:ascii="Times New Roman" w:hAnsi="Times New Roman" w:cs="Times New Roman"/>
                      <w:b/>
                      <w:szCs w:val="21"/>
                      <w:highlight w:val="none"/>
                    </w:rPr>
                    <w:t>）</w:t>
                  </w:r>
                </w:p>
              </w:tc>
              <w:tc>
                <w:tcPr>
                  <w:tcW w:w="624" w:type="pct"/>
                  <w:vAlign w:val="center"/>
                </w:tcPr>
                <w:p w14:paraId="7297101C">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规格（长×宽）</w:t>
                  </w:r>
                </w:p>
              </w:tc>
              <w:tc>
                <w:tcPr>
                  <w:tcW w:w="624" w:type="pct"/>
                  <w:vAlign w:val="center"/>
                </w:tcPr>
                <w:p w14:paraId="45D5587E">
                  <w:pPr>
                    <w:spacing w:line="276" w:lineRule="auto"/>
                    <w:jc w:val="center"/>
                    <w:rPr>
                      <w:rFonts w:ascii="Times New Roman" w:hAnsi="Times New Roman" w:cs="Times New Roman"/>
                      <w:b/>
                      <w:bCs/>
                      <w:sz w:val="48"/>
                      <w:szCs w:val="21"/>
                      <w:highlight w:val="none"/>
                    </w:rPr>
                  </w:pPr>
                  <w:r>
                    <w:rPr>
                      <w:rFonts w:ascii="Times New Roman" w:hAnsi="Times New Roman" w:cs="Times New Roman"/>
                      <w:b/>
                      <w:szCs w:val="21"/>
                      <w:highlight w:val="none"/>
                    </w:rPr>
                    <w:t>单件质量（</w:t>
                  </w:r>
                  <w:r>
                    <w:rPr>
                      <w:rFonts w:hint="eastAsia" w:ascii="Times New Roman" w:hAnsi="Times New Roman" w:cs="Times New Roman"/>
                      <w:b/>
                      <w:szCs w:val="21"/>
                      <w:highlight w:val="none"/>
                    </w:rPr>
                    <w:t>kg</w:t>
                  </w:r>
                  <w:r>
                    <w:rPr>
                      <w:rFonts w:ascii="Times New Roman" w:hAnsi="Times New Roman" w:cs="Times New Roman"/>
                      <w:b/>
                      <w:szCs w:val="21"/>
                      <w:highlight w:val="none"/>
                    </w:rPr>
                    <w:t>）</w:t>
                  </w:r>
                </w:p>
              </w:tc>
              <w:tc>
                <w:tcPr>
                  <w:tcW w:w="624" w:type="pct"/>
                  <w:vAlign w:val="center"/>
                </w:tcPr>
                <w:p w14:paraId="2C62B906">
                  <w:pPr>
                    <w:spacing w:line="276" w:lineRule="auto"/>
                    <w:jc w:val="center"/>
                    <w:rPr>
                      <w:rFonts w:ascii="Times New Roman" w:hAnsi="Times New Roman" w:cs="Times New Roman"/>
                      <w:b/>
                      <w:bCs/>
                      <w:sz w:val="48"/>
                      <w:szCs w:val="21"/>
                      <w:highlight w:val="none"/>
                    </w:rPr>
                  </w:pPr>
                  <w:r>
                    <w:rPr>
                      <w:rFonts w:ascii="Times New Roman" w:hAnsi="Times New Roman" w:cs="Times New Roman"/>
                      <w:b/>
                      <w:szCs w:val="21"/>
                      <w:highlight w:val="none"/>
                    </w:rPr>
                    <w:t>产量</w:t>
                  </w:r>
                </w:p>
              </w:tc>
              <w:tc>
                <w:tcPr>
                  <w:tcW w:w="625" w:type="pct"/>
                  <w:vAlign w:val="center"/>
                </w:tcPr>
                <w:p w14:paraId="16F8CE73">
                  <w:pPr>
                    <w:spacing w:line="276" w:lineRule="auto"/>
                    <w:jc w:val="center"/>
                    <w:rPr>
                      <w:rFonts w:ascii="Times New Roman" w:hAnsi="Times New Roman" w:cs="Times New Roman"/>
                      <w:b/>
                      <w:bCs/>
                      <w:sz w:val="48"/>
                      <w:szCs w:val="21"/>
                      <w:highlight w:val="none"/>
                    </w:rPr>
                  </w:pPr>
                  <w:r>
                    <w:rPr>
                      <w:rFonts w:hint="eastAsia" w:ascii="Times New Roman" w:hAnsi="Times New Roman" w:cs="Times New Roman"/>
                      <w:b/>
                      <w:szCs w:val="21"/>
                      <w:highlight w:val="none"/>
                    </w:rPr>
                    <w:t>单项</w:t>
                  </w:r>
                  <w:r>
                    <w:rPr>
                      <w:rFonts w:ascii="Times New Roman" w:hAnsi="Times New Roman" w:cs="Times New Roman"/>
                      <w:b/>
                      <w:szCs w:val="21"/>
                      <w:highlight w:val="none"/>
                    </w:rPr>
                    <w:t>喷涂面积（m</w:t>
                  </w:r>
                  <w:r>
                    <w:rPr>
                      <w:rFonts w:hint="eastAsia" w:ascii="Times New Roman" w:hAnsi="Times New Roman" w:cs="Times New Roman"/>
                      <w:b/>
                      <w:szCs w:val="21"/>
                      <w:highlight w:val="none"/>
                      <w:vertAlign w:val="superscript"/>
                    </w:rPr>
                    <w:t>2</w:t>
                  </w:r>
                  <w:r>
                    <w:rPr>
                      <w:rFonts w:ascii="Times New Roman" w:hAnsi="Times New Roman" w:cs="Times New Roman"/>
                      <w:b/>
                      <w:szCs w:val="21"/>
                      <w:highlight w:val="none"/>
                    </w:rPr>
                    <w:t>）</w:t>
                  </w:r>
                </w:p>
              </w:tc>
              <w:tc>
                <w:tcPr>
                  <w:tcW w:w="624" w:type="pct"/>
                  <w:vAlign w:val="center"/>
                </w:tcPr>
                <w:p w14:paraId="2C551E74">
                  <w:pPr>
                    <w:spacing w:line="276" w:lineRule="auto"/>
                    <w:jc w:val="center"/>
                    <w:rPr>
                      <w:rFonts w:ascii="Times New Roman" w:hAnsi="Times New Roman" w:cs="Times New Roman"/>
                      <w:b/>
                      <w:bCs/>
                      <w:sz w:val="48"/>
                      <w:szCs w:val="21"/>
                      <w:highlight w:val="none"/>
                    </w:rPr>
                  </w:pPr>
                  <w:r>
                    <w:rPr>
                      <w:rFonts w:ascii="Times New Roman" w:hAnsi="Times New Roman" w:cs="Times New Roman"/>
                      <w:b/>
                      <w:szCs w:val="21"/>
                      <w:highlight w:val="none"/>
                    </w:rPr>
                    <w:t>总喷涂面积（m</w:t>
                  </w:r>
                  <w:r>
                    <w:rPr>
                      <w:rFonts w:hint="eastAsia" w:ascii="Times New Roman" w:hAnsi="Times New Roman" w:cs="Times New Roman"/>
                      <w:b/>
                      <w:szCs w:val="21"/>
                      <w:highlight w:val="none"/>
                      <w:vertAlign w:val="superscript"/>
                    </w:rPr>
                    <w:t>2</w:t>
                  </w:r>
                  <w:r>
                    <w:rPr>
                      <w:rFonts w:ascii="Times New Roman" w:hAnsi="Times New Roman" w:cs="Times New Roman"/>
                      <w:b/>
                      <w:szCs w:val="21"/>
                      <w:highlight w:val="none"/>
                    </w:rPr>
                    <w:t>）</w:t>
                  </w:r>
                </w:p>
              </w:tc>
            </w:tr>
            <w:tr w14:paraId="418514A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6" w:type="pct"/>
                  <w:vMerge w:val="restart"/>
                  <w:vAlign w:val="center"/>
                </w:tcPr>
                <w:p w14:paraId="333C57A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w:t>
                  </w:r>
                </w:p>
              </w:tc>
              <w:tc>
                <w:tcPr>
                  <w:tcW w:w="279" w:type="pct"/>
                  <w:vMerge w:val="restart"/>
                  <w:vAlign w:val="center"/>
                </w:tcPr>
                <w:p w14:paraId="71A51FE1">
                  <w:pPr>
                    <w:spacing w:line="276" w:lineRule="auto"/>
                    <w:jc w:val="center"/>
                    <w:rPr>
                      <w:rFonts w:ascii="Times New Roman" w:hAnsi="Times New Roman" w:cs="Times New Roman"/>
                      <w:highlight w:val="none"/>
                    </w:rPr>
                  </w:pPr>
                  <w:r>
                    <w:rPr>
                      <w:rFonts w:ascii="Times New Roman" w:hAnsi="Times New Roman" w:cs="Times New Roman"/>
                      <w:highlight w:val="none"/>
                    </w:rPr>
                    <w:t>汽车</w:t>
                  </w:r>
                  <w:r>
                    <w:rPr>
                      <w:rFonts w:hint="eastAsia" w:ascii="Times New Roman" w:hAnsi="Times New Roman" w:cs="Times New Roman"/>
                      <w:highlight w:val="none"/>
                    </w:rPr>
                    <w:t>零部件</w:t>
                  </w:r>
                </w:p>
              </w:tc>
              <w:tc>
                <w:tcPr>
                  <w:tcW w:w="554" w:type="pct"/>
                  <w:vAlign w:val="center"/>
                </w:tcPr>
                <w:p w14:paraId="18DE5BCC">
                  <w:pPr>
                    <w:spacing w:line="276" w:lineRule="auto"/>
                    <w:jc w:val="center"/>
                    <w:rPr>
                      <w:rFonts w:ascii="Times New Roman" w:hAnsi="Times New Roman" w:cs="Times New Roman"/>
                      <w:highlight w:val="none"/>
                    </w:rPr>
                  </w:pPr>
                  <w:r>
                    <w:rPr>
                      <w:rFonts w:ascii="Times New Roman" w:hAnsi="Times New Roman" w:cs="Times New Roman"/>
                      <w:highlight w:val="none"/>
                    </w:rPr>
                    <w:t>主仪表</w:t>
                  </w:r>
                  <w:r>
                    <w:rPr>
                      <w:rFonts w:hint="eastAsia" w:ascii="Times New Roman" w:hAnsi="Times New Roman" w:cs="Times New Roman"/>
                      <w:highlight w:val="none"/>
                    </w:rPr>
                    <w:t>板</w:t>
                  </w:r>
                </w:p>
              </w:tc>
              <w:tc>
                <w:tcPr>
                  <w:tcW w:w="732" w:type="pct"/>
                  <w:vAlign w:val="center"/>
                </w:tcPr>
                <w:p w14:paraId="755D16CA">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0.6</w:t>
                  </w:r>
                </w:p>
              </w:tc>
              <w:tc>
                <w:tcPr>
                  <w:tcW w:w="1046" w:type="dxa"/>
                  <w:vAlign w:val="center"/>
                </w:tcPr>
                <w:p w14:paraId="13297F73">
                  <w:pPr>
                    <w:keepNext w:val="0"/>
                    <w:keepLines w:val="0"/>
                    <w:suppressLineNumbers w:val="0"/>
                    <w:spacing w:before="0" w:beforeAutospacing="0" w:after="0" w:afterAutospacing="0" w:line="276" w:lineRule="auto"/>
                    <w:ind w:left="0" w:leftChars="0" w:right="0" w:right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0.8~1.0m</w:t>
                  </w:r>
                  <w:r>
                    <w:rPr>
                      <w:rFonts w:hint="eastAsia" w:ascii="Times New Roman" w:hAnsi="Times New Roman" w:cs="Times New Roman"/>
                      <w:color w:val="auto"/>
                      <w:szCs w:val="21"/>
                      <w:highlight w:val="none"/>
                    </w:rPr>
                    <w:t>×</w:t>
                  </w:r>
                  <w:r>
                    <w:rPr>
                      <w:rFonts w:hint="eastAsia" w:ascii="Times New Roman" w:hAnsi="Times New Roman" w:cs="Times New Roman"/>
                      <w:color w:val="auto"/>
                      <w:szCs w:val="21"/>
                      <w:highlight w:val="none"/>
                      <w:lang w:val="en-US" w:eastAsia="zh-CN"/>
                    </w:rPr>
                    <w:t>0.6~0.8</w:t>
                  </w:r>
                  <w:r>
                    <w:rPr>
                      <w:rFonts w:hint="eastAsia" w:ascii="Times New Roman" w:hAnsi="Times New Roman" w:cs="Times New Roman"/>
                      <w:color w:val="auto"/>
                      <w:szCs w:val="21"/>
                      <w:highlight w:val="none"/>
                    </w:rPr>
                    <w:t>m</w:t>
                  </w:r>
                </w:p>
              </w:tc>
              <w:tc>
                <w:tcPr>
                  <w:tcW w:w="624" w:type="pct"/>
                  <w:vAlign w:val="center"/>
                </w:tcPr>
                <w:p w14:paraId="570DB84C">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5</w:t>
                  </w:r>
                </w:p>
              </w:tc>
              <w:tc>
                <w:tcPr>
                  <w:tcW w:w="624" w:type="pct"/>
                  <w:vAlign w:val="center"/>
                </w:tcPr>
                <w:p w14:paraId="40678AC5">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7.5万套/年</w:t>
                  </w:r>
                </w:p>
              </w:tc>
              <w:tc>
                <w:tcPr>
                  <w:tcW w:w="625" w:type="pct"/>
                  <w:vAlign w:val="center"/>
                </w:tcPr>
                <w:p w14:paraId="127D21FF">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4.5万</w:t>
                  </w:r>
                </w:p>
              </w:tc>
              <w:tc>
                <w:tcPr>
                  <w:tcW w:w="624" w:type="pct"/>
                  <w:vMerge w:val="restart"/>
                  <w:vAlign w:val="center"/>
                </w:tcPr>
                <w:p w14:paraId="76F7B88B">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63万</w:t>
                  </w:r>
                </w:p>
              </w:tc>
            </w:tr>
            <w:tr w14:paraId="2E60DE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6" w:type="pct"/>
                  <w:vMerge w:val="continue"/>
                  <w:vAlign w:val="center"/>
                </w:tcPr>
                <w:p w14:paraId="400B9ABD">
                  <w:pPr>
                    <w:spacing w:line="276" w:lineRule="auto"/>
                    <w:jc w:val="center"/>
                    <w:rPr>
                      <w:rFonts w:ascii="Times New Roman" w:hAnsi="Times New Roman" w:cs="Times New Roman"/>
                      <w:szCs w:val="21"/>
                      <w:highlight w:val="none"/>
                    </w:rPr>
                  </w:pPr>
                </w:p>
              </w:tc>
              <w:tc>
                <w:tcPr>
                  <w:tcW w:w="279" w:type="pct"/>
                  <w:vMerge w:val="continue"/>
                  <w:vAlign w:val="center"/>
                </w:tcPr>
                <w:p w14:paraId="02EFFF79">
                  <w:pPr>
                    <w:spacing w:line="276" w:lineRule="auto"/>
                    <w:jc w:val="center"/>
                    <w:rPr>
                      <w:rFonts w:ascii="Times New Roman" w:hAnsi="Times New Roman" w:cs="Times New Roman"/>
                      <w:highlight w:val="none"/>
                    </w:rPr>
                  </w:pPr>
                </w:p>
              </w:tc>
              <w:tc>
                <w:tcPr>
                  <w:tcW w:w="554" w:type="pct"/>
                  <w:vAlign w:val="center"/>
                </w:tcPr>
                <w:p w14:paraId="744D481F">
                  <w:pPr>
                    <w:spacing w:line="276" w:lineRule="auto"/>
                    <w:jc w:val="center"/>
                    <w:rPr>
                      <w:rFonts w:ascii="Times New Roman" w:hAnsi="Times New Roman" w:cs="Times New Roman"/>
                      <w:highlight w:val="none"/>
                    </w:rPr>
                  </w:pPr>
                  <w:r>
                    <w:rPr>
                      <w:rFonts w:ascii="Times New Roman" w:hAnsi="Times New Roman" w:cs="Times New Roman"/>
                      <w:highlight w:val="none"/>
                    </w:rPr>
                    <w:t>副仪表</w:t>
                  </w:r>
                  <w:r>
                    <w:rPr>
                      <w:rFonts w:hint="eastAsia" w:ascii="Times New Roman" w:hAnsi="Times New Roman" w:cs="Times New Roman"/>
                      <w:highlight w:val="none"/>
                    </w:rPr>
                    <w:t>板</w:t>
                  </w:r>
                </w:p>
              </w:tc>
              <w:tc>
                <w:tcPr>
                  <w:tcW w:w="732" w:type="pct"/>
                  <w:vAlign w:val="center"/>
                </w:tcPr>
                <w:p w14:paraId="1F4F26FA">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0.3</w:t>
                  </w:r>
                </w:p>
              </w:tc>
              <w:tc>
                <w:tcPr>
                  <w:tcW w:w="1046" w:type="dxa"/>
                  <w:vAlign w:val="center"/>
                </w:tcPr>
                <w:p w14:paraId="72053703">
                  <w:pPr>
                    <w:keepNext w:val="0"/>
                    <w:keepLines w:val="0"/>
                    <w:suppressLineNumbers w:val="0"/>
                    <w:spacing w:before="0" w:beforeAutospacing="0" w:after="0" w:afterAutospacing="0" w:line="276" w:lineRule="auto"/>
                    <w:ind w:left="0" w:leftChars="0" w:right="0" w:right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0.2~0.6</w:t>
                  </w:r>
                  <w:r>
                    <w:rPr>
                      <w:rFonts w:hint="eastAsia" w:ascii="Times New Roman" w:hAnsi="Times New Roman" w:cs="Times New Roman"/>
                      <w:color w:val="auto"/>
                      <w:szCs w:val="21"/>
                      <w:highlight w:val="none"/>
                    </w:rPr>
                    <w:t>m×0.</w:t>
                  </w:r>
                  <w:r>
                    <w:rPr>
                      <w:rFonts w:hint="eastAsia" w:ascii="Times New Roman" w:hAnsi="Times New Roman" w:cs="Times New Roman"/>
                      <w:color w:val="auto"/>
                      <w:szCs w:val="21"/>
                      <w:highlight w:val="none"/>
                      <w:lang w:val="en-US" w:eastAsia="zh-CN"/>
                    </w:rPr>
                    <w:t>8~0.9</w:t>
                  </w:r>
                  <w:r>
                    <w:rPr>
                      <w:rFonts w:hint="eastAsia" w:ascii="Times New Roman" w:hAnsi="Times New Roman" w:cs="Times New Roman"/>
                      <w:color w:val="auto"/>
                      <w:szCs w:val="21"/>
                      <w:highlight w:val="none"/>
                    </w:rPr>
                    <w:t>m</w:t>
                  </w:r>
                </w:p>
              </w:tc>
              <w:tc>
                <w:tcPr>
                  <w:tcW w:w="624" w:type="pct"/>
                  <w:vAlign w:val="center"/>
                </w:tcPr>
                <w:p w14:paraId="2946DBB1">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w:t>
                  </w:r>
                </w:p>
              </w:tc>
              <w:tc>
                <w:tcPr>
                  <w:tcW w:w="624" w:type="pct"/>
                  <w:vAlign w:val="center"/>
                </w:tcPr>
                <w:p w14:paraId="38D189C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190万套/年</w:t>
                  </w:r>
                </w:p>
              </w:tc>
              <w:tc>
                <w:tcPr>
                  <w:tcW w:w="625" w:type="pct"/>
                  <w:vAlign w:val="center"/>
                </w:tcPr>
                <w:p w14:paraId="53266165">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57万</w:t>
                  </w:r>
                </w:p>
              </w:tc>
              <w:tc>
                <w:tcPr>
                  <w:tcW w:w="624" w:type="pct"/>
                  <w:vMerge w:val="continue"/>
                  <w:vAlign w:val="center"/>
                </w:tcPr>
                <w:p w14:paraId="2716CE74">
                  <w:pPr>
                    <w:spacing w:line="276" w:lineRule="auto"/>
                    <w:jc w:val="center"/>
                    <w:rPr>
                      <w:rFonts w:ascii="Times New Roman" w:hAnsi="Times New Roman" w:cs="Times New Roman"/>
                      <w:szCs w:val="21"/>
                      <w:highlight w:val="none"/>
                    </w:rPr>
                  </w:pPr>
                </w:p>
              </w:tc>
            </w:tr>
            <w:tr w14:paraId="6299A65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16" w:type="pct"/>
                  <w:vMerge w:val="continue"/>
                  <w:vAlign w:val="center"/>
                </w:tcPr>
                <w:p w14:paraId="32F02A03">
                  <w:pPr>
                    <w:spacing w:line="276" w:lineRule="auto"/>
                    <w:jc w:val="center"/>
                    <w:rPr>
                      <w:rFonts w:ascii="Times New Roman" w:hAnsi="Times New Roman" w:cs="Times New Roman"/>
                      <w:szCs w:val="21"/>
                      <w:highlight w:val="none"/>
                    </w:rPr>
                  </w:pPr>
                </w:p>
              </w:tc>
              <w:tc>
                <w:tcPr>
                  <w:tcW w:w="279" w:type="pct"/>
                  <w:vMerge w:val="continue"/>
                  <w:vAlign w:val="center"/>
                </w:tcPr>
                <w:p w14:paraId="28BF313B">
                  <w:pPr>
                    <w:spacing w:line="276" w:lineRule="auto"/>
                    <w:jc w:val="center"/>
                    <w:rPr>
                      <w:rFonts w:ascii="Times New Roman" w:hAnsi="Times New Roman" w:cs="Times New Roman"/>
                      <w:highlight w:val="none"/>
                    </w:rPr>
                  </w:pPr>
                </w:p>
              </w:tc>
              <w:tc>
                <w:tcPr>
                  <w:tcW w:w="554" w:type="pct"/>
                  <w:vAlign w:val="center"/>
                </w:tcPr>
                <w:p w14:paraId="297092F1">
                  <w:pPr>
                    <w:spacing w:line="276" w:lineRule="auto"/>
                    <w:jc w:val="center"/>
                    <w:rPr>
                      <w:rFonts w:ascii="Times New Roman" w:hAnsi="Times New Roman" w:cs="Times New Roman"/>
                      <w:highlight w:val="none"/>
                    </w:rPr>
                  </w:pPr>
                  <w:r>
                    <w:rPr>
                      <w:rFonts w:hint="eastAsia" w:ascii="Times New Roman" w:hAnsi="Times New Roman" w:cs="Times New Roman"/>
                      <w:highlight w:val="none"/>
                    </w:rPr>
                    <w:t>门板</w:t>
                  </w:r>
                </w:p>
              </w:tc>
              <w:tc>
                <w:tcPr>
                  <w:tcW w:w="732" w:type="pct"/>
                  <w:vAlign w:val="center"/>
                </w:tcPr>
                <w:p w14:paraId="7652629B">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0.6</w:t>
                  </w:r>
                </w:p>
              </w:tc>
              <w:tc>
                <w:tcPr>
                  <w:tcW w:w="1046" w:type="dxa"/>
                  <w:vAlign w:val="center"/>
                </w:tcPr>
                <w:p w14:paraId="1BAD832C">
                  <w:pPr>
                    <w:keepNext w:val="0"/>
                    <w:keepLines w:val="0"/>
                    <w:suppressLineNumbers w:val="0"/>
                    <w:spacing w:before="0" w:beforeAutospacing="0" w:after="0" w:afterAutospacing="0" w:line="276" w:lineRule="auto"/>
                    <w:ind w:left="0" w:leftChars="0" w:right="0" w:right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0.8~1.0m</w:t>
                  </w:r>
                  <w:r>
                    <w:rPr>
                      <w:rFonts w:hint="eastAsia" w:ascii="Times New Roman" w:hAnsi="Times New Roman" w:cs="Times New Roman"/>
                      <w:color w:val="auto"/>
                      <w:szCs w:val="21"/>
                      <w:highlight w:val="none"/>
                    </w:rPr>
                    <w:t>×</w:t>
                  </w:r>
                  <w:r>
                    <w:rPr>
                      <w:rFonts w:hint="eastAsia" w:ascii="Times New Roman" w:hAnsi="Times New Roman" w:cs="Times New Roman"/>
                      <w:color w:val="auto"/>
                      <w:szCs w:val="21"/>
                      <w:highlight w:val="none"/>
                      <w:lang w:val="en-US" w:eastAsia="zh-CN"/>
                    </w:rPr>
                    <w:t>0.6~0.8</w:t>
                  </w:r>
                  <w:r>
                    <w:rPr>
                      <w:rFonts w:hint="eastAsia" w:ascii="Times New Roman" w:hAnsi="Times New Roman" w:cs="Times New Roman"/>
                      <w:color w:val="auto"/>
                      <w:szCs w:val="21"/>
                      <w:highlight w:val="none"/>
                    </w:rPr>
                    <w:t>m</w:t>
                  </w:r>
                </w:p>
              </w:tc>
              <w:tc>
                <w:tcPr>
                  <w:tcW w:w="624" w:type="pct"/>
                  <w:vAlign w:val="center"/>
                </w:tcPr>
                <w:p w14:paraId="55D99DB0">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10</w:t>
                  </w:r>
                </w:p>
              </w:tc>
              <w:tc>
                <w:tcPr>
                  <w:tcW w:w="624" w:type="pct"/>
                  <w:vAlign w:val="center"/>
                </w:tcPr>
                <w:p w14:paraId="1636520A">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2.5万套/年</w:t>
                  </w:r>
                </w:p>
              </w:tc>
              <w:tc>
                <w:tcPr>
                  <w:tcW w:w="625" w:type="pct"/>
                  <w:vAlign w:val="center"/>
                </w:tcPr>
                <w:p w14:paraId="111CB095">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1.5万</w:t>
                  </w:r>
                </w:p>
              </w:tc>
              <w:tc>
                <w:tcPr>
                  <w:tcW w:w="624" w:type="pct"/>
                  <w:vMerge w:val="continue"/>
                  <w:vAlign w:val="center"/>
                </w:tcPr>
                <w:p w14:paraId="42A7B094">
                  <w:pPr>
                    <w:spacing w:line="276" w:lineRule="auto"/>
                    <w:jc w:val="center"/>
                    <w:rPr>
                      <w:rFonts w:ascii="Times New Roman" w:hAnsi="Times New Roman" w:cs="Times New Roman"/>
                      <w:szCs w:val="21"/>
                      <w:highlight w:val="none"/>
                    </w:rPr>
                  </w:pPr>
                </w:p>
              </w:tc>
            </w:tr>
          </w:tbl>
          <w:p w14:paraId="0034BBEA">
            <w:pPr>
              <w:spacing w:line="360" w:lineRule="auto"/>
              <w:ind w:firstLine="482" w:firstLineChars="200"/>
              <w:jc w:val="left"/>
              <w:rPr>
                <w:rFonts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4</w:t>
            </w:r>
            <w:r>
              <w:rPr>
                <w:rFonts w:ascii="Times New Roman" w:hAnsi="Times New Roman" w:eastAsia="宋体" w:cs="Times New Roman"/>
                <w:b/>
                <w:bCs/>
                <w:sz w:val="24"/>
                <w:szCs w:val="24"/>
                <w:highlight w:val="none"/>
              </w:rPr>
              <w:t>、主要生产设备</w:t>
            </w:r>
          </w:p>
          <w:p w14:paraId="1DDFB16F">
            <w:pPr>
              <w:spacing w:line="440" w:lineRule="exact"/>
              <w:jc w:val="center"/>
              <w:rPr>
                <w:rFonts w:ascii="Times New Roman" w:hAnsi="Times New Roman" w:eastAsia="黑体" w:cs="Times New Roman"/>
                <w:color w:val="auto"/>
                <w:sz w:val="24"/>
                <w:highlight w:val="none"/>
              </w:rPr>
            </w:pPr>
            <w:r>
              <w:rPr>
                <w:rFonts w:ascii="Times New Roman" w:hAnsi="Times New Roman" w:eastAsia="黑体" w:cs="Times New Roman"/>
                <w:color w:val="auto"/>
                <w:sz w:val="24"/>
                <w:highlight w:val="none"/>
              </w:rPr>
              <w:t>表2</w:t>
            </w:r>
            <w:r>
              <w:rPr>
                <w:rFonts w:hint="eastAsia" w:ascii="Times New Roman" w:hAnsi="Times New Roman" w:eastAsia="黑体" w:cs="Times New Roman"/>
                <w:color w:val="auto"/>
                <w:sz w:val="24"/>
                <w:highlight w:val="none"/>
              </w:rPr>
              <w:t>-</w:t>
            </w:r>
            <w:r>
              <w:rPr>
                <w:rFonts w:hint="eastAsia" w:ascii="Times New Roman" w:hAnsi="Times New Roman" w:eastAsia="黑体" w:cs="Times New Roman"/>
                <w:color w:val="auto"/>
                <w:sz w:val="24"/>
                <w:highlight w:val="none"/>
                <w:lang w:val="en-US" w:eastAsia="zh-CN"/>
              </w:rPr>
              <w:t>5</w:t>
            </w:r>
            <w:r>
              <w:rPr>
                <w:rFonts w:hint="eastAsia" w:ascii="Times New Roman" w:hAnsi="Times New Roman" w:eastAsia="黑体" w:cs="Times New Roman"/>
                <w:color w:val="auto"/>
                <w:sz w:val="24"/>
                <w:highlight w:val="none"/>
              </w:rPr>
              <w:t xml:space="preserve">  </w:t>
            </w:r>
            <w:r>
              <w:rPr>
                <w:rFonts w:ascii="Times New Roman" w:hAnsi="Times New Roman" w:eastAsia="黑体" w:cs="Times New Roman"/>
                <w:color w:val="auto"/>
                <w:sz w:val="24"/>
                <w:highlight w:val="none"/>
              </w:rPr>
              <w:t>项目主要设备清单列表</w:t>
            </w:r>
          </w:p>
          <w:tbl>
            <w:tblPr>
              <w:tblStyle w:val="17"/>
              <w:tblW w:w="4998"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819"/>
              <w:gridCol w:w="1704"/>
              <w:gridCol w:w="1420"/>
              <w:gridCol w:w="2381"/>
              <w:gridCol w:w="2073"/>
            </w:tblGrid>
            <w:tr w14:paraId="61C5058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5F05DF48">
                  <w:pPr>
                    <w:spacing w:line="360" w:lineRule="exact"/>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序号</w:t>
                  </w:r>
                </w:p>
              </w:tc>
              <w:tc>
                <w:tcPr>
                  <w:tcW w:w="1014" w:type="pct"/>
                  <w:vAlign w:val="center"/>
                </w:tcPr>
                <w:p w14:paraId="197F0E90">
                  <w:pPr>
                    <w:spacing w:line="360" w:lineRule="exact"/>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设备名称</w:t>
                  </w:r>
                </w:p>
              </w:tc>
              <w:tc>
                <w:tcPr>
                  <w:tcW w:w="845" w:type="pct"/>
                  <w:vAlign w:val="center"/>
                </w:tcPr>
                <w:p w14:paraId="7D40F3CA">
                  <w:pPr>
                    <w:spacing w:line="360" w:lineRule="exact"/>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所在位置</w:t>
                  </w:r>
                </w:p>
              </w:tc>
              <w:tc>
                <w:tcPr>
                  <w:tcW w:w="1417" w:type="pct"/>
                  <w:vAlign w:val="center"/>
                </w:tcPr>
                <w:p w14:paraId="50F27C4D">
                  <w:pPr>
                    <w:spacing w:line="360" w:lineRule="exact"/>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规格型号</w:t>
                  </w:r>
                </w:p>
              </w:tc>
              <w:tc>
                <w:tcPr>
                  <w:tcW w:w="1234" w:type="pct"/>
                  <w:vAlign w:val="center"/>
                </w:tcPr>
                <w:p w14:paraId="3D2741C5">
                  <w:pPr>
                    <w:spacing w:line="360" w:lineRule="exact"/>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数量（台/间）</w:t>
                  </w:r>
                </w:p>
              </w:tc>
            </w:tr>
            <w:tr w14:paraId="4125736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0F004C5D">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w:t>
                  </w:r>
                </w:p>
              </w:tc>
              <w:tc>
                <w:tcPr>
                  <w:tcW w:w="1014" w:type="pct"/>
                  <w:vAlign w:val="center"/>
                </w:tcPr>
                <w:p w14:paraId="123734E4">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调漆房</w:t>
                  </w:r>
                </w:p>
              </w:tc>
              <w:tc>
                <w:tcPr>
                  <w:tcW w:w="845" w:type="pct"/>
                  <w:vMerge w:val="restart"/>
                  <w:vAlign w:val="center"/>
                </w:tcPr>
                <w:p w14:paraId="2B1CAF32">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位于厂房三楼</w:t>
                  </w:r>
                </w:p>
              </w:tc>
              <w:tc>
                <w:tcPr>
                  <w:tcW w:w="1417" w:type="pct"/>
                  <w:vAlign w:val="center"/>
                </w:tcPr>
                <w:p w14:paraId="3E909289">
                  <w:pPr>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4.3m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3m</w:t>
                  </w:r>
                </w:p>
              </w:tc>
              <w:tc>
                <w:tcPr>
                  <w:tcW w:w="1234" w:type="pct"/>
                  <w:vAlign w:val="center"/>
                </w:tcPr>
                <w:p w14:paraId="1C45072C">
                  <w:pPr>
                    <w:spacing w:line="360" w:lineRule="exact"/>
                    <w:jc w:val="center"/>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val="en-US" w:eastAsia="zh-CN"/>
                    </w:rPr>
                    <w:t>2</w:t>
                  </w:r>
                </w:p>
              </w:tc>
            </w:tr>
            <w:tr w14:paraId="6FA65A0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65285AA9">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2</w:t>
                  </w:r>
                </w:p>
              </w:tc>
              <w:tc>
                <w:tcPr>
                  <w:tcW w:w="1014" w:type="pct"/>
                  <w:vAlign w:val="center"/>
                </w:tcPr>
                <w:p w14:paraId="470FA1BD">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喷底漆房</w:t>
                  </w:r>
                </w:p>
              </w:tc>
              <w:tc>
                <w:tcPr>
                  <w:tcW w:w="845" w:type="pct"/>
                  <w:vMerge w:val="continue"/>
                  <w:vAlign w:val="center"/>
                </w:tcPr>
                <w:p w14:paraId="58DAEE3B">
                  <w:pPr>
                    <w:spacing w:line="360" w:lineRule="exact"/>
                    <w:jc w:val="center"/>
                    <w:rPr>
                      <w:rFonts w:ascii="Times New Roman" w:hAnsi="Times New Roman" w:cs="Times New Roman"/>
                      <w:color w:val="auto"/>
                      <w:szCs w:val="21"/>
                      <w:highlight w:val="none"/>
                    </w:rPr>
                  </w:pPr>
                </w:p>
              </w:tc>
              <w:tc>
                <w:tcPr>
                  <w:tcW w:w="1417" w:type="pct"/>
                  <w:vAlign w:val="center"/>
                </w:tcPr>
                <w:p w14:paraId="05F1B21A">
                  <w:pPr>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6.5m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4.5m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2.6m</w:t>
                  </w:r>
                </w:p>
              </w:tc>
              <w:tc>
                <w:tcPr>
                  <w:tcW w:w="1234" w:type="pct"/>
                  <w:vAlign w:val="center"/>
                </w:tcPr>
                <w:p w14:paraId="23C926DA">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2</w:t>
                  </w:r>
                </w:p>
              </w:tc>
            </w:tr>
            <w:tr w14:paraId="192C54F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0304D9B1">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3</w:t>
                  </w:r>
                </w:p>
              </w:tc>
              <w:tc>
                <w:tcPr>
                  <w:tcW w:w="1014" w:type="pct"/>
                  <w:vAlign w:val="center"/>
                </w:tcPr>
                <w:p w14:paraId="0A71CE43">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喷面漆房</w:t>
                  </w:r>
                </w:p>
              </w:tc>
              <w:tc>
                <w:tcPr>
                  <w:tcW w:w="845" w:type="pct"/>
                  <w:vMerge w:val="continue"/>
                  <w:vAlign w:val="center"/>
                </w:tcPr>
                <w:p w14:paraId="4F7DE333">
                  <w:pPr>
                    <w:spacing w:line="360" w:lineRule="exact"/>
                    <w:jc w:val="center"/>
                    <w:rPr>
                      <w:rFonts w:ascii="Times New Roman" w:hAnsi="Times New Roman" w:cs="Times New Roman"/>
                      <w:color w:val="auto"/>
                      <w:szCs w:val="21"/>
                      <w:highlight w:val="none"/>
                    </w:rPr>
                  </w:pPr>
                </w:p>
              </w:tc>
              <w:tc>
                <w:tcPr>
                  <w:tcW w:w="1417" w:type="pct"/>
                  <w:vAlign w:val="center"/>
                </w:tcPr>
                <w:p w14:paraId="13FF513F">
                  <w:pPr>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6.5m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4.5m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2.6m</w:t>
                  </w:r>
                </w:p>
              </w:tc>
              <w:tc>
                <w:tcPr>
                  <w:tcW w:w="1234" w:type="pct"/>
                  <w:vAlign w:val="center"/>
                </w:tcPr>
                <w:p w14:paraId="1424EE82">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2</w:t>
                  </w:r>
                </w:p>
              </w:tc>
            </w:tr>
            <w:tr w14:paraId="6E02884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5A7F04FC">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4</w:t>
                  </w:r>
                </w:p>
              </w:tc>
              <w:tc>
                <w:tcPr>
                  <w:tcW w:w="1014" w:type="pct"/>
                  <w:vAlign w:val="center"/>
                </w:tcPr>
                <w:p w14:paraId="3E9CAE76">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调漆房</w:t>
                  </w:r>
                </w:p>
              </w:tc>
              <w:tc>
                <w:tcPr>
                  <w:tcW w:w="845" w:type="pct"/>
                  <w:vMerge w:val="restart"/>
                  <w:vAlign w:val="center"/>
                </w:tcPr>
                <w:p w14:paraId="38AB9AD2">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位于厂房二楼</w:t>
                  </w:r>
                </w:p>
              </w:tc>
              <w:tc>
                <w:tcPr>
                  <w:tcW w:w="1417" w:type="pct"/>
                  <w:vAlign w:val="center"/>
                </w:tcPr>
                <w:p w14:paraId="566DDDEA">
                  <w:pPr>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4.3m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3m</w:t>
                  </w:r>
                </w:p>
              </w:tc>
              <w:tc>
                <w:tcPr>
                  <w:tcW w:w="1234" w:type="pct"/>
                  <w:vAlign w:val="center"/>
                </w:tcPr>
                <w:p w14:paraId="127078B7">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w:t>
                  </w:r>
                </w:p>
              </w:tc>
            </w:tr>
            <w:tr w14:paraId="173E6FF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4C8C5BFD">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5</w:t>
                  </w:r>
                </w:p>
              </w:tc>
              <w:tc>
                <w:tcPr>
                  <w:tcW w:w="1014" w:type="pct"/>
                  <w:vAlign w:val="center"/>
                </w:tcPr>
                <w:p w14:paraId="6DB61D16">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喷底漆房</w:t>
                  </w:r>
                </w:p>
              </w:tc>
              <w:tc>
                <w:tcPr>
                  <w:tcW w:w="845" w:type="pct"/>
                  <w:vMerge w:val="continue"/>
                  <w:vAlign w:val="center"/>
                </w:tcPr>
                <w:p w14:paraId="0B677E33">
                  <w:pPr>
                    <w:spacing w:line="360" w:lineRule="exact"/>
                    <w:jc w:val="center"/>
                    <w:rPr>
                      <w:rFonts w:ascii="Times New Roman" w:hAnsi="Times New Roman" w:cs="Times New Roman"/>
                      <w:color w:val="auto"/>
                      <w:szCs w:val="21"/>
                      <w:highlight w:val="none"/>
                    </w:rPr>
                  </w:pPr>
                </w:p>
              </w:tc>
              <w:tc>
                <w:tcPr>
                  <w:tcW w:w="1417" w:type="pct"/>
                  <w:vAlign w:val="center"/>
                </w:tcPr>
                <w:p w14:paraId="4F8C8B9E">
                  <w:pPr>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6.5m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4.5m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2.6m</w:t>
                  </w:r>
                </w:p>
              </w:tc>
              <w:tc>
                <w:tcPr>
                  <w:tcW w:w="1234" w:type="pct"/>
                  <w:vAlign w:val="center"/>
                </w:tcPr>
                <w:p w14:paraId="21200BE5">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w:t>
                  </w:r>
                </w:p>
              </w:tc>
            </w:tr>
            <w:tr w14:paraId="51ABD59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6E4623AD">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6</w:t>
                  </w:r>
                </w:p>
              </w:tc>
              <w:tc>
                <w:tcPr>
                  <w:tcW w:w="1014" w:type="pct"/>
                  <w:vAlign w:val="center"/>
                </w:tcPr>
                <w:p w14:paraId="1ADE2707">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喷面漆房</w:t>
                  </w:r>
                </w:p>
              </w:tc>
              <w:tc>
                <w:tcPr>
                  <w:tcW w:w="845" w:type="pct"/>
                  <w:vMerge w:val="continue"/>
                  <w:vAlign w:val="center"/>
                </w:tcPr>
                <w:p w14:paraId="0B85406D">
                  <w:pPr>
                    <w:spacing w:line="360" w:lineRule="exact"/>
                    <w:jc w:val="center"/>
                    <w:rPr>
                      <w:rFonts w:ascii="Times New Roman" w:hAnsi="Times New Roman" w:cs="Times New Roman"/>
                      <w:color w:val="auto"/>
                      <w:szCs w:val="21"/>
                      <w:highlight w:val="none"/>
                    </w:rPr>
                  </w:pPr>
                </w:p>
              </w:tc>
              <w:tc>
                <w:tcPr>
                  <w:tcW w:w="1417" w:type="pct"/>
                  <w:vAlign w:val="center"/>
                </w:tcPr>
                <w:p w14:paraId="6FFA793C">
                  <w:pPr>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6.5m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4.5m</w:t>
                  </w:r>
                  <w:r>
                    <w:rPr>
                      <w:rFonts w:ascii="Times New Roman" w:hAnsi="Times New Roman" w:cs="Times New Roman"/>
                      <w:color w:val="auto"/>
                      <w:szCs w:val="21"/>
                      <w:highlight w:val="none"/>
                    </w:rPr>
                    <w:t>×</w:t>
                  </w:r>
                  <w:r>
                    <w:rPr>
                      <w:rFonts w:hint="eastAsia" w:ascii="Times New Roman" w:hAnsi="Times New Roman" w:cs="Times New Roman"/>
                      <w:color w:val="auto"/>
                      <w:szCs w:val="21"/>
                      <w:highlight w:val="none"/>
                    </w:rPr>
                    <w:t>2.6m</w:t>
                  </w:r>
                </w:p>
              </w:tc>
              <w:tc>
                <w:tcPr>
                  <w:tcW w:w="1234" w:type="pct"/>
                  <w:vAlign w:val="center"/>
                </w:tcPr>
                <w:p w14:paraId="395EFC8E">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w:t>
                  </w:r>
                </w:p>
              </w:tc>
            </w:tr>
            <w:tr w14:paraId="58CBFDD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095CF94F">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7</w:t>
                  </w:r>
                </w:p>
              </w:tc>
              <w:tc>
                <w:tcPr>
                  <w:tcW w:w="1014" w:type="pct"/>
                  <w:vMerge w:val="restart"/>
                  <w:vAlign w:val="center"/>
                </w:tcPr>
                <w:p w14:paraId="5CCAC44B">
                  <w:pPr>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往复机</w:t>
                  </w:r>
                </w:p>
              </w:tc>
              <w:tc>
                <w:tcPr>
                  <w:tcW w:w="845" w:type="pct"/>
                  <w:vMerge w:val="restart"/>
                  <w:vAlign w:val="center"/>
                </w:tcPr>
                <w:p w14:paraId="09E4664C">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三楼</w:t>
                  </w:r>
                  <w:r>
                    <w:rPr>
                      <w:rFonts w:ascii="Times New Roman" w:hAnsi="Times New Roman" w:cs="Times New Roman"/>
                      <w:color w:val="auto"/>
                      <w:szCs w:val="21"/>
                      <w:highlight w:val="none"/>
                    </w:rPr>
                    <w:t>喷漆房</w:t>
                  </w:r>
                </w:p>
              </w:tc>
              <w:tc>
                <w:tcPr>
                  <w:tcW w:w="1417" w:type="pct"/>
                  <w:vAlign w:val="center"/>
                </w:tcPr>
                <w:p w14:paraId="243CFB9F">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C6001-2000</w:t>
                  </w:r>
                </w:p>
              </w:tc>
              <w:tc>
                <w:tcPr>
                  <w:tcW w:w="1234" w:type="pct"/>
                  <w:vAlign w:val="center"/>
                </w:tcPr>
                <w:p w14:paraId="4DBA4449">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3</w:t>
                  </w:r>
                </w:p>
              </w:tc>
            </w:tr>
            <w:tr w14:paraId="02D4BA2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6FE96ABB">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8</w:t>
                  </w:r>
                </w:p>
              </w:tc>
              <w:tc>
                <w:tcPr>
                  <w:tcW w:w="1014" w:type="pct"/>
                  <w:vMerge w:val="continue"/>
                  <w:vAlign w:val="center"/>
                </w:tcPr>
                <w:p w14:paraId="3ACA0362">
                  <w:pPr>
                    <w:spacing w:line="276" w:lineRule="auto"/>
                    <w:jc w:val="center"/>
                    <w:rPr>
                      <w:rFonts w:ascii="Times New Roman" w:hAnsi="Times New Roman" w:cs="Times New Roman"/>
                      <w:color w:val="auto"/>
                      <w:kern w:val="0"/>
                      <w:szCs w:val="21"/>
                      <w:highlight w:val="none"/>
                    </w:rPr>
                  </w:pPr>
                </w:p>
              </w:tc>
              <w:tc>
                <w:tcPr>
                  <w:tcW w:w="845" w:type="pct"/>
                  <w:vMerge w:val="continue"/>
                  <w:vAlign w:val="center"/>
                </w:tcPr>
                <w:p w14:paraId="3E0F1523">
                  <w:pPr>
                    <w:spacing w:line="360" w:lineRule="exact"/>
                    <w:jc w:val="center"/>
                    <w:rPr>
                      <w:rFonts w:ascii="Times New Roman" w:hAnsi="Times New Roman" w:cs="Times New Roman"/>
                      <w:color w:val="auto"/>
                      <w:szCs w:val="21"/>
                      <w:highlight w:val="none"/>
                    </w:rPr>
                  </w:pPr>
                </w:p>
              </w:tc>
              <w:tc>
                <w:tcPr>
                  <w:tcW w:w="1417" w:type="pct"/>
                  <w:vAlign w:val="center"/>
                </w:tcPr>
                <w:p w14:paraId="4227D300">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C6001-1600</w:t>
                  </w:r>
                </w:p>
              </w:tc>
              <w:tc>
                <w:tcPr>
                  <w:tcW w:w="1234" w:type="pct"/>
                  <w:vAlign w:val="center"/>
                </w:tcPr>
                <w:p w14:paraId="7B1935C6">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w:t>
                  </w:r>
                </w:p>
              </w:tc>
            </w:tr>
            <w:tr w14:paraId="7AB2BF9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181D6BD2">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9</w:t>
                  </w:r>
                </w:p>
              </w:tc>
              <w:tc>
                <w:tcPr>
                  <w:tcW w:w="1014" w:type="pct"/>
                  <w:vAlign w:val="center"/>
                </w:tcPr>
                <w:p w14:paraId="645789D7">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喷枪</w:t>
                  </w:r>
                </w:p>
              </w:tc>
              <w:tc>
                <w:tcPr>
                  <w:tcW w:w="845" w:type="pct"/>
                  <w:vMerge w:val="continue"/>
                  <w:vAlign w:val="center"/>
                </w:tcPr>
                <w:p w14:paraId="43865EA7">
                  <w:pPr>
                    <w:spacing w:line="360" w:lineRule="exact"/>
                    <w:jc w:val="center"/>
                    <w:rPr>
                      <w:rFonts w:ascii="Times New Roman" w:hAnsi="Times New Roman" w:cs="Times New Roman"/>
                      <w:color w:val="auto"/>
                      <w:szCs w:val="21"/>
                      <w:highlight w:val="none"/>
                    </w:rPr>
                  </w:pPr>
                </w:p>
              </w:tc>
              <w:tc>
                <w:tcPr>
                  <w:tcW w:w="1417" w:type="pct"/>
                  <w:vAlign w:val="center"/>
                </w:tcPr>
                <w:p w14:paraId="596F424C">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岩田X01</w:t>
                  </w:r>
                </w:p>
              </w:tc>
              <w:tc>
                <w:tcPr>
                  <w:tcW w:w="1234" w:type="pct"/>
                  <w:vAlign w:val="center"/>
                </w:tcPr>
                <w:p w14:paraId="13059BD1">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10</w:t>
                  </w:r>
                </w:p>
              </w:tc>
            </w:tr>
            <w:tr w14:paraId="50233DB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819" w:type="dxa"/>
                  <w:vAlign w:val="center"/>
                </w:tcPr>
                <w:p w14:paraId="2A2E7F17">
                  <w:pPr>
                    <w:spacing w:line="360" w:lineRule="exact"/>
                    <w:jc w:val="center"/>
                    <w:rPr>
                      <w:rFonts w:hint="eastAsia" w:ascii="Times New Roman" w:hAnsi="Times New Roman"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10</w:t>
                  </w:r>
                </w:p>
              </w:tc>
              <w:tc>
                <w:tcPr>
                  <w:tcW w:w="1014" w:type="pct"/>
                  <w:vAlign w:val="center"/>
                </w:tcPr>
                <w:p w14:paraId="1B3EE468">
                  <w:pPr>
                    <w:widowControl/>
                    <w:spacing w:line="276" w:lineRule="auto"/>
                    <w:jc w:val="center"/>
                    <w:rPr>
                      <w:rFonts w:hint="eastAsia" w:ascii="Times New Roman" w:hAnsi="Times New Roman" w:cs="Times New Roman" w:eastAsiaTheme="minorEastAsia"/>
                      <w:color w:val="auto"/>
                      <w:kern w:val="0"/>
                      <w:szCs w:val="21"/>
                      <w:highlight w:val="none"/>
                      <w:lang w:val="en-US" w:eastAsia="zh-CN"/>
                    </w:rPr>
                  </w:pPr>
                  <w:r>
                    <w:rPr>
                      <w:rFonts w:hint="eastAsia" w:ascii="Times New Roman" w:hAnsi="Times New Roman" w:cs="Times New Roman"/>
                      <w:color w:val="auto"/>
                      <w:kern w:val="0"/>
                      <w:szCs w:val="21"/>
                      <w:highlight w:val="none"/>
                      <w:lang w:val="en-US" w:eastAsia="zh-CN"/>
                    </w:rPr>
                    <w:t>喷枪</w:t>
                  </w:r>
                </w:p>
              </w:tc>
              <w:tc>
                <w:tcPr>
                  <w:tcW w:w="845" w:type="pct"/>
                  <w:vAlign w:val="center"/>
                </w:tcPr>
                <w:p w14:paraId="6A656B0F">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二楼喷漆房</w:t>
                  </w:r>
                </w:p>
              </w:tc>
              <w:tc>
                <w:tcPr>
                  <w:tcW w:w="1417" w:type="pct"/>
                  <w:vAlign w:val="center"/>
                </w:tcPr>
                <w:p w14:paraId="4DF1BB87">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w:t>
                  </w:r>
                </w:p>
              </w:tc>
              <w:tc>
                <w:tcPr>
                  <w:tcW w:w="1234" w:type="pct"/>
                  <w:vAlign w:val="center"/>
                </w:tcPr>
                <w:p w14:paraId="3548B108">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5</w:t>
                  </w:r>
                </w:p>
              </w:tc>
            </w:tr>
            <w:tr w14:paraId="34FA34B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819" w:type="dxa"/>
                  <w:vAlign w:val="center"/>
                </w:tcPr>
                <w:p w14:paraId="4D35ED76">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11</w:t>
                  </w:r>
                </w:p>
              </w:tc>
              <w:tc>
                <w:tcPr>
                  <w:tcW w:w="1014" w:type="pct"/>
                  <w:vAlign w:val="center"/>
                </w:tcPr>
                <w:p w14:paraId="58B82AE4">
                  <w:pPr>
                    <w:widowControl/>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lang w:val="en-US" w:eastAsia="zh-CN"/>
                    </w:rPr>
                    <w:t>电加热式</w:t>
                  </w:r>
                  <w:r>
                    <w:rPr>
                      <w:rFonts w:ascii="Times New Roman" w:hAnsi="Times New Roman" w:cs="Times New Roman"/>
                      <w:color w:val="auto"/>
                      <w:kern w:val="0"/>
                      <w:szCs w:val="21"/>
                      <w:highlight w:val="none"/>
                    </w:rPr>
                    <w:t>烘烤箱</w:t>
                  </w:r>
                </w:p>
              </w:tc>
              <w:tc>
                <w:tcPr>
                  <w:tcW w:w="845" w:type="pct"/>
                  <w:vAlign w:val="center"/>
                </w:tcPr>
                <w:p w14:paraId="74E8AA79">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位于厂房三楼</w:t>
                  </w:r>
                </w:p>
              </w:tc>
              <w:tc>
                <w:tcPr>
                  <w:tcW w:w="1417" w:type="pct"/>
                  <w:vAlign w:val="center"/>
                </w:tcPr>
                <w:p w14:paraId="42989891">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WG-KX01</w:t>
                  </w:r>
                </w:p>
              </w:tc>
              <w:tc>
                <w:tcPr>
                  <w:tcW w:w="1234" w:type="pct"/>
                  <w:vAlign w:val="center"/>
                </w:tcPr>
                <w:p w14:paraId="3338EF7C">
                  <w:pPr>
                    <w:spacing w:line="360" w:lineRule="exact"/>
                    <w:jc w:val="center"/>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val="en-US" w:eastAsia="zh-CN"/>
                    </w:rPr>
                    <w:t>1</w:t>
                  </w:r>
                </w:p>
              </w:tc>
            </w:tr>
            <w:tr w14:paraId="1FD2969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819" w:type="dxa"/>
                  <w:vAlign w:val="center"/>
                </w:tcPr>
                <w:p w14:paraId="3B25FEE7">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12</w:t>
                  </w:r>
                </w:p>
              </w:tc>
              <w:tc>
                <w:tcPr>
                  <w:tcW w:w="1014" w:type="pct"/>
                  <w:vAlign w:val="center"/>
                </w:tcPr>
                <w:p w14:paraId="7898876C">
                  <w:pPr>
                    <w:widowControl/>
                    <w:spacing w:line="276" w:lineRule="auto"/>
                    <w:jc w:val="center"/>
                    <w:rPr>
                      <w:rFonts w:hint="eastAsia" w:ascii="Times New Roman" w:hAnsi="Times New Roman" w:cs="Times New Roman" w:eastAsiaTheme="minorEastAsia"/>
                      <w:color w:val="auto"/>
                      <w:kern w:val="0"/>
                      <w:szCs w:val="21"/>
                      <w:highlight w:val="none"/>
                      <w:lang w:val="en-US" w:eastAsia="zh-CN"/>
                    </w:rPr>
                  </w:pPr>
                  <w:r>
                    <w:rPr>
                      <w:rFonts w:hint="eastAsia" w:ascii="Times New Roman" w:hAnsi="Times New Roman" w:cs="Times New Roman"/>
                      <w:color w:val="auto"/>
                      <w:kern w:val="0"/>
                      <w:szCs w:val="21"/>
                      <w:highlight w:val="none"/>
                      <w:lang w:val="en-US" w:eastAsia="zh-CN"/>
                    </w:rPr>
                    <w:t>电加热式烘干炉</w:t>
                  </w:r>
                </w:p>
              </w:tc>
              <w:tc>
                <w:tcPr>
                  <w:tcW w:w="845" w:type="pct"/>
                  <w:vAlign w:val="center"/>
                </w:tcPr>
                <w:p w14:paraId="16D54018">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位于厂房二楼</w:t>
                  </w:r>
                </w:p>
              </w:tc>
              <w:tc>
                <w:tcPr>
                  <w:tcW w:w="1417" w:type="pct"/>
                  <w:vAlign w:val="center"/>
                </w:tcPr>
                <w:p w14:paraId="4C848F2A">
                  <w:pPr>
                    <w:spacing w:line="360" w:lineRule="exact"/>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w:t>
                  </w:r>
                </w:p>
              </w:tc>
              <w:tc>
                <w:tcPr>
                  <w:tcW w:w="1234" w:type="pct"/>
                  <w:vAlign w:val="center"/>
                </w:tcPr>
                <w:p w14:paraId="78F64D6B">
                  <w:pPr>
                    <w:spacing w:line="360" w:lineRule="exact"/>
                    <w:jc w:val="center"/>
                    <w:rPr>
                      <w:rFonts w:hint="default" w:ascii="Times New Roman" w:hAnsi="Times New Roman"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1</w:t>
                  </w:r>
                </w:p>
              </w:tc>
            </w:tr>
            <w:tr w14:paraId="54C5586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819" w:type="dxa"/>
                  <w:vAlign w:val="center"/>
                </w:tcPr>
                <w:p w14:paraId="08FEDB85">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13</w:t>
                  </w:r>
                </w:p>
              </w:tc>
              <w:tc>
                <w:tcPr>
                  <w:tcW w:w="1014" w:type="pct"/>
                  <w:vAlign w:val="center"/>
                </w:tcPr>
                <w:p w14:paraId="6A43909B">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3D镭雕机</w:t>
                  </w:r>
                </w:p>
              </w:tc>
              <w:tc>
                <w:tcPr>
                  <w:tcW w:w="845" w:type="pct"/>
                  <w:vMerge w:val="restart"/>
                  <w:vAlign w:val="center"/>
                </w:tcPr>
                <w:p w14:paraId="157B3D10">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镭雕区，位于厂房一楼</w:t>
                  </w:r>
                </w:p>
              </w:tc>
              <w:tc>
                <w:tcPr>
                  <w:tcW w:w="1417" w:type="pct"/>
                  <w:vAlign w:val="center"/>
                </w:tcPr>
                <w:p w14:paraId="3A3BCBD1">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SPLT-DG-DH280</w:t>
                  </w:r>
                </w:p>
              </w:tc>
              <w:tc>
                <w:tcPr>
                  <w:tcW w:w="1234" w:type="pct"/>
                  <w:vAlign w:val="center"/>
                </w:tcPr>
                <w:p w14:paraId="74D849D4">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w:t>
                  </w:r>
                </w:p>
              </w:tc>
            </w:tr>
            <w:tr w14:paraId="0D6B749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819" w:type="dxa"/>
                  <w:vAlign w:val="center"/>
                </w:tcPr>
                <w:p w14:paraId="3299622C">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14</w:t>
                  </w:r>
                </w:p>
              </w:tc>
              <w:tc>
                <w:tcPr>
                  <w:tcW w:w="1014" w:type="pct"/>
                  <w:vAlign w:val="center"/>
                </w:tcPr>
                <w:p w14:paraId="2AD94D35">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平面镭雕机</w:t>
                  </w:r>
                </w:p>
              </w:tc>
              <w:tc>
                <w:tcPr>
                  <w:tcW w:w="845" w:type="pct"/>
                  <w:vMerge w:val="continue"/>
                  <w:vAlign w:val="center"/>
                </w:tcPr>
                <w:p w14:paraId="58BE46EA">
                  <w:pPr>
                    <w:spacing w:line="360" w:lineRule="exact"/>
                    <w:jc w:val="center"/>
                    <w:rPr>
                      <w:rFonts w:ascii="Times New Roman" w:hAnsi="Times New Roman" w:cs="Times New Roman"/>
                      <w:color w:val="auto"/>
                      <w:szCs w:val="21"/>
                      <w:highlight w:val="none"/>
                    </w:rPr>
                  </w:pPr>
                </w:p>
              </w:tc>
              <w:tc>
                <w:tcPr>
                  <w:tcW w:w="1417" w:type="pct"/>
                  <w:vAlign w:val="center"/>
                </w:tcPr>
                <w:p w14:paraId="5932C607">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LH-FLJ-60</w:t>
                  </w:r>
                </w:p>
              </w:tc>
              <w:tc>
                <w:tcPr>
                  <w:tcW w:w="1234" w:type="pct"/>
                  <w:vAlign w:val="center"/>
                </w:tcPr>
                <w:p w14:paraId="70EBDEB3">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w:t>
                  </w:r>
                </w:p>
              </w:tc>
            </w:tr>
            <w:tr w14:paraId="7EA7E0B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819" w:type="dxa"/>
                  <w:vAlign w:val="center"/>
                </w:tcPr>
                <w:p w14:paraId="42F9BB52">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15</w:t>
                  </w:r>
                </w:p>
              </w:tc>
              <w:tc>
                <w:tcPr>
                  <w:tcW w:w="1014" w:type="pct"/>
                  <w:vAlign w:val="center"/>
                </w:tcPr>
                <w:p w14:paraId="33CC1AC5">
                  <w:pPr>
                    <w:widowControl/>
                    <w:spacing w:line="276" w:lineRule="auto"/>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空压机</w:t>
                  </w:r>
                </w:p>
              </w:tc>
              <w:tc>
                <w:tcPr>
                  <w:tcW w:w="845" w:type="pct"/>
                  <w:vAlign w:val="center"/>
                </w:tcPr>
                <w:p w14:paraId="3B1715DA">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w:t>
                  </w:r>
                </w:p>
              </w:tc>
              <w:tc>
                <w:tcPr>
                  <w:tcW w:w="1417" w:type="pct"/>
                  <w:vAlign w:val="center"/>
                </w:tcPr>
                <w:p w14:paraId="7A4FBD66">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LTT-20A</w:t>
                  </w:r>
                </w:p>
              </w:tc>
              <w:tc>
                <w:tcPr>
                  <w:tcW w:w="1234" w:type="pct"/>
                  <w:vAlign w:val="center"/>
                </w:tcPr>
                <w:p w14:paraId="60C2AD89">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2</w:t>
                  </w:r>
                </w:p>
              </w:tc>
            </w:tr>
            <w:tr w14:paraId="5FA0A52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488" w:type="pct"/>
                  <w:vAlign w:val="center"/>
                </w:tcPr>
                <w:p w14:paraId="6E71B8E1">
                  <w:pPr>
                    <w:spacing w:line="360" w:lineRule="exact"/>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16</w:t>
                  </w:r>
                </w:p>
              </w:tc>
              <w:tc>
                <w:tcPr>
                  <w:tcW w:w="1014" w:type="pct"/>
                  <w:vAlign w:val="center"/>
                </w:tcPr>
                <w:p w14:paraId="0D62BD42">
                  <w:pPr>
                    <w:widowControl/>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小型抛光机</w:t>
                  </w:r>
                </w:p>
              </w:tc>
              <w:tc>
                <w:tcPr>
                  <w:tcW w:w="845" w:type="pct"/>
                  <w:vAlign w:val="center"/>
                </w:tcPr>
                <w:p w14:paraId="4390512F">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抛光区，位于厂房二楼</w:t>
                  </w:r>
                </w:p>
              </w:tc>
              <w:tc>
                <w:tcPr>
                  <w:tcW w:w="1417" w:type="pct"/>
                  <w:vAlign w:val="center"/>
                </w:tcPr>
                <w:p w14:paraId="25F26577">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w:t>
                  </w:r>
                </w:p>
              </w:tc>
              <w:tc>
                <w:tcPr>
                  <w:tcW w:w="1234" w:type="pct"/>
                  <w:vAlign w:val="center"/>
                </w:tcPr>
                <w:p w14:paraId="20AAE7FF">
                  <w:pPr>
                    <w:spacing w:line="360" w:lineRule="exact"/>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20</w:t>
                  </w:r>
                </w:p>
              </w:tc>
            </w:tr>
          </w:tbl>
          <w:p w14:paraId="7E51E4A8">
            <w:pPr>
              <w:widowControl/>
              <w:spacing w:line="360" w:lineRule="auto"/>
              <w:ind w:firstLine="482" w:firstLineChars="200"/>
              <w:rPr>
                <w:rFonts w:ascii="Times New Roman" w:hAnsi="Times New Roman" w:cs="Times New Roman"/>
                <w:b/>
                <w:color w:val="auto"/>
                <w:sz w:val="24"/>
                <w:szCs w:val="28"/>
                <w:highlight w:val="none"/>
              </w:rPr>
            </w:pPr>
            <w:r>
              <w:rPr>
                <w:rFonts w:hint="eastAsia" w:ascii="Times New Roman" w:hAnsi="Times New Roman" w:cs="Times New Roman"/>
                <w:b/>
                <w:color w:val="auto"/>
                <w:sz w:val="24"/>
                <w:szCs w:val="28"/>
                <w:highlight w:val="none"/>
              </w:rPr>
              <w:t>5、漆用量计算</w:t>
            </w:r>
          </w:p>
          <w:p w14:paraId="07652BF4">
            <w:pPr>
              <w:widowControl/>
              <w:spacing w:line="360" w:lineRule="auto"/>
              <w:ind w:firstLine="479" w:firstLineChars="199"/>
              <w:rPr>
                <w:rFonts w:ascii="Times New Roman" w:hAnsi="Times New Roman" w:cs="Times New Roman"/>
                <w:b/>
                <w:bCs/>
                <w:sz w:val="24"/>
                <w:szCs w:val="28"/>
                <w:highlight w:val="none"/>
              </w:rPr>
            </w:pPr>
            <w:r>
              <w:rPr>
                <w:rFonts w:hint="eastAsia" w:ascii="Times New Roman" w:hAnsi="Times New Roman" w:cs="Times New Roman"/>
                <w:b/>
                <w:bCs/>
                <w:color w:val="auto"/>
                <w:sz w:val="24"/>
                <w:szCs w:val="28"/>
                <w:highlight w:val="none"/>
              </w:rPr>
              <w:t>本项目主要将外购的汽车零部件</w:t>
            </w:r>
            <w:r>
              <w:rPr>
                <w:rFonts w:hint="eastAsia" w:ascii="Times New Roman" w:hAnsi="Times New Roman" w:cs="Times New Roman"/>
                <w:b/>
                <w:bCs/>
                <w:color w:val="auto"/>
                <w:sz w:val="24"/>
                <w:szCs w:val="28"/>
                <w:highlight w:val="none"/>
                <w:lang w:val="en-US" w:eastAsia="zh-CN"/>
              </w:rPr>
              <w:t>半成品</w:t>
            </w:r>
            <w:r>
              <w:rPr>
                <w:rFonts w:hint="eastAsia" w:ascii="Times New Roman" w:hAnsi="Times New Roman" w:cs="Times New Roman"/>
                <w:b/>
                <w:bCs/>
                <w:color w:val="auto"/>
                <w:sz w:val="24"/>
                <w:szCs w:val="28"/>
                <w:highlight w:val="none"/>
              </w:rPr>
              <w:t>进行喷漆，喷漆后</w:t>
            </w:r>
            <w:r>
              <w:rPr>
                <w:rFonts w:hint="eastAsia" w:ascii="Times New Roman" w:hAnsi="Times New Roman" w:cs="Times New Roman"/>
                <w:b/>
                <w:bCs/>
                <w:sz w:val="24"/>
                <w:szCs w:val="28"/>
                <w:highlight w:val="none"/>
                <w:lang w:val="en-US" w:eastAsia="zh-CN"/>
              </w:rPr>
              <w:t>委外组装</w:t>
            </w:r>
            <w:r>
              <w:rPr>
                <w:rFonts w:hint="eastAsia" w:ascii="Times New Roman" w:hAnsi="Times New Roman" w:cs="Times New Roman"/>
                <w:b/>
                <w:bCs/>
                <w:sz w:val="24"/>
                <w:szCs w:val="28"/>
                <w:highlight w:val="none"/>
              </w:rPr>
              <w:t>作为产品直接外售。</w:t>
            </w:r>
          </w:p>
          <w:p w14:paraId="3BDE65EC">
            <w:pPr>
              <w:widowControl/>
              <w:spacing w:line="360" w:lineRule="auto"/>
              <w:ind w:firstLine="477" w:firstLineChars="199"/>
              <w:rPr>
                <w:rFonts w:ascii="Times New Roman" w:hAnsi="Times New Roman" w:cs="Times New Roman"/>
                <w:sz w:val="24"/>
                <w:szCs w:val="28"/>
                <w:highlight w:val="none"/>
              </w:rPr>
            </w:pPr>
            <w:r>
              <w:rPr>
                <w:rFonts w:hint="eastAsia" w:ascii="Times New Roman" w:hAnsi="Times New Roman" w:cs="Times New Roman"/>
                <w:sz w:val="24"/>
                <w:szCs w:val="28"/>
                <w:highlight w:val="none"/>
              </w:rPr>
              <w:t>（1）漆用量计算公式</w:t>
            </w:r>
          </w:p>
          <w:p w14:paraId="1929D96F">
            <w:pPr>
              <w:widowControl/>
              <w:spacing w:line="360" w:lineRule="auto"/>
              <w:ind w:firstLine="477" w:firstLineChars="199"/>
              <w:jc w:val="center"/>
              <w:rPr>
                <w:rFonts w:ascii="Times New Roman" w:hAnsi="Times New Roman" w:cs="Times New Roman"/>
                <w:sz w:val="24"/>
                <w:szCs w:val="28"/>
                <w:highlight w:val="none"/>
              </w:rPr>
            </w:pPr>
            <w:r>
              <w:rPr>
                <w:rFonts w:ascii="Times New Roman" w:hAnsi="Times New Roman" w:cs="Times New Roman"/>
                <w:sz w:val="24"/>
                <w:szCs w:val="28"/>
                <w:highlight w:val="none"/>
              </w:rPr>
              <w:object>
                <v:shape id="_x0000_i1025" o:spt="75" type="#_x0000_t75" style="height:15pt;width:109.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38345D21">
            <w:pPr>
              <w:widowControl/>
              <w:spacing w:line="360" w:lineRule="auto"/>
              <w:ind w:firstLine="477" w:firstLineChars="199"/>
              <w:rPr>
                <w:rFonts w:ascii="Times New Roman" w:hAnsi="Times New Roman" w:cs="Times New Roman"/>
                <w:sz w:val="24"/>
                <w:szCs w:val="28"/>
                <w:highlight w:val="none"/>
              </w:rPr>
            </w:pPr>
            <w:r>
              <w:rPr>
                <w:rFonts w:ascii="Times New Roman" w:hAnsi="Times New Roman" w:cs="Times New Roman"/>
                <w:sz w:val="24"/>
                <w:szCs w:val="28"/>
                <w:highlight w:val="none"/>
              </w:rPr>
              <w:t>其中：m-</w:t>
            </w:r>
            <w:r>
              <w:rPr>
                <w:rFonts w:hint="eastAsia" w:ascii="Times New Roman" w:hAnsi="Times New Roman" w:cs="Times New Roman"/>
                <w:sz w:val="24"/>
                <w:szCs w:val="28"/>
                <w:highlight w:val="none"/>
              </w:rPr>
              <w:t>涂料</w:t>
            </w:r>
            <w:r>
              <w:rPr>
                <w:rFonts w:ascii="Times New Roman" w:hAnsi="Times New Roman" w:cs="Times New Roman"/>
                <w:sz w:val="24"/>
                <w:szCs w:val="28"/>
                <w:highlight w:val="none"/>
              </w:rPr>
              <w:t>用量（t）；</w:t>
            </w:r>
          </w:p>
          <w:p w14:paraId="706C5FF5">
            <w:pPr>
              <w:widowControl/>
              <w:spacing w:line="360" w:lineRule="auto"/>
              <w:ind w:firstLine="477" w:firstLineChars="199"/>
              <w:rPr>
                <w:rFonts w:ascii="Times New Roman" w:hAnsi="Times New Roman" w:cs="Times New Roman"/>
                <w:sz w:val="24"/>
                <w:szCs w:val="28"/>
                <w:highlight w:val="none"/>
              </w:rPr>
            </w:pPr>
            <w:r>
              <w:rPr>
                <w:rFonts w:ascii="Times New Roman" w:hAnsi="Times New Roman" w:cs="Times New Roman"/>
                <w:sz w:val="24"/>
                <w:szCs w:val="28"/>
                <w:highlight w:val="none"/>
              </w:rPr>
              <w:t>ρ：该涂料密度，单位：g/cm</w:t>
            </w:r>
            <w:r>
              <w:rPr>
                <w:rFonts w:ascii="Times New Roman" w:hAnsi="Times New Roman" w:cs="Times New Roman"/>
                <w:sz w:val="24"/>
                <w:szCs w:val="28"/>
                <w:highlight w:val="none"/>
                <w:vertAlign w:val="superscript"/>
              </w:rPr>
              <w:t>3</w:t>
            </w:r>
            <w:r>
              <w:rPr>
                <w:rFonts w:ascii="Times New Roman" w:hAnsi="Times New Roman" w:cs="Times New Roman"/>
                <w:sz w:val="24"/>
                <w:szCs w:val="28"/>
                <w:highlight w:val="none"/>
              </w:rPr>
              <w:t>；</w:t>
            </w:r>
          </w:p>
          <w:p w14:paraId="337E2484">
            <w:pPr>
              <w:widowControl/>
              <w:spacing w:line="360" w:lineRule="auto"/>
              <w:ind w:firstLine="477" w:firstLineChars="199"/>
              <w:rPr>
                <w:rFonts w:ascii="Times New Roman" w:hAnsi="Times New Roman" w:cs="Times New Roman"/>
                <w:sz w:val="24"/>
                <w:szCs w:val="28"/>
                <w:highlight w:val="none"/>
              </w:rPr>
            </w:pPr>
            <w:r>
              <w:rPr>
                <w:rFonts w:ascii="Times New Roman" w:hAnsi="Times New Roman" w:cs="Times New Roman"/>
                <w:sz w:val="24"/>
                <w:szCs w:val="28"/>
                <w:highlight w:val="none"/>
              </w:rPr>
              <w:t>δ：涂层厚度（μm）；</w:t>
            </w:r>
          </w:p>
          <w:p w14:paraId="2E270690">
            <w:pPr>
              <w:widowControl/>
              <w:spacing w:line="360" w:lineRule="auto"/>
              <w:ind w:firstLine="477" w:firstLineChars="199"/>
              <w:rPr>
                <w:rFonts w:ascii="Times New Roman" w:hAnsi="Times New Roman" w:cs="Times New Roman"/>
                <w:sz w:val="24"/>
                <w:szCs w:val="28"/>
                <w:highlight w:val="none"/>
              </w:rPr>
            </w:pPr>
            <w:r>
              <w:rPr>
                <w:rFonts w:ascii="Times New Roman" w:hAnsi="Times New Roman" w:cs="Times New Roman"/>
                <w:sz w:val="24"/>
                <w:szCs w:val="28"/>
                <w:highlight w:val="none"/>
              </w:rPr>
              <w:t>S：涂装面积（m</w:t>
            </w:r>
            <w:r>
              <w:rPr>
                <w:rFonts w:ascii="Times New Roman" w:hAnsi="Times New Roman" w:cs="Times New Roman"/>
                <w:sz w:val="24"/>
                <w:szCs w:val="28"/>
                <w:highlight w:val="none"/>
                <w:vertAlign w:val="superscript"/>
              </w:rPr>
              <w:t>2</w:t>
            </w:r>
            <w:r>
              <w:rPr>
                <w:rFonts w:ascii="Times New Roman" w:hAnsi="Times New Roman" w:cs="Times New Roman"/>
                <w:sz w:val="24"/>
                <w:szCs w:val="28"/>
                <w:highlight w:val="none"/>
              </w:rPr>
              <w:t>）；</w:t>
            </w:r>
          </w:p>
          <w:p w14:paraId="3711F090">
            <w:pPr>
              <w:widowControl/>
              <w:spacing w:line="360" w:lineRule="auto"/>
              <w:ind w:firstLine="477" w:firstLineChars="199"/>
              <w:rPr>
                <w:rFonts w:ascii="Times New Roman" w:hAnsi="Times New Roman" w:cs="Times New Roman"/>
                <w:sz w:val="24"/>
                <w:szCs w:val="28"/>
                <w:highlight w:val="none"/>
              </w:rPr>
            </w:pPr>
            <w:r>
              <w:rPr>
                <w:rFonts w:ascii="Times New Roman" w:hAnsi="Times New Roman" w:cs="Times New Roman"/>
                <w:sz w:val="24"/>
                <w:szCs w:val="28"/>
                <w:highlight w:val="none"/>
              </w:rPr>
              <w:t>η：该涂料所占总涂料的比例；</w:t>
            </w:r>
          </w:p>
          <w:p w14:paraId="2EE0445B">
            <w:pPr>
              <w:widowControl/>
              <w:spacing w:line="360" w:lineRule="auto"/>
              <w:ind w:firstLine="477" w:firstLineChars="199"/>
              <w:rPr>
                <w:rFonts w:ascii="Times New Roman" w:hAnsi="Times New Roman" w:cs="Times New Roman"/>
                <w:sz w:val="24"/>
                <w:szCs w:val="28"/>
                <w:highlight w:val="none"/>
              </w:rPr>
            </w:pPr>
            <w:r>
              <w:rPr>
                <w:rFonts w:ascii="Times New Roman" w:hAnsi="Times New Roman" w:cs="Times New Roman"/>
                <w:sz w:val="24"/>
                <w:szCs w:val="28"/>
                <w:highlight w:val="none"/>
              </w:rPr>
              <w:t>NV：原漆中的体积固体份（%）；</w:t>
            </w:r>
          </w:p>
          <w:p w14:paraId="218785B9">
            <w:pPr>
              <w:widowControl/>
              <w:spacing w:line="360" w:lineRule="auto"/>
              <w:ind w:firstLine="477" w:firstLineChars="199"/>
              <w:rPr>
                <w:rFonts w:ascii="Times New Roman" w:hAnsi="Times New Roman" w:cs="Times New Roman"/>
                <w:sz w:val="24"/>
                <w:szCs w:val="28"/>
                <w:highlight w:val="none"/>
              </w:rPr>
            </w:pPr>
            <w:r>
              <w:rPr>
                <w:rFonts w:ascii="Times New Roman" w:hAnsi="Times New Roman" w:cs="Times New Roman"/>
                <w:sz w:val="24"/>
                <w:szCs w:val="28"/>
                <w:highlight w:val="none"/>
              </w:rPr>
              <w:t>ε：上漆率</w:t>
            </w:r>
            <w:r>
              <w:rPr>
                <w:rFonts w:hint="eastAsia" w:ascii="Times New Roman" w:hAnsi="Times New Roman" w:cs="Times New Roman"/>
                <w:sz w:val="24"/>
                <w:szCs w:val="28"/>
                <w:highlight w:val="none"/>
              </w:rPr>
              <w:t>（</w:t>
            </w:r>
            <w:r>
              <w:rPr>
                <w:rFonts w:ascii="Times New Roman" w:hAnsi="Times New Roman" w:cs="Times New Roman"/>
                <w:sz w:val="24"/>
                <w:szCs w:val="28"/>
                <w:highlight w:val="none"/>
              </w:rPr>
              <w:t>%</w:t>
            </w:r>
            <w:r>
              <w:rPr>
                <w:rFonts w:hint="eastAsia" w:ascii="Times New Roman" w:hAnsi="Times New Roman" w:cs="Times New Roman"/>
                <w:sz w:val="24"/>
                <w:szCs w:val="28"/>
                <w:highlight w:val="none"/>
              </w:rPr>
              <w:t>）</w:t>
            </w:r>
            <w:r>
              <w:rPr>
                <w:rFonts w:ascii="Times New Roman" w:hAnsi="Times New Roman" w:cs="Times New Roman"/>
                <w:sz w:val="24"/>
                <w:szCs w:val="28"/>
                <w:highlight w:val="none"/>
              </w:rPr>
              <w:t>。</w:t>
            </w:r>
          </w:p>
          <w:p w14:paraId="567D4DAE">
            <w:pPr>
              <w:spacing w:line="360" w:lineRule="auto"/>
              <w:ind w:firstLine="482" w:firstLineChars="200"/>
              <w:jc w:val="left"/>
              <w:rPr>
                <w:rFonts w:ascii="Times New Roman" w:hAnsi="Times New Roman" w:cs="Times New Roman"/>
                <w:bCs/>
                <w:sz w:val="24"/>
                <w:szCs w:val="24"/>
                <w:highlight w:val="none"/>
              </w:rPr>
            </w:pPr>
            <w:r>
              <w:rPr>
                <w:rFonts w:hint="eastAsia" w:ascii="Times New Roman" w:hAnsi="Times New Roman" w:cs="Times New Roman"/>
                <w:b/>
                <w:bCs/>
                <w:sz w:val="24"/>
                <w:szCs w:val="24"/>
                <w:highlight w:val="none"/>
              </w:rPr>
              <w:t>（2）喷漆具体参数</w:t>
            </w:r>
            <w:r>
              <w:rPr>
                <w:rFonts w:hint="eastAsia" w:ascii="Times New Roman" w:hAnsi="Times New Roman" w:cs="Times New Roman"/>
                <w:bCs/>
                <w:sz w:val="24"/>
                <w:szCs w:val="24"/>
                <w:highlight w:val="none"/>
              </w:rPr>
              <w:t>：</w:t>
            </w:r>
          </w:p>
          <w:p w14:paraId="02957CF7">
            <w:pPr>
              <w:spacing w:line="360" w:lineRule="auto"/>
              <w:ind w:firstLine="482" w:firstLineChars="200"/>
              <w:rPr>
                <w:rFonts w:ascii="Times New Roman" w:hAnsi="Times New Roman" w:eastAsia="宋体" w:cs="Times New Roman"/>
                <w:b/>
                <w:sz w:val="24"/>
                <w:szCs w:val="24"/>
                <w:highlight w:val="none"/>
              </w:rPr>
            </w:pPr>
            <w:r>
              <w:rPr>
                <w:rFonts w:hint="eastAsia" w:ascii="Times New Roman" w:hAnsi="Times New Roman" w:eastAsia="宋体" w:cs="Times New Roman"/>
                <w:b/>
                <w:sz w:val="24"/>
                <w:szCs w:val="24"/>
                <w:highlight w:val="none"/>
              </w:rPr>
              <w:t>1）</w:t>
            </w:r>
            <w:r>
              <w:rPr>
                <w:rFonts w:ascii="Times New Roman" w:hAnsi="Times New Roman" w:eastAsia="宋体" w:cs="Times New Roman"/>
                <w:b/>
                <w:sz w:val="24"/>
                <w:szCs w:val="24"/>
                <w:highlight w:val="none"/>
              </w:rPr>
              <w:t>涂料的比例</w:t>
            </w:r>
          </w:p>
          <w:p w14:paraId="2EB5F5EC">
            <w:pPr>
              <w:spacing w:line="360" w:lineRule="auto"/>
              <w:ind w:firstLine="456" w:firstLineChars="200"/>
              <w:rPr>
                <w:rFonts w:ascii="Times New Roman" w:hAnsi="Times New Roman" w:eastAsia="宋体" w:cs="Times New Roman"/>
                <w:spacing w:val="-6"/>
                <w:sz w:val="24"/>
                <w:szCs w:val="24"/>
                <w:highlight w:val="none"/>
              </w:rPr>
            </w:pPr>
            <w:r>
              <w:rPr>
                <w:rFonts w:hint="eastAsia" w:ascii="Times New Roman" w:hAnsi="Times New Roman" w:eastAsia="宋体" w:cs="Times New Roman"/>
                <w:spacing w:val="-6"/>
                <w:sz w:val="24"/>
                <w:szCs w:val="24"/>
                <w:highlight w:val="none"/>
              </w:rPr>
              <w:t>本项目底漆、面漆单独施工，用量分别计算，比例取100%。</w:t>
            </w:r>
          </w:p>
          <w:p w14:paraId="15591D29">
            <w:pPr>
              <w:spacing w:line="360" w:lineRule="auto"/>
              <w:ind w:firstLine="482" w:firstLineChars="200"/>
              <w:rPr>
                <w:rFonts w:ascii="Times New Roman" w:hAnsi="Times New Roman" w:eastAsia="宋体" w:cs="Times New Roman"/>
                <w:b/>
                <w:sz w:val="24"/>
                <w:szCs w:val="24"/>
                <w:highlight w:val="none"/>
              </w:rPr>
            </w:pPr>
            <w:r>
              <w:rPr>
                <w:rFonts w:hint="eastAsia" w:ascii="Times New Roman" w:hAnsi="Times New Roman" w:eastAsia="宋体" w:cs="Times New Roman"/>
                <w:b/>
                <w:sz w:val="24"/>
                <w:szCs w:val="24"/>
                <w:highlight w:val="none"/>
              </w:rPr>
              <w:t>2）</w:t>
            </w:r>
            <w:r>
              <w:rPr>
                <w:rFonts w:ascii="Times New Roman" w:hAnsi="Times New Roman" w:eastAsia="宋体" w:cs="Times New Roman"/>
                <w:b/>
                <w:sz w:val="24"/>
                <w:szCs w:val="24"/>
                <w:highlight w:val="none"/>
              </w:rPr>
              <w:t>涂料密度</w:t>
            </w:r>
          </w:p>
          <w:p w14:paraId="038E4CC5">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根据涂料厂家提供的参数，</w:t>
            </w:r>
            <w:r>
              <w:rPr>
                <w:rFonts w:hint="eastAsia" w:ascii="Times New Roman" w:hAnsi="Times New Roman" w:eastAsia="宋体" w:cs="Times New Roman"/>
                <w:sz w:val="24"/>
                <w:szCs w:val="24"/>
                <w:highlight w:val="none"/>
              </w:rPr>
              <w:t>汽车零部件</w:t>
            </w:r>
            <w:r>
              <w:rPr>
                <w:rFonts w:ascii="Times New Roman" w:hAnsi="Times New Roman" w:eastAsia="宋体" w:cs="Times New Roman"/>
                <w:sz w:val="24"/>
                <w:szCs w:val="24"/>
                <w:highlight w:val="none"/>
              </w:rPr>
              <w:t>水性底漆密度为</w:t>
            </w:r>
            <w:r>
              <w:rPr>
                <w:rFonts w:hint="eastAsia" w:ascii="Times New Roman" w:hAnsi="Times New Roman" w:eastAsia="宋体" w:cs="Times New Roman"/>
                <w:sz w:val="24"/>
                <w:szCs w:val="24"/>
                <w:highlight w:val="none"/>
              </w:rPr>
              <w:t>1.1</w:t>
            </w:r>
            <w:r>
              <w:rPr>
                <w:rFonts w:hint="eastAsia" w:ascii="Times New Roman" w:hAnsi="Times New Roman" w:eastAsia="宋体" w:cs="Times New Roman"/>
                <w:sz w:val="24"/>
                <w:szCs w:val="24"/>
                <w:highlight w:val="none"/>
                <w:lang w:val="en-US" w:eastAsia="zh-CN"/>
              </w:rPr>
              <w:t>4</w:t>
            </w:r>
            <w:r>
              <w:rPr>
                <w:rFonts w:ascii="Times New Roman" w:hAnsi="Times New Roman" w:eastAsia="宋体" w:cs="Times New Roman"/>
                <w:sz w:val="24"/>
                <w:szCs w:val="24"/>
                <w:highlight w:val="none"/>
              </w:rPr>
              <w:t>g/cm</w:t>
            </w:r>
            <w:r>
              <w:rPr>
                <w:rFonts w:ascii="Times New Roman" w:hAnsi="Times New Roman" w:eastAsia="宋体" w:cs="Times New Roman"/>
                <w:sz w:val="24"/>
                <w:szCs w:val="24"/>
                <w:highlight w:val="none"/>
                <w:vertAlign w:val="superscript"/>
              </w:rPr>
              <w:t>3</w:t>
            </w:r>
            <w:r>
              <w:rPr>
                <w:rFonts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rPr>
              <w:t>水性</w:t>
            </w:r>
            <w:r>
              <w:rPr>
                <w:rFonts w:ascii="Times New Roman" w:hAnsi="Times New Roman" w:eastAsia="宋体" w:cs="Times New Roman"/>
                <w:sz w:val="24"/>
                <w:szCs w:val="24"/>
                <w:highlight w:val="none"/>
              </w:rPr>
              <w:t>面漆密度为</w:t>
            </w:r>
            <w:r>
              <w:rPr>
                <w:rFonts w:hint="eastAsia" w:ascii="Times New Roman" w:hAnsi="Times New Roman" w:eastAsia="宋体" w:cs="Times New Roman"/>
                <w:sz w:val="24"/>
                <w:szCs w:val="24"/>
                <w:highlight w:val="none"/>
              </w:rPr>
              <w:t>0.9</w:t>
            </w:r>
            <w:r>
              <w:rPr>
                <w:rFonts w:hint="eastAsia" w:ascii="Times New Roman" w:hAnsi="Times New Roman" w:eastAsia="宋体" w:cs="Times New Roman"/>
                <w:sz w:val="24"/>
                <w:szCs w:val="24"/>
                <w:highlight w:val="none"/>
                <w:lang w:val="en-US" w:eastAsia="zh-CN"/>
              </w:rPr>
              <w:t>3</w:t>
            </w:r>
            <w:r>
              <w:rPr>
                <w:rFonts w:ascii="Times New Roman" w:hAnsi="Times New Roman" w:eastAsia="宋体" w:cs="Times New Roman"/>
                <w:sz w:val="24"/>
                <w:szCs w:val="24"/>
                <w:highlight w:val="none"/>
              </w:rPr>
              <w:t>g/cm</w:t>
            </w:r>
            <w:r>
              <w:rPr>
                <w:rFonts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rPr>
              <w:t>。</w:t>
            </w:r>
          </w:p>
          <w:p w14:paraId="725EBEBB">
            <w:pPr>
              <w:spacing w:line="360" w:lineRule="auto"/>
              <w:ind w:firstLine="482" w:firstLineChars="200"/>
              <w:jc w:val="left"/>
              <w:rPr>
                <w:rFonts w:ascii="Times New Roman" w:hAnsi="Times New Roman" w:eastAsia="宋体" w:cs="Times New Roman"/>
                <w:b/>
                <w:sz w:val="24"/>
                <w:szCs w:val="24"/>
                <w:highlight w:val="none"/>
              </w:rPr>
            </w:pPr>
            <w:r>
              <w:rPr>
                <w:rFonts w:hint="eastAsia" w:ascii="Times New Roman" w:hAnsi="Times New Roman" w:eastAsia="宋体" w:cs="Times New Roman"/>
                <w:b/>
                <w:sz w:val="24"/>
                <w:szCs w:val="24"/>
                <w:highlight w:val="none"/>
              </w:rPr>
              <w:t>3）涂层厚度</w:t>
            </w:r>
          </w:p>
          <w:p w14:paraId="299BE679">
            <w:pPr>
              <w:spacing w:line="360" w:lineRule="auto"/>
              <w:ind w:firstLine="480" w:firstLineChars="200"/>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根据企业提供的参数，</w:t>
            </w:r>
            <w:r>
              <w:rPr>
                <w:rFonts w:hint="eastAsia" w:ascii="Times New Roman" w:hAnsi="Times New Roman" w:eastAsia="宋体" w:cs="Times New Roman"/>
                <w:sz w:val="24"/>
                <w:szCs w:val="24"/>
                <w:highlight w:val="none"/>
              </w:rPr>
              <w:t>汽车零部件</w:t>
            </w:r>
            <w:r>
              <w:rPr>
                <w:rFonts w:ascii="Times New Roman" w:hAnsi="Times New Roman" w:eastAsia="宋体" w:cs="Times New Roman"/>
                <w:sz w:val="24"/>
                <w:szCs w:val="24"/>
                <w:highlight w:val="none"/>
              </w:rPr>
              <w:t>喷涂厚度为：底漆厚度20μm，面漆厚度20μm。</w:t>
            </w:r>
          </w:p>
          <w:p w14:paraId="6CA6C846">
            <w:pPr>
              <w:spacing w:line="360" w:lineRule="auto"/>
              <w:ind w:firstLine="482" w:firstLineChars="200"/>
              <w:rPr>
                <w:rFonts w:ascii="Times New Roman" w:hAnsi="Times New Roman" w:eastAsia="宋体" w:cs="Times New Roman"/>
                <w:b/>
                <w:sz w:val="24"/>
                <w:szCs w:val="24"/>
                <w:highlight w:val="none"/>
              </w:rPr>
            </w:pPr>
            <w:r>
              <w:rPr>
                <w:rFonts w:hint="eastAsia" w:ascii="Times New Roman" w:hAnsi="Times New Roman" w:eastAsia="宋体" w:cs="Times New Roman"/>
                <w:b/>
                <w:sz w:val="24"/>
                <w:szCs w:val="24"/>
                <w:highlight w:val="none"/>
              </w:rPr>
              <w:t>4）</w:t>
            </w:r>
            <w:r>
              <w:rPr>
                <w:rFonts w:ascii="Times New Roman" w:hAnsi="Times New Roman" w:eastAsia="宋体" w:cs="Times New Roman"/>
                <w:b/>
                <w:sz w:val="24"/>
                <w:szCs w:val="24"/>
                <w:highlight w:val="none"/>
              </w:rPr>
              <w:t>涂装面积</w:t>
            </w:r>
          </w:p>
          <w:p w14:paraId="3B42CDBF">
            <w:pPr>
              <w:spacing w:line="360" w:lineRule="auto"/>
              <w:ind w:firstLine="480" w:firstLineChars="200"/>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根据项目前文“产品方案”，汽车零部件喷涂面积为</w:t>
            </w:r>
            <w:r>
              <w:rPr>
                <w:rFonts w:ascii="Times New Roman" w:hAnsi="Times New Roman" w:eastAsia="宋体" w:cs="Times New Roman"/>
                <w:sz w:val="24"/>
                <w:szCs w:val="24"/>
                <w:highlight w:val="none"/>
              </w:rPr>
              <w:t>630000m</w:t>
            </w:r>
            <w:r>
              <w:rPr>
                <w:rFonts w:ascii="Times New Roman" w:hAnsi="Times New Roman" w:eastAsia="宋体" w:cs="Times New Roman"/>
                <w:sz w:val="24"/>
                <w:szCs w:val="24"/>
                <w:highlight w:val="none"/>
                <w:vertAlign w:val="superscript"/>
              </w:rPr>
              <w:t>2</w:t>
            </w:r>
            <w:r>
              <w:rPr>
                <w:rFonts w:hint="eastAsia" w:ascii="Times New Roman" w:hAnsi="Times New Roman" w:eastAsia="宋体" w:cs="Times New Roman"/>
                <w:sz w:val="24"/>
                <w:szCs w:val="24"/>
                <w:highlight w:val="none"/>
              </w:rPr>
              <w:t>。</w:t>
            </w:r>
          </w:p>
          <w:p w14:paraId="0F866A58">
            <w:pPr>
              <w:spacing w:line="360" w:lineRule="auto"/>
              <w:ind w:firstLine="482" w:firstLineChars="200"/>
              <w:rPr>
                <w:rFonts w:ascii="Times New Roman" w:hAnsi="Times New Roman" w:eastAsia="宋体" w:cs="Times New Roman"/>
                <w:b/>
                <w:sz w:val="24"/>
                <w:szCs w:val="24"/>
                <w:highlight w:val="none"/>
              </w:rPr>
            </w:pPr>
            <w:r>
              <w:rPr>
                <w:rFonts w:hint="eastAsia" w:ascii="Times New Roman" w:hAnsi="Times New Roman" w:eastAsia="宋体" w:cs="Times New Roman"/>
                <w:b/>
                <w:sz w:val="24"/>
                <w:szCs w:val="24"/>
                <w:highlight w:val="none"/>
              </w:rPr>
              <w:t>5）</w:t>
            </w:r>
            <w:r>
              <w:rPr>
                <w:rFonts w:ascii="Times New Roman" w:hAnsi="Times New Roman" w:eastAsia="宋体" w:cs="Times New Roman"/>
                <w:b/>
                <w:sz w:val="24"/>
                <w:szCs w:val="24"/>
                <w:highlight w:val="none"/>
              </w:rPr>
              <w:t>体积固体份</w:t>
            </w:r>
          </w:p>
          <w:p w14:paraId="36E6C9F5">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根据</w:t>
            </w:r>
            <w:r>
              <w:rPr>
                <w:rFonts w:hint="eastAsia" w:ascii="Times New Roman" w:hAnsi="Times New Roman" w:eastAsia="宋体" w:cs="Times New Roman"/>
                <w:sz w:val="24"/>
                <w:szCs w:val="24"/>
                <w:highlight w:val="none"/>
              </w:rPr>
              <w:t>涂料供应商</w:t>
            </w:r>
            <w:r>
              <w:rPr>
                <w:rFonts w:ascii="Times New Roman" w:hAnsi="Times New Roman" w:eastAsia="宋体" w:cs="Times New Roman"/>
                <w:sz w:val="24"/>
                <w:szCs w:val="24"/>
                <w:highlight w:val="none"/>
              </w:rPr>
              <w:t>提供的MSDS</w:t>
            </w:r>
            <w:r>
              <w:rPr>
                <w:rFonts w:hint="eastAsia" w:ascii="Times New Roman" w:hAnsi="Times New Roman" w:eastAsia="宋体" w:cs="Times New Roman"/>
                <w:sz w:val="24"/>
                <w:szCs w:val="24"/>
                <w:highlight w:val="none"/>
              </w:rPr>
              <w:t>成分报告</w:t>
            </w:r>
            <w:r>
              <w:rPr>
                <w:rFonts w:ascii="Times New Roman" w:hAnsi="Times New Roman" w:eastAsia="宋体" w:cs="Times New Roman"/>
                <w:sz w:val="24"/>
                <w:szCs w:val="24"/>
                <w:highlight w:val="none"/>
              </w:rPr>
              <w:t>，经计算，</w:t>
            </w:r>
            <w:r>
              <w:rPr>
                <w:rFonts w:hint="eastAsia" w:ascii="Times New Roman" w:hAnsi="Times New Roman" w:eastAsia="宋体" w:cs="Times New Roman"/>
                <w:sz w:val="24"/>
                <w:szCs w:val="24"/>
                <w:highlight w:val="none"/>
              </w:rPr>
              <w:t>汽车零部件</w:t>
            </w:r>
            <w:r>
              <w:rPr>
                <w:rFonts w:ascii="Times New Roman" w:hAnsi="Times New Roman" w:eastAsia="宋体" w:cs="Times New Roman"/>
                <w:sz w:val="24"/>
                <w:szCs w:val="24"/>
                <w:highlight w:val="none"/>
              </w:rPr>
              <w:t>的水性底漆固体份为</w:t>
            </w:r>
            <w:r>
              <w:rPr>
                <w:rFonts w:hint="eastAsia" w:ascii="Times New Roman" w:hAnsi="Times New Roman" w:eastAsia="宋体" w:cs="Times New Roman"/>
                <w:sz w:val="24"/>
                <w:szCs w:val="24"/>
                <w:highlight w:val="none"/>
              </w:rPr>
              <w:t>71</w:t>
            </w:r>
            <w:r>
              <w:rPr>
                <w:rFonts w:ascii="Times New Roman" w:hAnsi="Times New Roman" w:eastAsia="宋体" w:cs="Times New Roman"/>
                <w:sz w:val="24"/>
                <w:szCs w:val="24"/>
                <w:highlight w:val="none"/>
              </w:rPr>
              <w:t>%，水性面漆固体份为</w:t>
            </w:r>
            <w:r>
              <w:rPr>
                <w:rFonts w:hint="eastAsia" w:ascii="Times New Roman" w:hAnsi="Times New Roman" w:eastAsia="宋体" w:cs="Times New Roman"/>
                <w:sz w:val="24"/>
                <w:szCs w:val="24"/>
                <w:highlight w:val="none"/>
              </w:rPr>
              <w:t>66%</w:t>
            </w:r>
            <w:r>
              <w:rPr>
                <w:rFonts w:ascii="Times New Roman" w:hAnsi="Times New Roman" w:eastAsia="宋体" w:cs="Times New Roman"/>
                <w:sz w:val="24"/>
                <w:szCs w:val="24"/>
                <w:highlight w:val="none"/>
              </w:rPr>
              <w:t>。</w:t>
            </w:r>
          </w:p>
          <w:p w14:paraId="03AE938F">
            <w:pPr>
              <w:spacing w:line="360" w:lineRule="auto"/>
              <w:ind w:firstLine="482" w:firstLineChars="200"/>
              <w:rPr>
                <w:rFonts w:ascii="Times New Roman" w:hAnsi="Times New Roman" w:eastAsia="宋体" w:cs="Times New Roman"/>
                <w:b/>
                <w:sz w:val="24"/>
                <w:szCs w:val="24"/>
                <w:highlight w:val="none"/>
              </w:rPr>
            </w:pPr>
            <w:r>
              <w:rPr>
                <w:rFonts w:ascii="Times New Roman" w:hAnsi="Times New Roman" w:eastAsia="宋体" w:cs="Times New Roman"/>
                <w:b/>
                <w:sz w:val="24"/>
                <w:szCs w:val="24"/>
                <w:highlight w:val="none"/>
              </w:rPr>
              <w:t>6）上漆率</w:t>
            </w:r>
          </w:p>
          <w:p w14:paraId="2265CD12">
            <w:pPr>
              <w:spacing w:line="360" w:lineRule="auto"/>
              <w:ind w:firstLine="448" w:firstLineChars="200"/>
              <w:rPr>
                <w:rFonts w:ascii="Times New Roman" w:hAnsi="Times New Roman" w:eastAsia="宋体" w:cs="Times New Roman"/>
                <w:spacing w:val="-8"/>
                <w:sz w:val="24"/>
                <w:szCs w:val="24"/>
                <w:highlight w:val="none"/>
              </w:rPr>
            </w:pPr>
            <w:r>
              <w:rPr>
                <w:rFonts w:ascii="Times New Roman" w:hAnsi="Times New Roman" w:eastAsia="宋体" w:cs="Times New Roman"/>
                <w:spacing w:val="-8"/>
                <w:sz w:val="24"/>
                <w:szCs w:val="24"/>
                <w:highlight w:val="none"/>
              </w:rPr>
              <w:t>根据本项目喷涂工艺和喷枪及经销商提供的技术参数，本项目各涂料附着率</w:t>
            </w:r>
            <w:r>
              <w:rPr>
                <w:rFonts w:hint="eastAsia" w:ascii="Times New Roman" w:hAnsi="Times New Roman" w:eastAsia="宋体" w:cs="Times New Roman"/>
                <w:spacing w:val="-8"/>
                <w:sz w:val="24"/>
                <w:szCs w:val="24"/>
                <w:highlight w:val="none"/>
              </w:rPr>
              <w:t>取7</w:t>
            </w:r>
            <w:r>
              <w:rPr>
                <w:rFonts w:ascii="Times New Roman" w:hAnsi="Times New Roman" w:eastAsia="宋体" w:cs="Times New Roman"/>
                <w:spacing w:val="-8"/>
                <w:sz w:val="24"/>
                <w:szCs w:val="24"/>
                <w:highlight w:val="none"/>
              </w:rPr>
              <w:t>0%。</w:t>
            </w:r>
          </w:p>
          <w:p w14:paraId="6873B565">
            <w:pPr>
              <w:spacing w:line="360" w:lineRule="auto"/>
              <w:ind w:firstLine="482" w:firstLineChars="200"/>
              <w:jc w:val="left"/>
              <w:rPr>
                <w:rFonts w:ascii="Times New Roman" w:hAnsi="Times New Roman" w:eastAsia="宋体" w:cs="Times New Roman"/>
                <w:b/>
                <w:sz w:val="24"/>
                <w:szCs w:val="24"/>
                <w:highlight w:val="none"/>
              </w:rPr>
            </w:pPr>
            <w:r>
              <w:rPr>
                <w:rFonts w:ascii="Times New Roman" w:hAnsi="Times New Roman" w:eastAsia="宋体" w:cs="Times New Roman"/>
                <w:b/>
                <w:sz w:val="24"/>
                <w:szCs w:val="24"/>
                <w:highlight w:val="none"/>
              </w:rPr>
              <w:t>7）漆料组分</w:t>
            </w:r>
          </w:p>
          <w:p w14:paraId="22428122">
            <w:pPr>
              <w:spacing w:line="360" w:lineRule="auto"/>
              <w:ind w:firstLine="480" w:firstLineChars="200"/>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根据业主提供底漆、面漆的MSDS报告，各漆料组分成分见下表：</w:t>
            </w:r>
          </w:p>
          <w:p w14:paraId="3DB33909">
            <w:pPr>
              <w:spacing w:line="360" w:lineRule="auto"/>
              <w:jc w:val="center"/>
              <w:rPr>
                <w:rFonts w:ascii="Times New Roman" w:hAnsi="Times New Roman" w:eastAsia="黑体" w:cs="Times New Roman"/>
                <w:bCs/>
                <w:sz w:val="24"/>
                <w:szCs w:val="24"/>
                <w:highlight w:val="none"/>
              </w:rPr>
            </w:pPr>
            <w:r>
              <w:rPr>
                <w:rFonts w:ascii="Times New Roman" w:hAnsi="Times New Roman" w:eastAsia="黑体" w:cs="Times New Roman"/>
                <w:bCs/>
                <w:sz w:val="24"/>
                <w:szCs w:val="24"/>
                <w:highlight w:val="none"/>
              </w:rPr>
              <w:t>表2-</w:t>
            </w:r>
            <w:r>
              <w:rPr>
                <w:rFonts w:hint="eastAsia" w:ascii="Times New Roman" w:hAnsi="Times New Roman" w:eastAsia="黑体" w:cs="Times New Roman"/>
                <w:bCs/>
                <w:sz w:val="24"/>
                <w:szCs w:val="24"/>
                <w:highlight w:val="none"/>
                <w:lang w:val="en-US" w:eastAsia="zh-CN"/>
              </w:rPr>
              <w:t>6</w:t>
            </w:r>
            <w:r>
              <w:rPr>
                <w:rFonts w:hint="eastAsia" w:ascii="Times New Roman" w:hAnsi="Times New Roman" w:eastAsia="黑体" w:cs="Times New Roman"/>
                <w:bCs/>
                <w:sz w:val="24"/>
                <w:szCs w:val="24"/>
                <w:highlight w:val="none"/>
              </w:rPr>
              <w:t xml:space="preserve">  汽车零部件</w:t>
            </w:r>
            <w:r>
              <w:rPr>
                <w:rFonts w:ascii="Times New Roman" w:hAnsi="Times New Roman" w:eastAsia="黑体" w:cs="Times New Roman"/>
                <w:bCs/>
                <w:sz w:val="24"/>
                <w:szCs w:val="24"/>
                <w:highlight w:val="none"/>
              </w:rPr>
              <w:t>漆料组分一览表</w:t>
            </w:r>
          </w:p>
          <w:tbl>
            <w:tblPr>
              <w:tblStyle w:val="17"/>
              <w:tblW w:w="4998"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662"/>
              <w:gridCol w:w="1667"/>
              <w:gridCol w:w="1196"/>
              <w:gridCol w:w="1163"/>
              <w:gridCol w:w="1563"/>
              <w:gridCol w:w="1139"/>
              <w:gridCol w:w="1007"/>
            </w:tblGrid>
            <w:tr w14:paraId="5DCC239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Align w:val="center"/>
                </w:tcPr>
                <w:p w14:paraId="04CEE5B6">
                  <w:pPr>
                    <w:spacing w:line="276" w:lineRule="auto"/>
                    <w:jc w:val="center"/>
                    <w:rPr>
                      <w:rFonts w:ascii="Times New Roman" w:hAnsi="Times New Roman" w:cs="Times New Roman"/>
                      <w:b/>
                      <w:szCs w:val="21"/>
                      <w:highlight w:val="none"/>
                    </w:rPr>
                  </w:pPr>
                  <w:r>
                    <w:rPr>
                      <w:rFonts w:hint="eastAsia" w:ascii="Times New Roman" w:hAnsi="Times New Roman" w:cs="Times New Roman"/>
                      <w:b/>
                      <w:szCs w:val="21"/>
                      <w:highlight w:val="none"/>
                    </w:rPr>
                    <w:t>名称</w:t>
                  </w:r>
                </w:p>
              </w:tc>
              <w:tc>
                <w:tcPr>
                  <w:tcW w:w="992" w:type="pct"/>
                  <w:vAlign w:val="center"/>
                </w:tcPr>
                <w:p w14:paraId="3E96743C">
                  <w:pPr>
                    <w:spacing w:line="276" w:lineRule="auto"/>
                    <w:jc w:val="center"/>
                    <w:rPr>
                      <w:rFonts w:ascii="Times New Roman" w:hAnsi="Times New Roman" w:cs="Times New Roman"/>
                      <w:b/>
                      <w:szCs w:val="21"/>
                      <w:highlight w:val="none"/>
                    </w:rPr>
                  </w:pPr>
                  <w:r>
                    <w:rPr>
                      <w:rFonts w:hint="eastAsia" w:ascii="Times New Roman" w:hAnsi="Times New Roman" w:cs="Times New Roman"/>
                      <w:b/>
                      <w:szCs w:val="21"/>
                      <w:highlight w:val="none"/>
                    </w:rPr>
                    <w:t>成分</w:t>
                  </w:r>
                </w:p>
              </w:tc>
              <w:tc>
                <w:tcPr>
                  <w:tcW w:w="712" w:type="pct"/>
                  <w:vAlign w:val="center"/>
                </w:tcPr>
                <w:p w14:paraId="0FA667D7">
                  <w:pPr>
                    <w:spacing w:line="276" w:lineRule="auto"/>
                    <w:jc w:val="center"/>
                    <w:rPr>
                      <w:rFonts w:ascii="Times New Roman" w:hAnsi="Times New Roman" w:cs="Times New Roman"/>
                      <w:b/>
                      <w:szCs w:val="21"/>
                      <w:highlight w:val="none"/>
                    </w:rPr>
                  </w:pPr>
                  <w:r>
                    <w:rPr>
                      <w:rFonts w:hint="eastAsia" w:ascii="Times New Roman" w:hAnsi="Times New Roman" w:cs="Times New Roman"/>
                      <w:b/>
                      <w:szCs w:val="21"/>
                      <w:highlight w:val="none"/>
                    </w:rPr>
                    <w:t>CAS号</w:t>
                  </w:r>
                </w:p>
              </w:tc>
              <w:tc>
                <w:tcPr>
                  <w:tcW w:w="692" w:type="pct"/>
                  <w:vAlign w:val="center"/>
                </w:tcPr>
                <w:p w14:paraId="77D53F02">
                  <w:pPr>
                    <w:spacing w:line="276" w:lineRule="auto"/>
                    <w:jc w:val="center"/>
                    <w:rPr>
                      <w:rFonts w:ascii="Times New Roman" w:hAnsi="Times New Roman" w:cs="Times New Roman"/>
                      <w:b/>
                      <w:szCs w:val="21"/>
                      <w:highlight w:val="none"/>
                    </w:rPr>
                  </w:pPr>
                  <w:r>
                    <w:rPr>
                      <w:rFonts w:hint="eastAsia" w:ascii="Times New Roman" w:hAnsi="Times New Roman" w:cs="Times New Roman"/>
                      <w:b/>
                      <w:szCs w:val="21"/>
                      <w:highlight w:val="none"/>
                    </w:rPr>
                    <w:t>比例（%）</w:t>
                  </w:r>
                </w:p>
              </w:tc>
              <w:tc>
                <w:tcPr>
                  <w:tcW w:w="930" w:type="pct"/>
                  <w:vAlign w:val="center"/>
                </w:tcPr>
                <w:p w14:paraId="0EEA566D">
                  <w:pPr>
                    <w:spacing w:line="276" w:lineRule="auto"/>
                    <w:jc w:val="center"/>
                    <w:rPr>
                      <w:rFonts w:ascii="Times New Roman" w:hAnsi="Times New Roman" w:cs="Times New Roman"/>
                      <w:b/>
                      <w:szCs w:val="21"/>
                      <w:highlight w:val="none"/>
                    </w:rPr>
                  </w:pPr>
                  <w:r>
                    <w:rPr>
                      <w:rFonts w:hint="eastAsia" w:ascii="Times New Roman" w:hAnsi="Times New Roman" w:cs="Times New Roman"/>
                      <w:b/>
                      <w:szCs w:val="21"/>
                      <w:highlight w:val="none"/>
                    </w:rPr>
                    <w:t>备注</w:t>
                  </w:r>
                </w:p>
              </w:tc>
              <w:tc>
                <w:tcPr>
                  <w:tcW w:w="678" w:type="pct"/>
                  <w:vAlign w:val="center"/>
                </w:tcPr>
                <w:p w14:paraId="41263936">
                  <w:pPr>
                    <w:spacing w:line="276" w:lineRule="auto"/>
                    <w:jc w:val="center"/>
                    <w:rPr>
                      <w:rFonts w:ascii="Times New Roman" w:hAnsi="Times New Roman" w:cs="Times New Roman"/>
                      <w:b/>
                      <w:szCs w:val="21"/>
                      <w:highlight w:val="none"/>
                    </w:rPr>
                  </w:pPr>
                  <w:r>
                    <w:rPr>
                      <w:rFonts w:hint="eastAsia" w:ascii="Times New Roman" w:hAnsi="Times New Roman" w:cs="Times New Roman"/>
                      <w:b/>
                      <w:szCs w:val="21"/>
                      <w:highlight w:val="none"/>
                      <w:lang w:val="en-US" w:eastAsia="zh-CN"/>
                    </w:rPr>
                    <w:t>漆料</w:t>
                  </w:r>
                  <w:r>
                    <w:rPr>
                      <w:rFonts w:hint="eastAsia" w:ascii="Times New Roman" w:hAnsi="Times New Roman" w:cs="Times New Roman"/>
                      <w:b/>
                      <w:szCs w:val="21"/>
                      <w:highlight w:val="none"/>
                    </w:rPr>
                    <w:t>密度（</w:t>
                  </w:r>
                  <w:r>
                    <w:rPr>
                      <w:rFonts w:ascii="Times New Roman" w:hAnsi="Times New Roman" w:cs="Times New Roman"/>
                      <w:b/>
                      <w:szCs w:val="21"/>
                      <w:highlight w:val="none"/>
                    </w:rPr>
                    <w:t>g/cm</w:t>
                  </w:r>
                  <w:r>
                    <w:rPr>
                      <w:rFonts w:ascii="Times New Roman" w:hAnsi="Times New Roman" w:cs="Times New Roman"/>
                      <w:b/>
                      <w:szCs w:val="21"/>
                      <w:highlight w:val="none"/>
                      <w:vertAlign w:val="superscript"/>
                    </w:rPr>
                    <w:t>3</w:t>
                  </w:r>
                  <w:r>
                    <w:rPr>
                      <w:rFonts w:hint="eastAsia" w:ascii="Times New Roman" w:hAnsi="Times New Roman" w:cs="Times New Roman"/>
                      <w:b/>
                      <w:szCs w:val="21"/>
                      <w:highlight w:val="none"/>
                    </w:rPr>
                    <w:t>）</w:t>
                  </w:r>
                </w:p>
              </w:tc>
              <w:tc>
                <w:tcPr>
                  <w:tcW w:w="599" w:type="pct"/>
                  <w:vAlign w:val="center"/>
                </w:tcPr>
                <w:p w14:paraId="54147C2A">
                  <w:pPr>
                    <w:spacing w:line="276" w:lineRule="auto"/>
                    <w:jc w:val="center"/>
                    <w:rPr>
                      <w:rFonts w:hint="default"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干膜密度</w:t>
                  </w:r>
                </w:p>
              </w:tc>
            </w:tr>
            <w:tr w14:paraId="16AD5D9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restart"/>
                  <w:vAlign w:val="center"/>
                </w:tcPr>
                <w:p w14:paraId="0C93800D">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水性底漆</w:t>
                  </w:r>
                </w:p>
              </w:tc>
              <w:tc>
                <w:tcPr>
                  <w:tcW w:w="992" w:type="pct"/>
                  <w:vAlign w:val="center"/>
                </w:tcPr>
                <w:p w14:paraId="516A4272">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羟基丙烯酸树脂</w:t>
                  </w:r>
                </w:p>
              </w:tc>
              <w:tc>
                <w:tcPr>
                  <w:tcW w:w="712" w:type="pct"/>
                  <w:vAlign w:val="center"/>
                </w:tcPr>
                <w:p w14:paraId="6C27051A">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25133-97-5</w:t>
                  </w:r>
                </w:p>
              </w:tc>
              <w:tc>
                <w:tcPr>
                  <w:tcW w:w="692" w:type="pct"/>
                  <w:tcBorders>
                    <w:bottom w:val="single" w:color="auto" w:sz="4" w:space="0"/>
                  </w:tcBorders>
                  <w:vAlign w:val="center"/>
                </w:tcPr>
                <w:p w14:paraId="2E73E80F">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64</w:t>
                  </w:r>
                  <w:r>
                    <w:rPr>
                      <w:rFonts w:ascii="Times New Roman" w:hAnsi="Times New Roman" w:cs="Times New Roman"/>
                      <w:szCs w:val="21"/>
                      <w:highlight w:val="none"/>
                    </w:rPr>
                    <w:t>%</w:t>
                  </w:r>
                </w:p>
              </w:tc>
              <w:tc>
                <w:tcPr>
                  <w:tcW w:w="930" w:type="pct"/>
                  <w:vMerge w:val="restart"/>
                  <w:vAlign w:val="center"/>
                </w:tcPr>
                <w:p w14:paraId="1383E0F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固体份</w:t>
                  </w:r>
                </w:p>
              </w:tc>
              <w:tc>
                <w:tcPr>
                  <w:tcW w:w="678" w:type="pct"/>
                  <w:vMerge w:val="restart"/>
                  <w:vAlign w:val="center"/>
                </w:tcPr>
                <w:p w14:paraId="2CFE1D0B">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1.1</w:t>
                  </w:r>
                </w:p>
              </w:tc>
              <w:tc>
                <w:tcPr>
                  <w:tcW w:w="599" w:type="pct"/>
                  <w:vMerge w:val="restart"/>
                  <w:vAlign w:val="center"/>
                </w:tcPr>
                <w:p w14:paraId="1C1C8F08">
                  <w:pPr>
                    <w:spacing w:line="276" w:lineRule="auto"/>
                    <w:jc w:val="center"/>
                    <w:rPr>
                      <w:rFonts w:hint="default" w:ascii="Times New Roman" w:hAnsi="Times New Roman" w:cs="Times New Roman" w:eastAsiaTheme="minorEastAsia"/>
                      <w:szCs w:val="21"/>
                      <w:highlight w:val="none"/>
                      <w:lang w:val="en-US" w:eastAsia="zh-CN"/>
                    </w:rPr>
                  </w:pPr>
                  <w:r>
                    <w:rPr>
                      <w:rFonts w:hint="eastAsia" w:ascii="Times New Roman" w:hAnsi="Times New Roman" w:cs="Times New Roman"/>
                      <w:szCs w:val="21"/>
                      <w:highlight w:val="none"/>
                      <w:lang w:val="en-US" w:eastAsia="zh-CN"/>
                    </w:rPr>
                    <w:t>1.14</w:t>
                  </w:r>
                </w:p>
              </w:tc>
            </w:tr>
            <w:tr w14:paraId="5263961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0" w:hRule="atLeast"/>
              </w:trPr>
              <w:tc>
                <w:tcPr>
                  <w:tcW w:w="394" w:type="pct"/>
                  <w:vMerge w:val="continue"/>
                  <w:vAlign w:val="center"/>
                </w:tcPr>
                <w:p w14:paraId="6B12BFF6">
                  <w:pPr>
                    <w:spacing w:line="276" w:lineRule="auto"/>
                    <w:jc w:val="center"/>
                    <w:rPr>
                      <w:rFonts w:ascii="Times New Roman" w:hAnsi="Times New Roman" w:cs="Times New Roman"/>
                      <w:szCs w:val="21"/>
                      <w:highlight w:val="none"/>
                    </w:rPr>
                  </w:pPr>
                </w:p>
              </w:tc>
              <w:tc>
                <w:tcPr>
                  <w:tcW w:w="992" w:type="pct"/>
                  <w:vAlign w:val="center"/>
                </w:tcPr>
                <w:p w14:paraId="2E442957">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消泡剂</w:t>
                  </w:r>
                </w:p>
              </w:tc>
              <w:tc>
                <w:tcPr>
                  <w:tcW w:w="712" w:type="pct"/>
                  <w:vAlign w:val="center"/>
                </w:tcPr>
                <w:p w14:paraId="61F3BF7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87435-55-0</w:t>
                  </w:r>
                </w:p>
              </w:tc>
              <w:tc>
                <w:tcPr>
                  <w:tcW w:w="692" w:type="pct"/>
                  <w:tcBorders>
                    <w:top w:val="single" w:color="auto" w:sz="4" w:space="0"/>
                    <w:bottom w:val="single" w:color="auto" w:sz="4" w:space="0"/>
                  </w:tcBorders>
                  <w:vAlign w:val="center"/>
                </w:tcPr>
                <w:p w14:paraId="630EB304">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0.5%</w:t>
                  </w:r>
                </w:p>
              </w:tc>
              <w:tc>
                <w:tcPr>
                  <w:tcW w:w="930" w:type="pct"/>
                  <w:vMerge w:val="continue"/>
                  <w:vAlign w:val="center"/>
                </w:tcPr>
                <w:p w14:paraId="222743F5">
                  <w:pPr>
                    <w:spacing w:line="276" w:lineRule="auto"/>
                    <w:jc w:val="center"/>
                    <w:rPr>
                      <w:rFonts w:ascii="Times New Roman" w:hAnsi="Times New Roman" w:cs="Times New Roman"/>
                      <w:szCs w:val="21"/>
                      <w:highlight w:val="none"/>
                    </w:rPr>
                  </w:pPr>
                </w:p>
              </w:tc>
              <w:tc>
                <w:tcPr>
                  <w:tcW w:w="678" w:type="pct"/>
                  <w:vMerge w:val="continue"/>
                  <w:vAlign w:val="center"/>
                </w:tcPr>
                <w:p w14:paraId="66B08B68">
                  <w:pPr>
                    <w:spacing w:line="276" w:lineRule="auto"/>
                    <w:jc w:val="center"/>
                    <w:rPr>
                      <w:rFonts w:ascii="Times New Roman" w:hAnsi="Times New Roman" w:cs="Times New Roman"/>
                      <w:szCs w:val="21"/>
                      <w:highlight w:val="none"/>
                    </w:rPr>
                  </w:pPr>
                </w:p>
              </w:tc>
              <w:tc>
                <w:tcPr>
                  <w:tcW w:w="599" w:type="pct"/>
                  <w:vMerge w:val="continue"/>
                  <w:vAlign w:val="center"/>
                </w:tcPr>
                <w:p w14:paraId="7801F209">
                  <w:pPr>
                    <w:spacing w:line="276" w:lineRule="auto"/>
                    <w:jc w:val="center"/>
                    <w:rPr>
                      <w:rFonts w:ascii="Times New Roman" w:hAnsi="Times New Roman" w:cs="Times New Roman"/>
                      <w:szCs w:val="21"/>
                      <w:highlight w:val="none"/>
                    </w:rPr>
                  </w:pPr>
                </w:p>
              </w:tc>
            </w:tr>
            <w:tr w14:paraId="1ACB93D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continue"/>
                  <w:vAlign w:val="center"/>
                </w:tcPr>
                <w:p w14:paraId="3447097F">
                  <w:pPr>
                    <w:spacing w:line="276" w:lineRule="auto"/>
                    <w:jc w:val="center"/>
                    <w:rPr>
                      <w:rFonts w:ascii="Times New Roman" w:hAnsi="Times New Roman" w:cs="Times New Roman"/>
                      <w:szCs w:val="21"/>
                      <w:highlight w:val="none"/>
                    </w:rPr>
                  </w:pPr>
                </w:p>
              </w:tc>
              <w:tc>
                <w:tcPr>
                  <w:tcW w:w="992" w:type="pct"/>
                  <w:vAlign w:val="center"/>
                </w:tcPr>
                <w:p w14:paraId="6628E69D">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增稠剂</w:t>
                  </w:r>
                </w:p>
              </w:tc>
              <w:tc>
                <w:tcPr>
                  <w:tcW w:w="712" w:type="pct"/>
                  <w:vAlign w:val="center"/>
                </w:tcPr>
                <w:p w14:paraId="5F064960">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9003-05-8</w:t>
                  </w:r>
                </w:p>
              </w:tc>
              <w:tc>
                <w:tcPr>
                  <w:tcW w:w="692" w:type="pct"/>
                  <w:tcBorders>
                    <w:top w:val="single" w:color="auto" w:sz="4" w:space="0"/>
                  </w:tcBorders>
                  <w:vAlign w:val="center"/>
                </w:tcPr>
                <w:p w14:paraId="621C52F8">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1.5%</w:t>
                  </w:r>
                </w:p>
              </w:tc>
              <w:tc>
                <w:tcPr>
                  <w:tcW w:w="930" w:type="pct"/>
                  <w:vMerge w:val="continue"/>
                  <w:vAlign w:val="center"/>
                </w:tcPr>
                <w:p w14:paraId="0DE6DC36">
                  <w:pPr>
                    <w:spacing w:line="276" w:lineRule="auto"/>
                    <w:jc w:val="center"/>
                    <w:rPr>
                      <w:rFonts w:ascii="Times New Roman" w:hAnsi="Times New Roman" w:cs="Times New Roman"/>
                      <w:szCs w:val="21"/>
                      <w:highlight w:val="none"/>
                    </w:rPr>
                  </w:pPr>
                </w:p>
              </w:tc>
              <w:tc>
                <w:tcPr>
                  <w:tcW w:w="678" w:type="pct"/>
                  <w:vMerge w:val="continue"/>
                  <w:vAlign w:val="center"/>
                </w:tcPr>
                <w:p w14:paraId="1831E5B4">
                  <w:pPr>
                    <w:spacing w:line="276" w:lineRule="auto"/>
                    <w:jc w:val="center"/>
                    <w:rPr>
                      <w:rFonts w:ascii="Times New Roman" w:hAnsi="Times New Roman" w:cs="Times New Roman"/>
                      <w:szCs w:val="21"/>
                      <w:highlight w:val="none"/>
                    </w:rPr>
                  </w:pPr>
                </w:p>
              </w:tc>
              <w:tc>
                <w:tcPr>
                  <w:tcW w:w="599" w:type="pct"/>
                  <w:vMerge w:val="continue"/>
                  <w:vAlign w:val="center"/>
                </w:tcPr>
                <w:p w14:paraId="4A93E211">
                  <w:pPr>
                    <w:spacing w:line="276" w:lineRule="auto"/>
                    <w:jc w:val="center"/>
                    <w:rPr>
                      <w:rFonts w:ascii="Times New Roman" w:hAnsi="Times New Roman" w:cs="Times New Roman"/>
                      <w:szCs w:val="21"/>
                      <w:highlight w:val="none"/>
                    </w:rPr>
                  </w:pPr>
                </w:p>
              </w:tc>
            </w:tr>
            <w:tr w14:paraId="2AC46D7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continue"/>
                  <w:vAlign w:val="center"/>
                </w:tcPr>
                <w:p w14:paraId="20C6D4AF">
                  <w:pPr>
                    <w:spacing w:line="276" w:lineRule="auto"/>
                    <w:jc w:val="center"/>
                    <w:rPr>
                      <w:rFonts w:ascii="Times New Roman" w:hAnsi="Times New Roman" w:cs="Times New Roman"/>
                      <w:szCs w:val="21"/>
                      <w:highlight w:val="none"/>
                    </w:rPr>
                  </w:pPr>
                </w:p>
              </w:tc>
              <w:tc>
                <w:tcPr>
                  <w:tcW w:w="992" w:type="pct"/>
                  <w:vAlign w:val="center"/>
                </w:tcPr>
                <w:p w14:paraId="694A9998">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水性色浆</w:t>
                  </w:r>
                </w:p>
              </w:tc>
              <w:tc>
                <w:tcPr>
                  <w:tcW w:w="712" w:type="pct"/>
                  <w:vAlign w:val="center"/>
                </w:tcPr>
                <w:p w14:paraId="1051494B">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147-14-8</w:t>
                  </w:r>
                </w:p>
              </w:tc>
              <w:tc>
                <w:tcPr>
                  <w:tcW w:w="692" w:type="pct"/>
                  <w:tcBorders>
                    <w:top w:val="single" w:color="auto" w:sz="4" w:space="0"/>
                  </w:tcBorders>
                  <w:vAlign w:val="center"/>
                </w:tcPr>
                <w:p w14:paraId="7394D944">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5%</w:t>
                  </w:r>
                </w:p>
              </w:tc>
              <w:tc>
                <w:tcPr>
                  <w:tcW w:w="930" w:type="pct"/>
                  <w:vMerge w:val="continue"/>
                  <w:vAlign w:val="center"/>
                </w:tcPr>
                <w:p w14:paraId="47B73DBA">
                  <w:pPr>
                    <w:spacing w:line="276" w:lineRule="auto"/>
                    <w:jc w:val="center"/>
                    <w:rPr>
                      <w:rFonts w:ascii="Times New Roman" w:hAnsi="Times New Roman" w:cs="Times New Roman"/>
                      <w:szCs w:val="21"/>
                      <w:highlight w:val="none"/>
                    </w:rPr>
                  </w:pPr>
                </w:p>
              </w:tc>
              <w:tc>
                <w:tcPr>
                  <w:tcW w:w="678" w:type="pct"/>
                  <w:vMerge w:val="continue"/>
                  <w:vAlign w:val="center"/>
                </w:tcPr>
                <w:p w14:paraId="5294F62D">
                  <w:pPr>
                    <w:spacing w:line="276" w:lineRule="auto"/>
                    <w:jc w:val="center"/>
                    <w:rPr>
                      <w:rFonts w:ascii="Times New Roman" w:hAnsi="Times New Roman" w:cs="Times New Roman"/>
                      <w:szCs w:val="21"/>
                      <w:highlight w:val="none"/>
                    </w:rPr>
                  </w:pPr>
                </w:p>
              </w:tc>
              <w:tc>
                <w:tcPr>
                  <w:tcW w:w="599" w:type="pct"/>
                  <w:vMerge w:val="continue"/>
                  <w:vAlign w:val="center"/>
                </w:tcPr>
                <w:p w14:paraId="431CA59C">
                  <w:pPr>
                    <w:spacing w:line="276" w:lineRule="auto"/>
                    <w:jc w:val="center"/>
                    <w:rPr>
                      <w:rFonts w:ascii="Times New Roman" w:hAnsi="Times New Roman" w:cs="Times New Roman"/>
                      <w:szCs w:val="21"/>
                      <w:highlight w:val="none"/>
                    </w:rPr>
                  </w:pPr>
                </w:p>
              </w:tc>
            </w:tr>
            <w:tr w14:paraId="08AB450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continue"/>
                  <w:vAlign w:val="center"/>
                </w:tcPr>
                <w:p w14:paraId="02701455">
                  <w:pPr>
                    <w:spacing w:line="276" w:lineRule="auto"/>
                    <w:jc w:val="center"/>
                    <w:rPr>
                      <w:rFonts w:ascii="Times New Roman" w:hAnsi="Times New Roman" w:cs="Times New Roman"/>
                      <w:szCs w:val="21"/>
                      <w:highlight w:val="none"/>
                    </w:rPr>
                  </w:pPr>
                </w:p>
              </w:tc>
              <w:tc>
                <w:tcPr>
                  <w:tcW w:w="992" w:type="pct"/>
                  <w:vAlign w:val="center"/>
                </w:tcPr>
                <w:p w14:paraId="2B04251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环保助剂（醇酯化合物）</w:t>
                  </w:r>
                </w:p>
              </w:tc>
              <w:tc>
                <w:tcPr>
                  <w:tcW w:w="712" w:type="pct"/>
                  <w:vAlign w:val="center"/>
                </w:tcPr>
                <w:p w14:paraId="13590E71">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77-68-9</w:t>
                  </w:r>
                </w:p>
              </w:tc>
              <w:tc>
                <w:tcPr>
                  <w:tcW w:w="692" w:type="pct"/>
                  <w:tcBorders>
                    <w:bottom w:val="single" w:color="auto" w:sz="4" w:space="0"/>
                  </w:tcBorders>
                  <w:vAlign w:val="center"/>
                </w:tcPr>
                <w:p w14:paraId="381EF682">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4%</w:t>
                  </w:r>
                </w:p>
              </w:tc>
              <w:tc>
                <w:tcPr>
                  <w:tcW w:w="930" w:type="pct"/>
                  <w:tcBorders>
                    <w:bottom w:val="single" w:color="auto" w:sz="4" w:space="0"/>
                  </w:tcBorders>
                  <w:vAlign w:val="center"/>
                </w:tcPr>
                <w:p w14:paraId="429095CE">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挥发份</w:t>
                  </w:r>
                </w:p>
              </w:tc>
              <w:tc>
                <w:tcPr>
                  <w:tcW w:w="678" w:type="pct"/>
                  <w:vMerge w:val="continue"/>
                  <w:vAlign w:val="center"/>
                </w:tcPr>
                <w:p w14:paraId="77535552">
                  <w:pPr>
                    <w:spacing w:line="276" w:lineRule="auto"/>
                    <w:jc w:val="center"/>
                    <w:rPr>
                      <w:rFonts w:ascii="Times New Roman" w:hAnsi="Times New Roman" w:cs="Times New Roman"/>
                      <w:szCs w:val="21"/>
                      <w:highlight w:val="none"/>
                    </w:rPr>
                  </w:pPr>
                </w:p>
              </w:tc>
              <w:tc>
                <w:tcPr>
                  <w:tcW w:w="599" w:type="pct"/>
                  <w:vMerge w:val="continue"/>
                  <w:vAlign w:val="center"/>
                </w:tcPr>
                <w:p w14:paraId="333A0E93">
                  <w:pPr>
                    <w:spacing w:line="276" w:lineRule="auto"/>
                    <w:jc w:val="center"/>
                    <w:rPr>
                      <w:rFonts w:ascii="Times New Roman" w:hAnsi="Times New Roman" w:cs="Times New Roman"/>
                      <w:szCs w:val="21"/>
                      <w:highlight w:val="none"/>
                    </w:rPr>
                  </w:pPr>
                </w:p>
              </w:tc>
            </w:tr>
            <w:tr w14:paraId="2C73D60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continue"/>
                  <w:vAlign w:val="center"/>
                </w:tcPr>
                <w:p w14:paraId="4AC5E539">
                  <w:pPr>
                    <w:spacing w:line="276" w:lineRule="auto"/>
                    <w:jc w:val="center"/>
                    <w:rPr>
                      <w:rFonts w:ascii="Times New Roman" w:hAnsi="Times New Roman" w:cs="Times New Roman"/>
                      <w:szCs w:val="21"/>
                      <w:highlight w:val="none"/>
                    </w:rPr>
                  </w:pPr>
                </w:p>
              </w:tc>
              <w:tc>
                <w:tcPr>
                  <w:tcW w:w="992" w:type="pct"/>
                  <w:vAlign w:val="center"/>
                </w:tcPr>
                <w:p w14:paraId="59806E5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纯净水</w:t>
                  </w:r>
                </w:p>
              </w:tc>
              <w:tc>
                <w:tcPr>
                  <w:tcW w:w="712" w:type="pct"/>
                  <w:vAlign w:val="center"/>
                </w:tcPr>
                <w:p w14:paraId="53092BBF">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7773-18-5</w:t>
                  </w:r>
                </w:p>
              </w:tc>
              <w:tc>
                <w:tcPr>
                  <w:tcW w:w="692" w:type="pct"/>
                  <w:tcBorders>
                    <w:top w:val="single" w:color="auto" w:sz="4" w:space="0"/>
                    <w:bottom w:val="single" w:color="auto" w:sz="4" w:space="0"/>
                  </w:tcBorders>
                  <w:vAlign w:val="center"/>
                </w:tcPr>
                <w:p w14:paraId="71B182AA">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25</w:t>
                  </w:r>
                  <w:r>
                    <w:rPr>
                      <w:rFonts w:ascii="Times New Roman" w:hAnsi="Times New Roman" w:cs="Times New Roman"/>
                      <w:szCs w:val="21"/>
                      <w:highlight w:val="none"/>
                    </w:rPr>
                    <w:t>%</w:t>
                  </w:r>
                </w:p>
              </w:tc>
              <w:tc>
                <w:tcPr>
                  <w:tcW w:w="930" w:type="pct"/>
                  <w:tcBorders>
                    <w:top w:val="single" w:color="auto" w:sz="4" w:space="0"/>
                    <w:bottom w:val="single" w:color="auto" w:sz="4" w:space="0"/>
                  </w:tcBorders>
                  <w:vAlign w:val="center"/>
                </w:tcPr>
                <w:p w14:paraId="02F694E2">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不挥发</w:t>
                  </w:r>
                </w:p>
              </w:tc>
              <w:tc>
                <w:tcPr>
                  <w:tcW w:w="678" w:type="pct"/>
                  <w:vMerge w:val="continue"/>
                  <w:vAlign w:val="center"/>
                </w:tcPr>
                <w:p w14:paraId="54F8096C">
                  <w:pPr>
                    <w:spacing w:line="276" w:lineRule="auto"/>
                    <w:jc w:val="center"/>
                    <w:rPr>
                      <w:rFonts w:ascii="Times New Roman" w:hAnsi="Times New Roman" w:cs="Times New Roman"/>
                      <w:szCs w:val="21"/>
                      <w:highlight w:val="none"/>
                    </w:rPr>
                  </w:pPr>
                </w:p>
              </w:tc>
              <w:tc>
                <w:tcPr>
                  <w:tcW w:w="599" w:type="pct"/>
                  <w:vMerge w:val="continue"/>
                  <w:vAlign w:val="center"/>
                </w:tcPr>
                <w:p w14:paraId="0CAD71F3">
                  <w:pPr>
                    <w:spacing w:line="276" w:lineRule="auto"/>
                    <w:jc w:val="center"/>
                    <w:rPr>
                      <w:rFonts w:ascii="Times New Roman" w:hAnsi="Times New Roman" w:cs="Times New Roman"/>
                      <w:szCs w:val="21"/>
                      <w:highlight w:val="none"/>
                    </w:rPr>
                  </w:pPr>
                </w:p>
              </w:tc>
            </w:tr>
            <w:tr w14:paraId="516C339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restart"/>
                  <w:tcBorders>
                    <w:top w:val="single" w:color="auto" w:sz="4" w:space="0"/>
                  </w:tcBorders>
                  <w:vAlign w:val="center"/>
                </w:tcPr>
                <w:p w14:paraId="70828295">
                  <w:pPr>
                    <w:spacing w:line="276" w:lineRule="auto"/>
                    <w:jc w:val="center"/>
                    <w:rPr>
                      <w:rFonts w:ascii="Times New Roman" w:hAnsi="Times New Roman" w:cs="Times New Roman"/>
                      <w:szCs w:val="21"/>
                      <w:highlight w:val="none"/>
                    </w:rPr>
                  </w:pPr>
                  <w:r>
                    <w:rPr>
                      <w:rFonts w:ascii="Times New Roman" w:hAnsi="Times New Roman" w:cs="Times New Roman"/>
                      <w:szCs w:val="21"/>
                      <w:highlight w:val="none"/>
                    </w:rPr>
                    <w:t>水性面漆</w:t>
                  </w:r>
                </w:p>
              </w:tc>
              <w:tc>
                <w:tcPr>
                  <w:tcW w:w="992" w:type="pct"/>
                  <w:tcBorders>
                    <w:top w:val="single" w:color="auto" w:sz="4" w:space="0"/>
                  </w:tcBorders>
                  <w:vAlign w:val="center"/>
                </w:tcPr>
                <w:p w14:paraId="30B4266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羟基丙烯酸树脂</w:t>
                  </w:r>
                </w:p>
              </w:tc>
              <w:tc>
                <w:tcPr>
                  <w:tcW w:w="712" w:type="pct"/>
                  <w:vAlign w:val="center"/>
                </w:tcPr>
                <w:p w14:paraId="41F27DF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25133-97-5</w:t>
                  </w:r>
                </w:p>
              </w:tc>
              <w:tc>
                <w:tcPr>
                  <w:tcW w:w="692" w:type="pct"/>
                  <w:tcBorders>
                    <w:top w:val="single" w:color="auto" w:sz="4" w:space="0"/>
                    <w:bottom w:val="single" w:color="auto" w:sz="4" w:space="0"/>
                  </w:tcBorders>
                  <w:vAlign w:val="center"/>
                </w:tcPr>
                <w:p w14:paraId="2CDB7BE5">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64</w:t>
                  </w:r>
                  <w:r>
                    <w:rPr>
                      <w:rFonts w:ascii="Times New Roman" w:hAnsi="Times New Roman" w:cs="Times New Roman"/>
                      <w:szCs w:val="21"/>
                      <w:highlight w:val="none"/>
                    </w:rPr>
                    <w:t>%</w:t>
                  </w:r>
                </w:p>
              </w:tc>
              <w:tc>
                <w:tcPr>
                  <w:tcW w:w="930" w:type="pct"/>
                  <w:vMerge w:val="restart"/>
                  <w:tcBorders>
                    <w:top w:val="single" w:color="auto" w:sz="4" w:space="0"/>
                  </w:tcBorders>
                  <w:vAlign w:val="center"/>
                </w:tcPr>
                <w:p w14:paraId="0E00659D">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固体份</w:t>
                  </w:r>
                </w:p>
              </w:tc>
              <w:tc>
                <w:tcPr>
                  <w:tcW w:w="678" w:type="pct"/>
                  <w:vMerge w:val="restart"/>
                  <w:tcBorders>
                    <w:top w:val="single" w:color="auto" w:sz="4" w:space="0"/>
                  </w:tcBorders>
                  <w:vAlign w:val="center"/>
                </w:tcPr>
                <w:p w14:paraId="15C62250">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0.95</w:t>
                  </w:r>
                </w:p>
              </w:tc>
              <w:tc>
                <w:tcPr>
                  <w:tcW w:w="599" w:type="pct"/>
                  <w:vMerge w:val="restart"/>
                  <w:tcBorders>
                    <w:top w:val="single" w:color="auto" w:sz="4" w:space="0"/>
                  </w:tcBorders>
                  <w:vAlign w:val="center"/>
                </w:tcPr>
                <w:p w14:paraId="51494378">
                  <w:pPr>
                    <w:spacing w:line="276" w:lineRule="auto"/>
                    <w:jc w:val="center"/>
                    <w:rPr>
                      <w:rFonts w:hint="default" w:ascii="Times New Roman" w:hAnsi="Times New Roman" w:cs="Times New Roman" w:eastAsiaTheme="minorEastAsia"/>
                      <w:szCs w:val="21"/>
                      <w:highlight w:val="none"/>
                      <w:lang w:val="en-US" w:eastAsia="zh-CN"/>
                    </w:rPr>
                  </w:pPr>
                  <w:r>
                    <w:rPr>
                      <w:rFonts w:hint="eastAsia" w:ascii="Times New Roman" w:hAnsi="Times New Roman" w:cs="Times New Roman"/>
                      <w:szCs w:val="21"/>
                      <w:highlight w:val="none"/>
                      <w:lang w:val="en-US" w:eastAsia="zh-CN"/>
                    </w:rPr>
                    <w:t>0.93</w:t>
                  </w:r>
                </w:p>
              </w:tc>
            </w:tr>
            <w:tr w14:paraId="1B68358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continue"/>
                  <w:vAlign w:val="center"/>
                </w:tcPr>
                <w:p w14:paraId="15AB7615">
                  <w:pPr>
                    <w:spacing w:line="276" w:lineRule="auto"/>
                    <w:jc w:val="center"/>
                    <w:rPr>
                      <w:rFonts w:ascii="Times New Roman" w:hAnsi="Times New Roman" w:cs="Times New Roman"/>
                      <w:szCs w:val="21"/>
                      <w:highlight w:val="none"/>
                    </w:rPr>
                  </w:pPr>
                </w:p>
              </w:tc>
              <w:tc>
                <w:tcPr>
                  <w:tcW w:w="992" w:type="pct"/>
                  <w:vAlign w:val="center"/>
                </w:tcPr>
                <w:p w14:paraId="53B4ACF2">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消泡剂</w:t>
                  </w:r>
                </w:p>
              </w:tc>
              <w:tc>
                <w:tcPr>
                  <w:tcW w:w="712" w:type="pct"/>
                  <w:vAlign w:val="center"/>
                </w:tcPr>
                <w:p w14:paraId="12F10378">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87435-55-0</w:t>
                  </w:r>
                </w:p>
              </w:tc>
              <w:tc>
                <w:tcPr>
                  <w:tcW w:w="692" w:type="pct"/>
                  <w:tcBorders>
                    <w:top w:val="single" w:color="auto" w:sz="4" w:space="0"/>
                    <w:bottom w:val="single" w:color="auto" w:sz="4" w:space="0"/>
                  </w:tcBorders>
                  <w:vAlign w:val="center"/>
                </w:tcPr>
                <w:p w14:paraId="464DAE96">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0.5%</w:t>
                  </w:r>
                </w:p>
              </w:tc>
              <w:tc>
                <w:tcPr>
                  <w:tcW w:w="930" w:type="pct"/>
                  <w:vMerge w:val="continue"/>
                  <w:vAlign w:val="center"/>
                </w:tcPr>
                <w:p w14:paraId="25D67CEC">
                  <w:pPr>
                    <w:spacing w:line="276" w:lineRule="auto"/>
                    <w:jc w:val="center"/>
                    <w:rPr>
                      <w:rFonts w:ascii="Times New Roman" w:hAnsi="Times New Roman" w:cs="Times New Roman"/>
                      <w:szCs w:val="21"/>
                      <w:highlight w:val="none"/>
                    </w:rPr>
                  </w:pPr>
                </w:p>
              </w:tc>
              <w:tc>
                <w:tcPr>
                  <w:tcW w:w="678" w:type="pct"/>
                  <w:vMerge w:val="continue"/>
                  <w:vAlign w:val="center"/>
                </w:tcPr>
                <w:p w14:paraId="2D226DC1">
                  <w:pPr>
                    <w:spacing w:line="276" w:lineRule="auto"/>
                    <w:jc w:val="center"/>
                    <w:rPr>
                      <w:rFonts w:ascii="Times New Roman" w:hAnsi="Times New Roman" w:cs="Times New Roman"/>
                      <w:szCs w:val="21"/>
                      <w:highlight w:val="none"/>
                    </w:rPr>
                  </w:pPr>
                </w:p>
              </w:tc>
              <w:tc>
                <w:tcPr>
                  <w:tcW w:w="599" w:type="pct"/>
                  <w:vMerge w:val="continue"/>
                  <w:vAlign w:val="center"/>
                </w:tcPr>
                <w:p w14:paraId="6AA7A97C">
                  <w:pPr>
                    <w:spacing w:line="276" w:lineRule="auto"/>
                    <w:jc w:val="center"/>
                    <w:rPr>
                      <w:rFonts w:ascii="Times New Roman" w:hAnsi="Times New Roman" w:cs="Times New Roman"/>
                      <w:szCs w:val="21"/>
                      <w:highlight w:val="none"/>
                    </w:rPr>
                  </w:pPr>
                </w:p>
              </w:tc>
            </w:tr>
            <w:tr w14:paraId="7AA0ED1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continue"/>
                  <w:vAlign w:val="center"/>
                </w:tcPr>
                <w:p w14:paraId="01B4A119">
                  <w:pPr>
                    <w:spacing w:line="276" w:lineRule="auto"/>
                    <w:jc w:val="center"/>
                    <w:rPr>
                      <w:rFonts w:ascii="Times New Roman" w:hAnsi="Times New Roman" w:cs="Times New Roman"/>
                      <w:szCs w:val="21"/>
                      <w:highlight w:val="none"/>
                    </w:rPr>
                  </w:pPr>
                </w:p>
              </w:tc>
              <w:tc>
                <w:tcPr>
                  <w:tcW w:w="992" w:type="pct"/>
                  <w:vAlign w:val="center"/>
                </w:tcPr>
                <w:p w14:paraId="7B398ADE">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增稠剂</w:t>
                  </w:r>
                </w:p>
              </w:tc>
              <w:tc>
                <w:tcPr>
                  <w:tcW w:w="712" w:type="pct"/>
                  <w:vAlign w:val="center"/>
                </w:tcPr>
                <w:p w14:paraId="37C1D2F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9003-05-8</w:t>
                  </w:r>
                </w:p>
              </w:tc>
              <w:tc>
                <w:tcPr>
                  <w:tcW w:w="692" w:type="pct"/>
                  <w:tcBorders>
                    <w:top w:val="single" w:color="auto" w:sz="4" w:space="0"/>
                    <w:bottom w:val="single" w:color="auto" w:sz="4" w:space="0"/>
                  </w:tcBorders>
                  <w:vAlign w:val="center"/>
                </w:tcPr>
                <w:p w14:paraId="64ED576A">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1.5%</w:t>
                  </w:r>
                </w:p>
              </w:tc>
              <w:tc>
                <w:tcPr>
                  <w:tcW w:w="930" w:type="pct"/>
                  <w:vMerge w:val="continue"/>
                  <w:tcBorders>
                    <w:bottom w:val="single" w:color="auto" w:sz="4" w:space="0"/>
                  </w:tcBorders>
                  <w:vAlign w:val="center"/>
                </w:tcPr>
                <w:p w14:paraId="5A72FD3B">
                  <w:pPr>
                    <w:spacing w:line="276" w:lineRule="auto"/>
                    <w:jc w:val="center"/>
                    <w:rPr>
                      <w:rFonts w:ascii="Times New Roman" w:hAnsi="Times New Roman" w:cs="Times New Roman"/>
                      <w:szCs w:val="21"/>
                      <w:highlight w:val="none"/>
                    </w:rPr>
                  </w:pPr>
                </w:p>
              </w:tc>
              <w:tc>
                <w:tcPr>
                  <w:tcW w:w="678" w:type="pct"/>
                  <w:vMerge w:val="continue"/>
                  <w:vAlign w:val="center"/>
                </w:tcPr>
                <w:p w14:paraId="314A7E73">
                  <w:pPr>
                    <w:spacing w:line="276" w:lineRule="auto"/>
                    <w:jc w:val="center"/>
                    <w:rPr>
                      <w:rFonts w:ascii="Times New Roman" w:hAnsi="Times New Roman" w:cs="Times New Roman"/>
                      <w:szCs w:val="21"/>
                      <w:highlight w:val="none"/>
                    </w:rPr>
                  </w:pPr>
                </w:p>
              </w:tc>
              <w:tc>
                <w:tcPr>
                  <w:tcW w:w="599" w:type="pct"/>
                  <w:vMerge w:val="continue"/>
                  <w:vAlign w:val="center"/>
                </w:tcPr>
                <w:p w14:paraId="79E04CC9">
                  <w:pPr>
                    <w:spacing w:line="276" w:lineRule="auto"/>
                    <w:jc w:val="center"/>
                    <w:rPr>
                      <w:rFonts w:ascii="Times New Roman" w:hAnsi="Times New Roman" w:cs="Times New Roman"/>
                      <w:szCs w:val="21"/>
                      <w:highlight w:val="none"/>
                    </w:rPr>
                  </w:pPr>
                </w:p>
              </w:tc>
            </w:tr>
            <w:tr w14:paraId="098B787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continue"/>
                  <w:vAlign w:val="center"/>
                </w:tcPr>
                <w:p w14:paraId="761D0B1D">
                  <w:pPr>
                    <w:spacing w:line="276" w:lineRule="auto"/>
                    <w:jc w:val="center"/>
                    <w:rPr>
                      <w:rFonts w:ascii="Times New Roman" w:hAnsi="Times New Roman" w:cs="Times New Roman"/>
                      <w:szCs w:val="21"/>
                      <w:highlight w:val="none"/>
                    </w:rPr>
                  </w:pPr>
                </w:p>
              </w:tc>
              <w:tc>
                <w:tcPr>
                  <w:tcW w:w="992" w:type="pct"/>
                  <w:vAlign w:val="center"/>
                </w:tcPr>
                <w:p w14:paraId="2871D047">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环保助剂（醇酯化合物）</w:t>
                  </w:r>
                </w:p>
              </w:tc>
              <w:tc>
                <w:tcPr>
                  <w:tcW w:w="712" w:type="pct"/>
                  <w:vAlign w:val="center"/>
                </w:tcPr>
                <w:p w14:paraId="0D68BD5E">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77-68-9</w:t>
                  </w:r>
                </w:p>
              </w:tc>
              <w:tc>
                <w:tcPr>
                  <w:tcW w:w="692" w:type="pct"/>
                  <w:tcBorders>
                    <w:top w:val="single" w:color="auto" w:sz="4" w:space="0"/>
                  </w:tcBorders>
                  <w:vAlign w:val="center"/>
                </w:tcPr>
                <w:p w14:paraId="0EDFEBA4">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4%</w:t>
                  </w:r>
                </w:p>
              </w:tc>
              <w:tc>
                <w:tcPr>
                  <w:tcW w:w="930" w:type="pct"/>
                  <w:tcBorders>
                    <w:top w:val="single" w:color="auto" w:sz="4" w:space="0"/>
                  </w:tcBorders>
                  <w:vAlign w:val="center"/>
                </w:tcPr>
                <w:p w14:paraId="112D9B5D">
                  <w:pPr>
                    <w:spacing w:line="276" w:lineRule="auto"/>
                    <w:jc w:val="center"/>
                    <w:rPr>
                      <w:rFonts w:ascii="Times New Roman" w:hAnsi="Times New Roman" w:cs="Times New Roman"/>
                      <w:szCs w:val="21"/>
                      <w:highlight w:val="none"/>
                    </w:rPr>
                  </w:pPr>
                  <w:r>
                    <w:rPr>
                      <w:rFonts w:ascii="Times New Roman" w:hAnsi="Times New Roman" w:cs="Times New Roman"/>
                      <w:szCs w:val="21"/>
                      <w:highlight w:val="none"/>
                    </w:rPr>
                    <w:t>挥发份</w:t>
                  </w:r>
                </w:p>
              </w:tc>
              <w:tc>
                <w:tcPr>
                  <w:tcW w:w="678" w:type="pct"/>
                  <w:vMerge w:val="continue"/>
                  <w:vAlign w:val="center"/>
                </w:tcPr>
                <w:p w14:paraId="0D6A8910">
                  <w:pPr>
                    <w:spacing w:line="276" w:lineRule="auto"/>
                    <w:jc w:val="center"/>
                    <w:rPr>
                      <w:rFonts w:ascii="Times New Roman" w:hAnsi="Times New Roman" w:cs="Times New Roman"/>
                      <w:szCs w:val="21"/>
                      <w:highlight w:val="none"/>
                    </w:rPr>
                  </w:pPr>
                </w:p>
              </w:tc>
              <w:tc>
                <w:tcPr>
                  <w:tcW w:w="599" w:type="pct"/>
                  <w:vMerge w:val="continue"/>
                  <w:vAlign w:val="center"/>
                </w:tcPr>
                <w:p w14:paraId="1E4A5EE3">
                  <w:pPr>
                    <w:spacing w:line="276" w:lineRule="auto"/>
                    <w:jc w:val="center"/>
                    <w:rPr>
                      <w:rFonts w:ascii="Times New Roman" w:hAnsi="Times New Roman" w:cs="Times New Roman"/>
                      <w:szCs w:val="21"/>
                      <w:highlight w:val="none"/>
                    </w:rPr>
                  </w:pPr>
                </w:p>
              </w:tc>
            </w:tr>
            <w:tr w14:paraId="1DFDF10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394" w:type="pct"/>
                  <w:vMerge w:val="continue"/>
                  <w:vAlign w:val="center"/>
                </w:tcPr>
                <w:p w14:paraId="77EF9FE2">
                  <w:pPr>
                    <w:spacing w:line="276" w:lineRule="auto"/>
                    <w:jc w:val="center"/>
                    <w:rPr>
                      <w:rFonts w:ascii="Times New Roman" w:hAnsi="Times New Roman" w:cs="Times New Roman"/>
                      <w:szCs w:val="21"/>
                      <w:highlight w:val="none"/>
                    </w:rPr>
                  </w:pPr>
                </w:p>
              </w:tc>
              <w:tc>
                <w:tcPr>
                  <w:tcW w:w="992" w:type="pct"/>
                  <w:vAlign w:val="center"/>
                </w:tcPr>
                <w:p w14:paraId="60E13DF1">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纯净水</w:t>
                  </w:r>
                </w:p>
              </w:tc>
              <w:tc>
                <w:tcPr>
                  <w:tcW w:w="712" w:type="pct"/>
                  <w:vAlign w:val="center"/>
                </w:tcPr>
                <w:p w14:paraId="5A91D31D">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7773-18-5</w:t>
                  </w:r>
                </w:p>
              </w:tc>
              <w:tc>
                <w:tcPr>
                  <w:tcW w:w="692" w:type="pct"/>
                  <w:vAlign w:val="center"/>
                </w:tcPr>
                <w:p w14:paraId="3EB7A4A5">
                  <w:pPr>
                    <w:snapToGrid w:val="0"/>
                    <w:jc w:val="center"/>
                    <w:rPr>
                      <w:rFonts w:ascii="Times New Roman" w:hAnsi="Times New Roman" w:cs="Times New Roman"/>
                      <w:szCs w:val="21"/>
                      <w:highlight w:val="none"/>
                    </w:rPr>
                  </w:pPr>
                  <w:r>
                    <w:rPr>
                      <w:rFonts w:hint="eastAsia" w:ascii="Times New Roman" w:hAnsi="Times New Roman" w:cs="Times New Roman"/>
                      <w:szCs w:val="21"/>
                      <w:highlight w:val="none"/>
                    </w:rPr>
                    <w:t>30</w:t>
                  </w:r>
                  <w:r>
                    <w:rPr>
                      <w:rFonts w:ascii="Times New Roman" w:hAnsi="Times New Roman" w:cs="Times New Roman"/>
                      <w:szCs w:val="21"/>
                      <w:highlight w:val="none"/>
                    </w:rPr>
                    <w:t>%</w:t>
                  </w:r>
                </w:p>
              </w:tc>
              <w:tc>
                <w:tcPr>
                  <w:tcW w:w="930" w:type="pct"/>
                  <w:vAlign w:val="center"/>
                </w:tcPr>
                <w:p w14:paraId="47EE8483">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不挥发</w:t>
                  </w:r>
                </w:p>
              </w:tc>
              <w:tc>
                <w:tcPr>
                  <w:tcW w:w="678" w:type="pct"/>
                  <w:vMerge w:val="continue"/>
                  <w:vAlign w:val="center"/>
                </w:tcPr>
                <w:p w14:paraId="3592C654">
                  <w:pPr>
                    <w:spacing w:line="276" w:lineRule="auto"/>
                    <w:jc w:val="center"/>
                    <w:rPr>
                      <w:rFonts w:ascii="Times New Roman" w:hAnsi="Times New Roman" w:cs="Times New Roman"/>
                      <w:szCs w:val="21"/>
                      <w:highlight w:val="none"/>
                    </w:rPr>
                  </w:pPr>
                </w:p>
              </w:tc>
              <w:tc>
                <w:tcPr>
                  <w:tcW w:w="599" w:type="pct"/>
                  <w:vMerge w:val="continue"/>
                  <w:vAlign w:val="center"/>
                </w:tcPr>
                <w:p w14:paraId="236A25E6">
                  <w:pPr>
                    <w:spacing w:line="276" w:lineRule="auto"/>
                    <w:jc w:val="center"/>
                    <w:rPr>
                      <w:rFonts w:ascii="Times New Roman" w:hAnsi="Times New Roman" w:cs="Times New Roman"/>
                      <w:szCs w:val="21"/>
                      <w:highlight w:val="none"/>
                    </w:rPr>
                  </w:pPr>
                </w:p>
              </w:tc>
            </w:tr>
          </w:tbl>
          <w:p w14:paraId="2D6FFC1F">
            <w:pPr>
              <w:widowControl/>
              <w:spacing w:line="360" w:lineRule="auto"/>
              <w:ind w:firstLine="477" w:firstLineChars="199"/>
              <w:rPr>
                <w:rFonts w:ascii="Times New Roman" w:hAnsi="Times New Roman" w:cs="Times New Roman"/>
                <w:sz w:val="24"/>
                <w:szCs w:val="28"/>
                <w:highlight w:val="none"/>
              </w:rPr>
            </w:pPr>
            <w:r>
              <w:rPr>
                <w:rFonts w:ascii="Times New Roman" w:hAnsi="Times New Roman" w:cs="Times New Roman"/>
                <w:sz w:val="24"/>
                <w:szCs w:val="28"/>
                <w:highlight w:val="none"/>
              </w:rPr>
              <w:t>将上述参数带入涂料用量计算公式，本项目涂料用量见下表。</w:t>
            </w:r>
          </w:p>
          <w:p w14:paraId="009A4F31">
            <w:pPr>
              <w:tabs>
                <w:tab w:val="center" w:pos="4456"/>
                <w:tab w:val="left" w:pos="7350"/>
              </w:tabs>
              <w:adjustRightInd w:val="0"/>
              <w:spacing w:line="360" w:lineRule="auto"/>
              <w:jc w:val="center"/>
              <w:rPr>
                <w:rFonts w:ascii="Times New Roman" w:hAnsi="Times New Roman" w:eastAsia="黑体" w:cs="Times New Roman"/>
                <w:color w:val="auto"/>
                <w:sz w:val="24"/>
                <w:highlight w:val="none"/>
              </w:rPr>
            </w:pPr>
            <w:r>
              <w:rPr>
                <w:rFonts w:ascii="Times New Roman" w:hAnsi="Times New Roman" w:eastAsia="黑体" w:cs="Times New Roman"/>
                <w:color w:val="auto"/>
                <w:sz w:val="24"/>
                <w:highlight w:val="none"/>
              </w:rPr>
              <w:t>表2-</w:t>
            </w:r>
            <w:r>
              <w:rPr>
                <w:rFonts w:hint="eastAsia" w:ascii="Times New Roman" w:hAnsi="Times New Roman" w:eastAsia="黑体" w:cs="Times New Roman"/>
                <w:color w:val="auto"/>
                <w:sz w:val="24"/>
                <w:highlight w:val="none"/>
                <w:lang w:val="en-US" w:eastAsia="zh-CN"/>
              </w:rPr>
              <w:t>7</w:t>
            </w:r>
            <w:r>
              <w:rPr>
                <w:rFonts w:hint="eastAsia" w:ascii="Times New Roman" w:hAnsi="Times New Roman" w:eastAsia="黑体" w:cs="Times New Roman"/>
                <w:color w:val="auto"/>
                <w:sz w:val="24"/>
                <w:highlight w:val="none"/>
              </w:rPr>
              <w:t xml:space="preserve">  汽车零部件</w:t>
            </w:r>
            <w:r>
              <w:rPr>
                <w:rFonts w:ascii="Times New Roman" w:hAnsi="Times New Roman" w:eastAsia="黑体" w:cs="Times New Roman"/>
                <w:color w:val="auto"/>
                <w:sz w:val="24"/>
                <w:highlight w:val="none"/>
              </w:rPr>
              <w:t>涂料用量计算参数一览表</w:t>
            </w:r>
          </w:p>
          <w:tbl>
            <w:tblPr>
              <w:tblStyle w:val="17"/>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250"/>
              <w:gridCol w:w="1067"/>
              <w:gridCol w:w="1249"/>
              <w:gridCol w:w="882"/>
              <w:gridCol w:w="882"/>
              <w:gridCol w:w="877"/>
              <w:gridCol w:w="724"/>
              <w:gridCol w:w="713"/>
              <w:gridCol w:w="751"/>
            </w:tblGrid>
            <w:tr w14:paraId="5DDFF16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744" w:type="pct"/>
                  <w:vAlign w:val="center"/>
                </w:tcPr>
                <w:p w14:paraId="5DDCDF01">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参数名称</w:t>
                  </w:r>
                </w:p>
              </w:tc>
              <w:tc>
                <w:tcPr>
                  <w:tcW w:w="635" w:type="pct"/>
                  <w:vAlign w:val="center"/>
                </w:tcPr>
                <w:p w14:paraId="749B1B5F">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涂层</w:t>
                  </w:r>
                </w:p>
                <w:p w14:paraId="5C6F5C8C">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厚度</w:t>
                  </w:r>
                </w:p>
              </w:tc>
              <w:tc>
                <w:tcPr>
                  <w:tcW w:w="743" w:type="pct"/>
                  <w:vAlign w:val="center"/>
                </w:tcPr>
                <w:p w14:paraId="2F62873C">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漆料</w:t>
                  </w:r>
                </w:p>
                <w:p w14:paraId="45AD4FC1">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密度</w:t>
                  </w:r>
                </w:p>
              </w:tc>
              <w:tc>
                <w:tcPr>
                  <w:tcW w:w="525" w:type="pct"/>
                  <w:vAlign w:val="center"/>
                </w:tcPr>
                <w:p w14:paraId="6B5A71FD">
                  <w:pPr>
                    <w:spacing w:line="276" w:lineRule="auto"/>
                    <w:jc w:val="center"/>
                    <w:rPr>
                      <w:rFonts w:hint="default" w:ascii="Times New Roman" w:cs="Times New Roman" w:eastAsiaTheme="minorEastAsia"/>
                      <w:b/>
                      <w:color w:val="auto"/>
                      <w:kern w:val="0"/>
                      <w:szCs w:val="21"/>
                      <w:highlight w:val="none"/>
                      <w:lang w:val="en-US" w:eastAsia="zh-CN"/>
                    </w:rPr>
                  </w:pPr>
                  <w:r>
                    <w:rPr>
                      <w:rFonts w:hint="eastAsia" w:ascii="Times New Roman" w:cs="Times New Roman"/>
                      <w:b/>
                      <w:color w:val="auto"/>
                      <w:kern w:val="0"/>
                      <w:szCs w:val="21"/>
                      <w:highlight w:val="none"/>
                      <w:lang w:val="en-US" w:eastAsia="zh-CN"/>
                    </w:rPr>
                    <w:t>干膜密度</w:t>
                  </w:r>
                </w:p>
              </w:tc>
              <w:tc>
                <w:tcPr>
                  <w:tcW w:w="525" w:type="pct"/>
                  <w:vAlign w:val="center"/>
                </w:tcPr>
                <w:p w14:paraId="7CF91839">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体积</w:t>
                  </w:r>
                </w:p>
                <w:p w14:paraId="02EA6277">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固份</w:t>
                  </w:r>
                </w:p>
              </w:tc>
              <w:tc>
                <w:tcPr>
                  <w:tcW w:w="522" w:type="pct"/>
                </w:tcPr>
                <w:p w14:paraId="74341148">
                  <w:pPr>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涂装</w:t>
                  </w:r>
                </w:p>
                <w:p w14:paraId="56F9FF66">
                  <w:pPr>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面积</w:t>
                  </w:r>
                </w:p>
              </w:tc>
              <w:tc>
                <w:tcPr>
                  <w:tcW w:w="431" w:type="pct"/>
                  <w:vAlign w:val="center"/>
                </w:tcPr>
                <w:p w14:paraId="7AFD4642">
                  <w:pPr>
                    <w:spacing w:line="276" w:lineRule="auto"/>
                    <w:jc w:val="center"/>
                    <w:rPr>
                      <w:rFonts w:ascii="Times New Roman" w:hAnsi="Times New Roman" w:cs="Times New Roman"/>
                      <w:b/>
                      <w:color w:val="auto"/>
                      <w:kern w:val="0"/>
                      <w:szCs w:val="21"/>
                      <w:highlight w:val="none"/>
                    </w:rPr>
                  </w:pPr>
                  <w:r>
                    <w:rPr>
                      <w:rFonts w:ascii="Times New Roman" w:hAnsi="Times New Roman" w:cs="Times New Roman"/>
                      <w:b/>
                      <w:color w:val="auto"/>
                      <w:kern w:val="0"/>
                      <w:szCs w:val="21"/>
                      <w:highlight w:val="none"/>
                    </w:rPr>
                    <w:t>VOC</w:t>
                  </w:r>
                  <w:r>
                    <w:rPr>
                      <w:rFonts w:ascii="Times New Roman" w:cs="Times New Roman"/>
                      <w:b/>
                      <w:color w:val="auto"/>
                      <w:kern w:val="0"/>
                      <w:szCs w:val="21"/>
                      <w:highlight w:val="none"/>
                    </w:rPr>
                    <w:t>挥发份</w:t>
                  </w:r>
                </w:p>
              </w:tc>
              <w:tc>
                <w:tcPr>
                  <w:tcW w:w="424" w:type="pct"/>
                  <w:vAlign w:val="center"/>
                </w:tcPr>
                <w:p w14:paraId="21CF2A8E">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上漆率</w:t>
                  </w:r>
                </w:p>
              </w:tc>
              <w:tc>
                <w:tcPr>
                  <w:tcW w:w="446" w:type="pct"/>
                  <w:vAlign w:val="center"/>
                </w:tcPr>
                <w:p w14:paraId="699A946D">
                  <w:pPr>
                    <w:spacing w:line="276" w:lineRule="auto"/>
                    <w:jc w:val="center"/>
                    <w:rPr>
                      <w:rFonts w:ascii="Times New Roman" w:hAnsi="Times New Roman" w:cs="Times New Roman"/>
                      <w:b/>
                      <w:color w:val="auto"/>
                      <w:kern w:val="0"/>
                      <w:szCs w:val="21"/>
                      <w:highlight w:val="none"/>
                    </w:rPr>
                  </w:pPr>
                  <w:r>
                    <w:rPr>
                      <w:rFonts w:ascii="Times New Roman" w:cs="Times New Roman"/>
                      <w:b/>
                      <w:color w:val="auto"/>
                      <w:kern w:val="0"/>
                      <w:szCs w:val="21"/>
                      <w:highlight w:val="none"/>
                    </w:rPr>
                    <w:t>年用量（</w:t>
                  </w:r>
                  <w:r>
                    <w:rPr>
                      <w:rFonts w:ascii="Times New Roman" w:hAnsi="Times New Roman" w:cs="Times New Roman"/>
                      <w:b/>
                      <w:color w:val="auto"/>
                      <w:kern w:val="0"/>
                      <w:szCs w:val="21"/>
                      <w:highlight w:val="none"/>
                    </w:rPr>
                    <w:t>t/a</w:t>
                  </w:r>
                  <w:r>
                    <w:rPr>
                      <w:rFonts w:ascii="Times New Roman" w:cs="Times New Roman"/>
                      <w:b/>
                      <w:color w:val="auto"/>
                      <w:kern w:val="0"/>
                      <w:szCs w:val="21"/>
                      <w:highlight w:val="none"/>
                    </w:rPr>
                    <w:t>）</w:t>
                  </w:r>
                </w:p>
              </w:tc>
            </w:tr>
            <w:tr w14:paraId="790B699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744" w:type="pct"/>
                  <w:vAlign w:val="center"/>
                </w:tcPr>
                <w:p w14:paraId="0CCE303E">
                  <w:pPr>
                    <w:spacing w:line="276" w:lineRule="auto"/>
                    <w:jc w:val="center"/>
                    <w:rPr>
                      <w:rFonts w:ascii="Times New Roman" w:hAnsi="Times New Roman" w:cs="Times New Roman"/>
                      <w:color w:val="auto"/>
                      <w:kern w:val="0"/>
                      <w:szCs w:val="21"/>
                      <w:highlight w:val="none"/>
                    </w:rPr>
                  </w:pPr>
                  <w:r>
                    <w:rPr>
                      <w:rFonts w:ascii="Times New Roman" w:hAnsi="Times New Roman" w:eastAsia="宋体" w:cs="Times New Roman"/>
                      <w:color w:val="auto"/>
                      <w:szCs w:val="21"/>
                      <w:highlight w:val="none"/>
                    </w:rPr>
                    <w:t>水性</w:t>
                  </w:r>
                  <w:r>
                    <w:rPr>
                      <w:rFonts w:hint="eastAsia" w:ascii="Times New Roman" w:hAnsi="Times New Roman" w:eastAsia="宋体" w:cs="Times New Roman"/>
                      <w:color w:val="auto"/>
                      <w:szCs w:val="21"/>
                      <w:highlight w:val="none"/>
                    </w:rPr>
                    <w:t>底</w:t>
                  </w:r>
                  <w:r>
                    <w:rPr>
                      <w:rFonts w:ascii="Times New Roman" w:hAnsi="Times New Roman" w:eastAsia="宋体" w:cs="Times New Roman"/>
                      <w:color w:val="auto"/>
                      <w:szCs w:val="21"/>
                      <w:highlight w:val="none"/>
                    </w:rPr>
                    <w:t>漆</w:t>
                  </w:r>
                </w:p>
              </w:tc>
              <w:tc>
                <w:tcPr>
                  <w:tcW w:w="635" w:type="pct"/>
                  <w:vAlign w:val="center"/>
                </w:tcPr>
                <w:p w14:paraId="2C6CCC6B">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20</w:t>
                  </w:r>
                  <w:r>
                    <w:rPr>
                      <w:rFonts w:ascii="Times New Roman" w:hAnsi="Times New Roman" w:cs="Times New Roman"/>
                      <w:color w:val="auto"/>
                      <w:kern w:val="0"/>
                      <w:szCs w:val="21"/>
                      <w:highlight w:val="none"/>
                    </w:rPr>
                    <w:t>μm</w:t>
                  </w:r>
                </w:p>
              </w:tc>
              <w:tc>
                <w:tcPr>
                  <w:tcW w:w="743" w:type="pct"/>
                  <w:vAlign w:val="center"/>
                </w:tcPr>
                <w:p w14:paraId="76A12339">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1.1</w:t>
                  </w:r>
                  <w:r>
                    <w:rPr>
                      <w:rFonts w:ascii="Times New Roman" w:hAnsi="Times New Roman" w:cs="Times New Roman"/>
                      <w:color w:val="auto"/>
                      <w:kern w:val="0"/>
                      <w:szCs w:val="21"/>
                      <w:highlight w:val="none"/>
                    </w:rPr>
                    <w:t>g/cm</w:t>
                  </w:r>
                  <w:r>
                    <w:rPr>
                      <w:rFonts w:ascii="Times New Roman" w:hAnsi="Times New Roman" w:cs="Times New Roman"/>
                      <w:color w:val="auto"/>
                      <w:kern w:val="0"/>
                      <w:szCs w:val="21"/>
                      <w:highlight w:val="none"/>
                      <w:vertAlign w:val="superscript"/>
                    </w:rPr>
                    <w:t>3</w:t>
                  </w:r>
                </w:p>
              </w:tc>
              <w:tc>
                <w:tcPr>
                  <w:tcW w:w="525" w:type="pct"/>
                  <w:vAlign w:val="center"/>
                </w:tcPr>
                <w:p w14:paraId="499F56B8">
                  <w:pPr>
                    <w:spacing w:line="276" w:lineRule="auto"/>
                    <w:jc w:val="center"/>
                    <w:rPr>
                      <w:rFonts w:hint="eastAsia"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lang w:val="en-US" w:eastAsia="zh-CN"/>
                    </w:rPr>
                    <w:t>1.14</w:t>
                  </w:r>
                  <w:r>
                    <w:rPr>
                      <w:rFonts w:ascii="Times New Roman" w:hAnsi="Times New Roman" w:cs="Times New Roman"/>
                      <w:color w:val="auto"/>
                      <w:kern w:val="0"/>
                      <w:szCs w:val="21"/>
                      <w:highlight w:val="none"/>
                    </w:rPr>
                    <w:t>g/cm</w:t>
                  </w:r>
                  <w:r>
                    <w:rPr>
                      <w:rFonts w:ascii="Times New Roman" w:hAnsi="Times New Roman" w:cs="Times New Roman"/>
                      <w:color w:val="auto"/>
                      <w:kern w:val="0"/>
                      <w:szCs w:val="21"/>
                      <w:highlight w:val="none"/>
                      <w:vertAlign w:val="superscript"/>
                    </w:rPr>
                    <w:t>3</w:t>
                  </w:r>
                </w:p>
              </w:tc>
              <w:tc>
                <w:tcPr>
                  <w:tcW w:w="525" w:type="pct"/>
                  <w:vAlign w:val="center"/>
                </w:tcPr>
                <w:p w14:paraId="23CF9105">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71</w:t>
                  </w:r>
                  <w:r>
                    <w:rPr>
                      <w:rFonts w:ascii="Times New Roman" w:hAnsi="Times New Roman" w:cs="Times New Roman"/>
                      <w:color w:val="auto"/>
                      <w:kern w:val="0"/>
                      <w:szCs w:val="21"/>
                      <w:highlight w:val="none"/>
                    </w:rPr>
                    <w:t>%</w:t>
                  </w:r>
                </w:p>
              </w:tc>
              <w:tc>
                <w:tcPr>
                  <w:tcW w:w="522" w:type="pct"/>
                  <w:vMerge w:val="restart"/>
                  <w:vAlign w:val="center"/>
                </w:tcPr>
                <w:p w14:paraId="18E3970C">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63万m</w:t>
                  </w:r>
                  <w:r>
                    <w:rPr>
                      <w:rFonts w:hint="eastAsia" w:ascii="Times New Roman" w:hAnsi="Times New Roman" w:cs="Times New Roman"/>
                      <w:color w:val="auto"/>
                      <w:kern w:val="0"/>
                      <w:szCs w:val="21"/>
                      <w:highlight w:val="none"/>
                      <w:vertAlign w:val="superscript"/>
                    </w:rPr>
                    <w:t>2</w:t>
                  </w:r>
                </w:p>
              </w:tc>
              <w:tc>
                <w:tcPr>
                  <w:tcW w:w="431" w:type="pct"/>
                  <w:vAlign w:val="center"/>
                </w:tcPr>
                <w:p w14:paraId="077C36A3">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4%</w:t>
                  </w:r>
                </w:p>
              </w:tc>
              <w:tc>
                <w:tcPr>
                  <w:tcW w:w="424" w:type="pct"/>
                  <w:vAlign w:val="center"/>
                </w:tcPr>
                <w:p w14:paraId="37CB1EF2">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70</w:t>
                  </w:r>
                  <w:r>
                    <w:rPr>
                      <w:rFonts w:ascii="Times New Roman" w:hAnsi="Times New Roman" w:cs="Times New Roman"/>
                      <w:color w:val="auto"/>
                      <w:kern w:val="0"/>
                      <w:szCs w:val="21"/>
                      <w:highlight w:val="none"/>
                    </w:rPr>
                    <w:t>%</w:t>
                  </w:r>
                </w:p>
              </w:tc>
              <w:tc>
                <w:tcPr>
                  <w:tcW w:w="446" w:type="pct"/>
                  <w:shd w:val="clear" w:color="auto" w:fill="auto"/>
                  <w:vAlign w:val="center"/>
                </w:tcPr>
                <w:p w14:paraId="6DA38EE8">
                  <w:pPr>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rPr>
                    <w:t>2</w:t>
                  </w:r>
                  <w:r>
                    <w:rPr>
                      <w:rFonts w:hint="eastAsia" w:ascii="Times New Roman" w:hAnsi="Times New Roman" w:cs="Times New Roman"/>
                      <w:color w:val="auto"/>
                      <w:szCs w:val="21"/>
                      <w:highlight w:val="none"/>
                      <w:lang w:val="en-US" w:eastAsia="zh-CN"/>
                    </w:rPr>
                    <w:t>8.901</w:t>
                  </w:r>
                </w:p>
              </w:tc>
            </w:tr>
            <w:tr w14:paraId="7C06B3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744" w:type="pct"/>
                  <w:vAlign w:val="center"/>
                </w:tcPr>
                <w:p w14:paraId="01BE604D">
                  <w:pPr>
                    <w:spacing w:line="276" w:lineRule="auto"/>
                    <w:jc w:val="center"/>
                    <w:rPr>
                      <w:rFonts w:ascii="Times New Roman" w:hAnsi="Times New Roman" w:cs="Times New Roman"/>
                      <w:color w:val="auto"/>
                      <w:kern w:val="0"/>
                      <w:szCs w:val="21"/>
                      <w:highlight w:val="none"/>
                    </w:rPr>
                  </w:pPr>
                  <w:r>
                    <w:rPr>
                      <w:rFonts w:hint="eastAsia" w:ascii="Times New Roman" w:cs="Times New Roman"/>
                      <w:color w:val="auto"/>
                      <w:kern w:val="0"/>
                      <w:szCs w:val="21"/>
                      <w:highlight w:val="none"/>
                    </w:rPr>
                    <w:t>水性</w:t>
                  </w:r>
                  <w:r>
                    <w:rPr>
                      <w:rFonts w:ascii="Times New Roman" w:cs="Times New Roman"/>
                      <w:color w:val="auto"/>
                      <w:kern w:val="0"/>
                      <w:szCs w:val="21"/>
                      <w:highlight w:val="none"/>
                    </w:rPr>
                    <w:t>面漆</w:t>
                  </w:r>
                </w:p>
              </w:tc>
              <w:tc>
                <w:tcPr>
                  <w:tcW w:w="635" w:type="pct"/>
                  <w:vAlign w:val="center"/>
                </w:tcPr>
                <w:p w14:paraId="31918F84">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20</w:t>
                  </w:r>
                  <w:r>
                    <w:rPr>
                      <w:rFonts w:ascii="Times New Roman" w:hAnsi="Times New Roman" w:cs="Times New Roman"/>
                      <w:color w:val="auto"/>
                      <w:kern w:val="0"/>
                      <w:szCs w:val="21"/>
                      <w:highlight w:val="none"/>
                    </w:rPr>
                    <w:t>μm</w:t>
                  </w:r>
                </w:p>
              </w:tc>
              <w:tc>
                <w:tcPr>
                  <w:tcW w:w="743" w:type="pct"/>
                  <w:vAlign w:val="center"/>
                </w:tcPr>
                <w:p w14:paraId="672DFF39">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0.95</w:t>
                  </w:r>
                  <w:r>
                    <w:rPr>
                      <w:rFonts w:ascii="Times New Roman" w:hAnsi="Times New Roman" w:cs="Times New Roman"/>
                      <w:color w:val="auto"/>
                      <w:kern w:val="0"/>
                      <w:szCs w:val="21"/>
                      <w:highlight w:val="none"/>
                    </w:rPr>
                    <w:t>g/cm</w:t>
                  </w:r>
                  <w:r>
                    <w:rPr>
                      <w:rFonts w:ascii="Times New Roman" w:hAnsi="Times New Roman" w:cs="Times New Roman"/>
                      <w:color w:val="auto"/>
                      <w:kern w:val="0"/>
                      <w:szCs w:val="21"/>
                      <w:highlight w:val="none"/>
                      <w:vertAlign w:val="superscript"/>
                    </w:rPr>
                    <w:t>3</w:t>
                  </w:r>
                </w:p>
              </w:tc>
              <w:tc>
                <w:tcPr>
                  <w:tcW w:w="525" w:type="pct"/>
                  <w:vAlign w:val="center"/>
                </w:tcPr>
                <w:p w14:paraId="27BD172F">
                  <w:pPr>
                    <w:spacing w:line="276" w:lineRule="auto"/>
                    <w:jc w:val="center"/>
                    <w:rPr>
                      <w:rFonts w:hint="eastAsia"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lang w:val="en-US" w:eastAsia="zh-CN"/>
                    </w:rPr>
                    <w:t>0.93</w:t>
                  </w:r>
                  <w:r>
                    <w:rPr>
                      <w:rFonts w:ascii="Times New Roman" w:hAnsi="Times New Roman" w:cs="Times New Roman"/>
                      <w:color w:val="auto"/>
                      <w:kern w:val="0"/>
                      <w:szCs w:val="21"/>
                      <w:highlight w:val="none"/>
                    </w:rPr>
                    <w:t>g/cm</w:t>
                  </w:r>
                  <w:r>
                    <w:rPr>
                      <w:rFonts w:ascii="Times New Roman" w:hAnsi="Times New Roman" w:cs="Times New Roman"/>
                      <w:color w:val="auto"/>
                      <w:kern w:val="0"/>
                      <w:szCs w:val="21"/>
                      <w:highlight w:val="none"/>
                      <w:vertAlign w:val="superscript"/>
                    </w:rPr>
                    <w:t>3</w:t>
                  </w:r>
                </w:p>
              </w:tc>
              <w:tc>
                <w:tcPr>
                  <w:tcW w:w="525" w:type="pct"/>
                  <w:vAlign w:val="center"/>
                </w:tcPr>
                <w:p w14:paraId="69253217">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66</w:t>
                  </w:r>
                  <w:r>
                    <w:rPr>
                      <w:rFonts w:ascii="Times New Roman" w:hAnsi="Times New Roman" w:cs="Times New Roman"/>
                      <w:color w:val="auto"/>
                      <w:kern w:val="0"/>
                      <w:szCs w:val="21"/>
                      <w:highlight w:val="none"/>
                    </w:rPr>
                    <w:t>%</w:t>
                  </w:r>
                </w:p>
              </w:tc>
              <w:tc>
                <w:tcPr>
                  <w:tcW w:w="522" w:type="pct"/>
                  <w:vMerge w:val="continue"/>
                </w:tcPr>
                <w:p w14:paraId="49753D7F">
                  <w:pPr>
                    <w:spacing w:line="276" w:lineRule="auto"/>
                    <w:jc w:val="center"/>
                    <w:rPr>
                      <w:rFonts w:ascii="Times New Roman" w:hAnsi="Times New Roman" w:cs="Times New Roman"/>
                      <w:color w:val="auto"/>
                      <w:kern w:val="0"/>
                      <w:szCs w:val="21"/>
                      <w:highlight w:val="none"/>
                    </w:rPr>
                  </w:pPr>
                </w:p>
              </w:tc>
              <w:tc>
                <w:tcPr>
                  <w:tcW w:w="431" w:type="pct"/>
                  <w:vAlign w:val="center"/>
                </w:tcPr>
                <w:p w14:paraId="4E20AF0F">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4%</w:t>
                  </w:r>
                </w:p>
              </w:tc>
              <w:tc>
                <w:tcPr>
                  <w:tcW w:w="424" w:type="pct"/>
                  <w:vAlign w:val="center"/>
                </w:tcPr>
                <w:p w14:paraId="5184CAF5">
                  <w:pPr>
                    <w:spacing w:line="276"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70</w:t>
                  </w:r>
                  <w:r>
                    <w:rPr>
                      <w:rFonts w:ascii="Times New Roman" w:hAnsi="Times New Roman" w:cs="Times New Roman"/>
                      <w:color w:val="auto"/>
                      <w:kern w:val="0"/>
                      <w:szCs w:val="21"/>
                      <w:highlight w:val="none"/>
                    </w:rPr>
                    <w:t>%</w:t>
                  </w:r>
                </w:p>
              </w:tc>
              <w:tc>
                <w:tcPr>
                  <w:tcW w:w="446" w:type="pct"/>
                  <w:shd w:val="clear" w:color="auto" w:fill="auto"/>
                  <w:vAlign w:val="center"/>
                </w:tcPr>
                <w:p w14:paraId="7C17A15D">
                  <w:pPr>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rPr>
                    <w:t>25.</w:t>
                  </w:r>
                  <w:r>
                    <w:rPr>
                      <w:rFonts w:hint="eastAsia" w:ascii="Times New Roman" w:hAnsi="Times New Roman" w:cs="Times New Roman"/>
                      <w:color w:val="auto"/>
                      <w:szCs w:val="21"/>
                      <w:highlight w:val="none"/>
                      <w:lang w:val="en-US" w:eastAsia="zh-CN"/>
                    </w:rPr>
                    <w:t>364</w:t>
                  </w:r>
                </w:p>
              </w:tc>
            </w:tr>
          </w:tbl>
          <w:p w14:paraId="03AB1056">
            <w:pPr>
              <w:widowControl/>
              <w:spacing w:line="360" w:lineRule="auto"/>
              <w:ind w:firstLine="480" w:firstLineChars="200"/>
              <w:rPr>
                <w:rFonts w:ascii="Times New Roman" w:hAnsi="Times New Roman" w:cs="Times New Roman"/>
                <w:sz w:val="24"/>
                <w:szCs w:val="28"/>
                <w:highlight w:val="none"/>
              </w:rPr>
            </w:pPr>
            <w:r>
              <w:rPr>
                <w:rFonts w:ascii="Times New Roman" w:hAnsi="Times New Roman" w:cs="Times New Roman"/>
                <w:sz w:val="24"/>
                <w:szCs w:val="28"/>
                <w:highlight w:val="none"/>
              </w:rPr>
              <w:t>由上表计算结果，本项目</w:t>
            </w:r>
            <w:r>
              <w:rPr>
                <w:rFonts w:hint="eastAsia" w:ascii="Times New Roman" w:hAnsi="Times New Roman" w:cs="Times New Roman"/>
                <w:sz w:val="24"/>
                <w:szCs w:val="28"/>
                <w:highlight w:val="none"/>
              </w:rPr>
              <w:t>水性</w:t>
            </w:r>
            <w:r>
              <w:rPr>
                <w:rFonts w:ascii="Times New Roman" w:hAnsi="Times New Roman" w:cs="Times New Roman"/>
                <w:sz w:val="24"/>
                <w:szCs w:val="28"/>
                <w:highlight w:val="none"/>
              </w:rPr>
              <w:t>底漆和水性面漆用量为</w:t>
            </w:r>
            <w:r>
              <w:rPr>
                <w:rFonts w:hint="eastAsia" w:ascii="Times New Roman" w:hAnsi="Times New Roman" w:cs="Times New Roman"/>
                <w:sz w:val="24"/>
                <w:szCs w:val="28"/>
                <w:highlight w:val="none"/>
              </w:rPr>
              <w:t>5</w:t>
            </w:r>
            <w:r>
              <w:rPr>
                <w:rFonts w:hint="eastAsia" w:ascii="Times New Roman" w:hAnsi="Times New Roman" w:cs="Times New Roman"/>
                <w:sz w:val="24"/>
                <w:szCs w:val="28"/>
                <w:highlight w:val="none"/>
                <w:lang w:val="en-US" w:eastAsia="zh-CN"/>
              </w:rPr>
              <w:t>4.265</w:t>
            </w:r>
            <w:r>
              <w:rPr>
                <w:rFonts w:ascii="Times New Roman" w:hAnsi="Times New Roman" w:cs="Times New Roman"/>
                <w:sz w:val="24"/>
                <w:szCs w:val="28"/>
                <w:highlight w:val="none"/>
              </w:rPr>
              <w:t>t/a。</w:t>
            </w:r>
          </w:p>
          <w:p w14:paraId="5E58A9D6">
            <w:pPr>
              <w:spacing w:line="360" w:lineRule="auto"/>
              <w:ind w:firstLine="482" w:firstLineChars="200"/>
              <w:jc w:val="left"/>
              <w:rPr>
                <w:rFonts w:ascii="Times New Roman" w:hAnsi="Times New Roman" w:eastAsia="黑体" w:cs="Times New Roman"/>
                <w:bCs/>
                <w:sz w:val="24"/>
                <w:szCs w:val="24"/>
                <w:highlight w:val="none"/>
              </w:rPr>
            </w:pPr>
            <w:r>
              <w:rPr>
                <w:rFonts w:hint="eastAsia" w:ascii="Times New Roman" w:hAnsi="Times New Roman" w:eastAsia="宋体" w:cs="Times New Roman"/>
                <w:b/>
                <w:bCs/>
                <w:sz w:val="24"/>
                <w:szCs w:val="24"/>
                <w:highlight w:val="none"/>
              </w:rPr>
              <w:t>6</w:t>
            </w:r>
            <w:r>
              <w:rPr>
                <w:rFonts w:ascii="Times New Roman" w:hAnsi="Times New Roman" w:eastAsia="宋体" w:cs="Times New Roman"/>
                <w:b/>
                <w:bCs/>
                <w:sz w:val="24"/>
                <w:szCs w:val="24"/>
                <w:highlight w:val="none"/>
              </w:rPr>
              <w:t>、主要原辅材料</w:t>
            </w:r>
          </w:p>
          <w:p w14:paraId="1C1DB722">
            <w:pPr>
              <w:spacing w:line="360" w:lineRule="auto"/>
              <w:jc w:val="center"/>
              <w:rPr>
                <w:rFonts w:ascii="Times New Roman" w:hAnsi="Times New Roman" w:eastAsia="黑体" w:cs="Times New Roman"/>
                <w:bCs/>
                <w:sz w:val="24"/>
                <w:szCs w:val="24"/>
                <w:highlight w:val="none"/>
              </w:rPr>
            </w:pPr>
          </w:p>
          <w:p w14:paraId="12478EB5">
            <w:pPr>
              <w:spacing w:line="360" w:lineRule="auto"/>
              <w:jc w:val="center"/>
              <w:rPr>
                <w:rFonts w:ascii="Times New Roman" w:hAnsi="Times New Roman" w:eastAsia="黑体" w:cs="Times New Roman"/>
                <w:bCs/>
                <w:sz w:val="24"/>
                <w:szCs w:val="24"/>
                <w:highlight w:val="none"/>
              </w:rPr>
            </w:pPr>
          </w:p>
          <w:p w14:paraId="3EE400E4">
            <w:pPr>
              <w:spacing w:line="360" w:lineRule="auto"/>
              <w:jc w:val="center"/>
              <w:rPr>
                <w:rFonts w:ascii="Times New Roman" w:hAnsi="Times New Roman" w:eastAsia="黑体" w:cs="Times New Roman"/>
                <w:bCs/>
                <w:sz w:val="24"/>
                <w:szCs w:val="24"/>
                <w:highlight w:val="none"/>
              </w:rPr>
            </w:pPr>
          </w:p>
          <w:p w14:paraId="38374B19">
            <w:pPr>
              <w:spacing w:line="360" w:lineRule="auto"/>
              <w:jc w:val="center"/>
              <w:rPr>
                <w:rFonts w:ascii="Times New Roman" w:hAnsi="Times New Roman" w:eastAsia="黑体" w:cs="Times New Roman"/>
                <w:bCs/>
                <w:sz w:val="24"/>
                <w:szCs w:val="24"/>
                <w:highlight w:val="none"/>
              </w:rPr>
            </w:pPr>
          </w:p>
          <w:p w14:paraId="362F852A">
            <w:pPr>
              <w:spacing w:line="360" w:lineRule="auto"/>
              <w:jc w:val="center"/>
              <w:rPr>
                <w:rFonts w:ascii="Times New Roman" w:hAnsi="Times New Roman" w:eastAsia="黑体" w:cs="Times New Roman"/>
                <w:bCs/>
                <w:sz w:val="24"/>
                <w:szCs w:val="24"/>
                <w:highlight w:val="none"/>
              </w:rPr>
            </w:pPr>
          </w:p>
          <w:p w14:paraId="2E453112">
            <w:pPr>
              <w:spacing w:line="360" w:lineRule="auto"/>
              <w:jc w:val="center"/>
              <w:rPr>
                <w:rFonts w:ascii="Times New Roman" w:hAnsi="Times New Roman" w:eastAsia="黑体" w:cs="Times New Roman"/>
                <w:bCs/>
                <w:sz w:val="24"/>
                <w:szCs w:val="24"/>
                <w:highlight w:val="none"/>
              </w:rPr>
            </w:pPr>
            <w:r>
              <w:rPr>
                <w:rFonts w:ascii="Times New Roman" w:hAnsi="Times New Roman" w:eastAsia="黑体" w:cs="Times New Roman"/>
                <w:bCs/>
                <w:sz w:val="24"/>
                <w:szCs w:val="24"/>
                <w:highlight w:val="none"/>
              </w:rPr>
              <w:t>表2-</w:t>
            </w:r>
            <w:r>
              <w:rPr>
                <w:rFonts w:hint="eastAsia" w:ascii="Times New Roman" w:hAnsi="Times New Roman" w:eastAsia="黑体" w:cs="Times New Roman"/>
                <w:bCs/>
                <w:sz w:val="24"/>
                <w:szCs w:val="24"/>
                <w:highlight w:val="none"/>
                <w:lang w:val="en-US" w:eastAsia="zh-CN"/>
              </w:rPr>
              <w:t>8</w:t>
            </w:r>
            <w:r>
              <w:rPr>
                <w:rFonts w:hint="eastAsia" w:ascii="Times New Roman" w:hAnsi="Times New Roman" w:eastAsia="黑体" w:cs="Times New Roman"/>
                <w:bCs/>
                <w:sz w:val="24"/>
                <w:szCs w:val="24"/>
                <w:highlight w:val="none"/>
              </w:rPr>
              <w:t xml:space="preserve">  </w:t>
            </w:r>
            <w:r>
              <w:rPr>
                <w:rFonts w:ascii="Times New Roman" w:hAnsi="Times New Roman" w:eastAsia="黑体" w:cs="Times New Roman"/>
                <w:bCs/>
                <w:sz w:val="24"/>
                <w:szCs w:val="24"/>
                <w:highlight w:val="none"/>
              </w:rPr>
              <w:t>项目原辅材料及能源消耗一览表</w:t>
            </w:r>
          </w:p>
          <w:tbl>
            <w:tblPr>
              <w:tblStyle w:val="17"/>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510"/>
              <w:gridCol w:w="960"/>
              <w:gridCol w:w="912"/>
              <w:gridCol w:w="514"/>
              <w:gridCol w:w="1394"/>
              <w:gridCol w:w="1190"/>
              <w:gridCol w:w="964"/>
              <w:gridCol w:w="969"/>
              <w:gridCol w:w="982"/>
            </w:tblGrid>
            <w:tr w14:paraId="141164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2302DD3C">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序号</w:t>
                  </w:r>
                </w:p>
              </w:tc>
              <w:tc>
                <w:tcPr>
                  <w:tcW w:w="572" w:type="pct"/>
                  <w:vAlign w:val="center"/>
                </w:tcPr>
                <w:p w14:paraId="2F854088">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名称</w:t>
                  </w:r>
                </w:p>
              </w:tc>
              <w:tc>
                <w:tcPr>
                  <w:tcW w:w="543" w:type="pct"/>
                  <w:vAlign w:val="center"/>
                </w:tcPr>
                <w:p w14:paraId="4B52392C">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规格</w:t>
                  </w:r>
                </w:p>
              </w:tc>
              <w:tc>
                <w:tcPr>
                  <w:tcW w:w="306" w:type="pct"/>
                  <w:vAlign w:val="center"/>
                </w:tcPr>
                <w:p w14:paraId="06B1C06E">
                  <w:pPr>
                    <w:spacing w:line="276" w:lineRule="auto"/>
                    <w:jc w:val="center"/>
                    <w:rPr>
                      <w:rFonts w:ascii="Times New Roman" w:hAnsi="Times New Roman" w:cs="Times New Roman"/>
                      <w:b/>
                      <w:szCs w:val="21"/>
                      <w:highlight w:val="none"/>
                    </w:rPr>
                  </w:pPr>
                  <w:r>
                    <w:rPr>
                      <w:rFonts w:hint="eastAsia" w:ascii="Times New Roman" w:hAnsi="Times New Roman" w:cs="Times New Roman"/>
                      <w:b/>
                      <w:szCs w:val="21"/>
                      <w:highlight w:val="none"/>
                    </w:rPr>
                    <w:t>性状</w:t>
                  </w:r>
                </w:p>
              </w:tc>
              <w:tc>
                <w:tcPr>
                  <w:tcW w:w="830" w:type="pct"/>
                  <w:vAlign w:val="center"/>
                </w:tcPr>
                <w:p w14:paraId="4538E955">
                  <w:pPr>
                    <w:spacing w:line="276" w:lineRule="auto"/>
                    <w:jc w:val="center"/>
                    <w:rPr>
                      <w:rFonts w:ascii="Times New Roman" w:hAnsi="Times New Roman" w:cs="Times New Roman"/>
                      <w:b/>
                      <w:szCs w:val="21"/>
                      <w:highlight w:val="none"/>
                    </w:rPr>
                  </w:pPr>
                  <w:r>
                    <w:rPr>
                      <w:rFonts w:hint="eastAsia" w:ascii="Times New Roman" w:hAnsi="Times New Roman" w:cs="Times New Roman"/>
                      <w:b/>
                      <w:szCs w:val="21"/>
                      <w:highlight w:val="none"/>
                    </w:rPr>
                    <w:t>年消耗量</w:t>
                  </w:r>
                </w:p>
              </w:tc>
              <w:tc>
                <w:tcPr>
                  <w:tcW w:w="709" w:type="pct"/>
                  <w:vAlign w:val="center"/>
                </w:tcPr>
                <w:p w14:paraId="61B51336">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最大贮存量</w:t>
                  </w:r>
                </w:p>
              </w:tc>
              <w:tc>
                <w:tcPr>
                  <w:tcW w:w="574" w:type="pct"/>
                  <w:vAlign w:val="center"/>
                </w:tcPr>
                <w:p w14:paraId="7A373537">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转运周期</w:t>
                  </w:r>
                </w:p>
              </w:tc>
              <w:tc>
                <w:tcPr>
                  <w:tcW w:w="577" w:type="pct"/>
                  <w:vAlign w:val="center"/>
                </w:tcPr>
                <w:p w14:paraId="7A15B9D1">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贮存位置</w:t>
                  </w:r>
                </w:p>
              </w:tc>
              <w:tc>
                <w:tcPr>
                  <w:tcW w:w="580" w:type="pct"/>
                  <w:vAlign w:val="center"/>
                </w:tcPr>
                <w:p w14:paraId="2065D193">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储存方式</w:t>
                  </w:r>
                </w:p>
              </w:tc>
            </w:tr>
            <w:tr w14:paraId="24EF268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000" w:type="pct"/>
                  <w:gridSpan w:val="9"/>
                  <w:vAlign w:val="center"/>
                </w:tcPr>
                <w:p w14:paraId="29EAD554">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原辅材料</w:t>
                  </w:r>
                </w:p>
              </w:tc>
            </w:tr>
            <w:tr w14:paraId="397B995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04160CEC">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w:t>
                  </w:r>
                </w:p>
              </w:tc>
              <w:tc>
                <w:tcPr>
                  <w:tcW w:w="572" w:type="pct"/>
                  <w:vAlign w:val="center"/>
                </w:tcPr>
                <w:p w14:paraId="3071590A">
                  <w:pPr>
                    <w:spacing w:line="276" w:lineRule="auto"/>
                    <w:jc w:val="center"/>
                    <w:rPr>
                      <w:rFonts w:ascii="Times New Roman" w:hAnsi="Times New Roman" w:cs="Times New Roman"/>
                      <w:szCs w:val="21"/>
                      <w:highlight w:val="none"/>
                    </w:rPr>
                  </w:pPr>
                  <w:r>
                    <w:rPr>
                      <w:rFonts w:hint="eastAsia" w:ascii="Times New Roman" w:hAnsi="Times New Roman" w:eastAsia="宋体" w:cs="Times New Roman"/>
                      <w:szCs w:val="21"/>
                      <w:highlight w:val="none"/>
                    </w:rPr>
                    <w:t>水性</w:t>
                  </w:r>
                  <w:r>
                    <w:rPr>
                      <w:rFonts w:ascii="Times New Roman" w:hAnsi="Times New Roman" w:eastAsia="宋体" w:cs="Times New Roman"/>
                      <w:szCs w:val="21"/>
                      <w:highlight w:val="none"/>
                    </w:rPr>
                    <w:t>底漆</w:t>
                  </w:r>
                </w:p>
              </w:tc>
              <w:tc>
                <w:tcPr>
                  <w:tcW w:w="543" w:type="pct"/>
                  <w:vAlign w:val="center"/>
                </w:tcPr>
                <w:p w14:paraId="34A4D51C">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25kg/</w:t>
                  </w:r>
                  <w:r>
                    <w:rPr>
                      <w:rFonts w:ascii="Times New Roman" w:hAnsi="Times New Roman" w:cs="Times New Roman"/>
                      <w:szCs w:val="21"/>
                      <w:highlight w:val="none"/>
                    </w:rPr>
                    <w:t>桶</w:t>
                  </w:r>
                </w:p>
              </w:tc>
              <w:tc>
                <w:tcPr>
                  <w:tcW w:w="306" w:type="pct"/>
                  <w:vAlign w:val="center"/>
                </w:tcPr>
                <w:p w14:paraId="23ABE884">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液体</w:t>
                  </w:r>
                </w:p>
              </w:tc>
              <w:tc>
                <w:tcPr>
                  <w:tcW w:w="830" w:type="pct"/>
                  <w:vAlign w:val="center"/>
                </w:tcPr>
                <w:p w14:paraId="0D7075B8">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w:t>
                  </w:r>
                  <w:r>
                    <w:rPr>
                      <w:rFonts w:hint="eastAsia" w:ascii="Times New Roman" w:hAnsi="Times New Roman" w:cs="Times New Roman"/>
                      <w:szCs w:val="21"/>
                      <w:highlight w:val="none"/>
                      <w:lang w:val="en-US" w:eastAsia="zh-CN"/>
                    </w:rPr>
                    <w:t>8.901t</w:t>
                  </w:r>
                  <w:r>
                    <w:rPr>
                      <w:rFonts w:hint="eastAsia" w:ascii="Times New Roman" w:hAnsi="Times New Roman" w:cs="Times New Roman"/>
                      <w:szCs w:val="21"/>
                      <w:highlight w:val="none"/>
                    </w:rPr>
                    <w:t>/a</w:t>
                  </w:r>
                </w:p>
              </w:tc>
              <w:tc>
                <w:tcPr>
                  <w:tcW w:w="709" w:type="pct"/>
                  <w:vAlign w:val="center"/>
                </w:tcPr>
                <w:p w14:paraId="4D4DF5D6">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w:t>
                  </w:r>
                  <w:r>
                    <w:rPr>
                      <w:rFonts w:hint="eastAsia" w:ascii="Times New Roman" w:hAnsi="Times New Roman" w:cs="Times New Roman"/>
                      <w:szCs w:val="21"/>
                      <w:highlight w:val="none"/>
                      <w:lang w:val="en-US" w:eastAsia="zh-CN"/>
                    </w:rPr>
                    <w:t>.</w:t>
                  </w:r>
                  <w:r>
                    <w:rPr>
                      <w:rFonts w:hint="eastAsia" w:ascii="Times New Roman" w:hAnsi="Times New Roman" w:cs="Times New Roman"/>
                      <w:szCs w:val="21"/>
                      <w:highlight w:val="none"/>
                    </w:rPr>
                    <w:t>5t</w:t>
                  </w:r>
                </w:p>
              </w:tc>
              <w:tc>
                <w:tcPr>
                  <w:tcW w:w="574" w:type="pct"/>
                  <w:vAlign w:val="center"/>
                </w:tcPr>
                <w:p w14:paraId="69C8BBEC">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30d</w:t>
                  </w:r>
                </w:p>
              </w:tc>
              <w:tc>
                <w:tcPr>
                  <w:tcW w:w="577" w:type="pct"/>
                  <w:vMerge w:val="restart"/>
                  <w:vAlign w:val="center"/>
                </w:tcPr>
                <w:p w14:paraId="10394187">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供漆室</w:t>
                  </w:r>
                </w:p>
              </w:tc>
              <w:tc>
                <w:tcPr>
                  <w:tcW w:w="580" w:type="pct"/>
                  <w:vAlign w:val="center"/>
                </w:tcPr>
                <w:p w14:paraId="32F06F72">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桶装</w:t>
                  </w:r>
                </w:p>
              </w:tc>
            </w:tr>
            <w:tr w14:paraId="6200DEC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17498F31">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w:t>
                  </w:r>
                </w:p>
              </w:tc>
              <w:tc>
                <w:tcPr>
                  <w:tcW w:w="572" w:type="pct"/>
                  <w:vAlign w:val="center"/>
                </w:tcPr>
                <w:p w14:paraId="17B1CEFD">
                  <w:pPr>
                    <w:spacing w:line="276" w:lineRule="auto"/>
                    <w:jc w:val="center"/>
                    <w:rPr>
                      <w:rFonts w:ascii="Times New Roman" w:hAnsi="Times New Roman" w:cs="Times New Roman"/>
                      <w:szCs w:val="21"/>
                      <w:highlight w:val="none"/>
                    </w:rPr>
                  </w:pPr>
                  <w:r>
                    <w:rPr>
                      <w:rFonts w:hint="eastAsia" w:ascii="Times New Roman" w:cs="Times New Roman"/>
                      <w:kern w:val="0"/>
                      <w:szCs w:val="21"/>
                      <w:highlight w:val="none"/>
                    </w:rPr>
                    <w:t>水性</w:t>
                  </w:r>
                  <w:r>
                    <w:rPr>
                      <w:rFonts w:ascii="Times New Roman" w:cs="Times New Roman"/>
                      <w:kern w:val="0"/>
                      <w:szCs w:val="21"/>
                      <w:highlight w:val="none"/>
                    </w:rPr>
                    <w:t>面漆</w:t>
                  </w:r>
                </w:p>
              </w:tc>
              <w:tc>
                <w:tcPr>
                  <w:tcW w:w="543" w:type="pct"/>
                  <w:vAlign w:val="center"/>
                </w:tcPr>
                <w:p w14:paraId="7ADC0816">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25kg/</w:t>
                  </w:r>
                  <w:r>
                    <w:rPr>
                      <w:rFonts w:ascii="Times New Roman" w:hAnsi="Times New Roman" w:cs="Times New Roman"/>
                      <w:szCs w:val="21"/>
                      <w:highlight w:val="none"/>
                    </w:rPr>
                    <w:t>桶</w:t>
                  </w:r>
                </w:p>
              </w:tc>
              <w:tc>
                <w:tcPr>
                  <w:tcW w:w="306" w:type="pct"/>
                  <w:vAlign w:val="center"/>
                </w:tcPr>
                <w:p w14:paraId="0B44B343">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液体</w:t>
                  </w:r>
                </w:p>
              </w:tc>
              <w:tc>
                <w:tcPr>
                  <w:tcW w:w="830" w:type="pct"/>
                  <w:vAlign w:val="center"/>
                </w:tcPr>
                <w:p w14:paraId="7EFA76BE">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25.</w:t>
                  </w:r>
                  <w:r>
                    <w:rPr>
                      <w:rFonts w:hint="eastAsia" w:ascii="Times New Roman" w:hAnsi="Times New Roman" w:cs="Times New Roman"/>
                      <w:szCs w:val="21"/>
                      <w:highlight w:val="none"/>
                      <w:lang w:val="en-US" w:eastAsia="zh-CN"/>
                    </w:rPr>
                    <w:t>364</w:t>
                  </w:r>
                  <w:r>
                    <w:rPr>
                      <w:rFonts w:hint="eastAsia" w:ascii="Times New Roman" w:hAnsi="Times New Roman" w:cs="Times New Roman"/>
                      <w:szCs w:val="21"/>
                      <w:highlight w:val="none"/>
                    </w:rPr>
                    <w:t>t/a</w:t>
                  </w:r>
                </w:p>
              </w:tc>
              <w:tc>
                <w:tcPr>
                  <w:tcW w:w="709" w:type="pct"/>
                  <w:vAlign w:val="center"/>
                </w:tcPr>
                <w:p w14:paraId="2BBDAD8D">
                  <w:pPr>
                    <w:spacing w:before="100" w:beforeAutospacing="1" w:after="100" w:afterAutospacing="1" w:line="276" w:lineRule="auto"/>
                    <w:jc w:val="center"/>
                    <w:outlineLvl w:val="0"/>
                    <w:rPr>
                      <w:rFonts w:ascii="Times New Roman" w:hAnsi="Times New Roman" w:cs="Times New Roman"/>
                      <w:szCs w:val="21"/>
                      <w:highlight w:val="none"/>
                    </w:rPr>
                  </w:pPr>
                  <w:r>
                    <w:rPr>
                      <w:rFonts w:hint="eastAsia" w:ascii="Times New Roman" w:hAnsi="Times New Roman" w:cs="Times New Roman"/>
                      <w:szCs w:val="21"/>
                      <w:highlight w:val="none"/>
                    </w:rPr>
                    <w:t>2</w:t>
                  </w:r>
                  <w:r>
                    <w:rPr>
                      <w:rFonts w:hint="eastAsia" w:ascii="Times New Roman" w:hAnsi="Times New Roman" w:cs="Times New Roman"/>
                      <w:szCs w:val="21"/>
                      <w:highlight w:val="none"/>
                      <w:lang w:val="en-US" w:eastAsia="zh-CN"/>
                    </w:rPr>
                    <w:t>.</w:t>
                  </w:r>
                  <w:r>
                    <w:rPr>
                      <w:rFonts w:hint="eastAsia" w:ascii="Times New Roman" w:hAnsi="Times New Roman" w:cs="Times New Roman"/>
                      <w:szCs w:val="21"/>
                      <w:highlight w:val="none"/>
                    </w:rPr>
                    <w:t>5t</w:t>
                  </w:r>
                </w:p>
              </w:tc>
              <w:tc>
                <w:tcPr>
                  <w:tcW w:w="574" w:type="pct"/>
                  <w:vAlign w:val="center"/>
                </w:tcPr>
                <w:p w14:paraId="1628D4EE">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30d</w:t>
                  </w:r>
                </w:p>
              </w:tc>
              <w:tc>
                <w:tcPr>
                  <w:tcW w:w="577" w:type="pct"/>
                  <w:vMerge w:val="continue"/>
                  <w:vAlign w:val="center"/>
                </w:tcPr>
                <w:p w14:paraId="06AAF004">
                  <w:pPr>
                    <w:spacing w:line="276" w:lineRule="auto"/>
                    <w:jc w:val="center"/>
                    <w:rPr>
                      <w:rFonts w:ascii="Times New Roman" w:hAnsi="Times New Roman" w:cs="Times New Roman"/>
                      <w:szCs w:val="21"/>
                      <w:highlight w:val="none"/>
                    </w:rPr>
                  </w:pPr>
                </w:p>
              </w:tc>
              <w:tc>
                <w:tcPr>
                  <w:tcW w:w="580" w:type="pct"/>
                  <w:vAlign w:val="center"/>
                </w:tcPr>
                <w:p w14:paraId="45781131">
                  <w:pPr>
                    <w:spacing w:line="276" w:lineRule="auto"/>
                    <w:jc w:val="center"/>
                    <w:rPr>
                      <w:rFonts w:ascii="Times New Roman" w:hAnsi="Times New Roman" w:cs="Times New Roman"/>
                      <w:szCs w:val="21"/>
                      <w:highlight w:val="none"/>
                    </w:rPr>
                  </w:pPr>
                  <w:r>
                    <w:rPr>
                      <w:rFonts w:ascii="Times New Roman" w:hAnsi="Times New Roman" w:cs="Times New Roman"/>
                      <w:szCs w:val="21"/>
                      <w:highlight w:val="none"/>
                    </w:rPr>
                    <w:t>桶装</w:t>
                  </w:r>
                </w:p>
              </w:tc>
            </w:tr>
            <w:tr w14:paraId="40EDD26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6D6EF4A2">
                  <w:pPr>
                    <w:spacing w:line="276" w:lineRule="auto"/>
                    <w:jc w:val="center"/>
                    <w:rPr>
                      <w:rFonts w:ascii="Times New Roman" w:hAnsi="Times New Roman" w:cs="Times New Roman"/>
                      <w:color w:val="0000FF"/>
                      <w:szCs w:val="21"/>
                      <w:highlight w:val="none"/>
                    </w:rPr>
                  </w:pPr>
                  <w:r>
                    <w:rPr>
                      <w:rFonts w:hint="eastAsia" w:ascii="Times New Roman" w:hAnsi="Times New Roman" w:cs="Times New Roman"/>
                      <w:color w:val="0000FF"/>
                      <w:szCs w:val="21"/>
                      <w:highlight w:val="none"/>
                    </w:rPr>
                    <w:t>3</w:t>
                  </w:r>
                </w:p>
              </w:tc>
              <w:tc>
                <w:tcPr>
                  <w:tcW w:w="572" w:type="pct"/>
                  <w:vAlign w:val="center"/>
                </w:tcPr>
                <w:p w14:paraId="5D6F8382">
                  <w:pPr>
                    <w:spacing w:line="276" w:lineRule="auto"/>
                    <w:jc w:val="center"/>
                    <w:rPr>
                      <w:rFonts w:ascii="Times New Roman" w:cs="Times New Roman"/>
                      <w:color w:val="auto"/>
                      <w:kern w:val="0"/>
                      <w:szCs w:val="21"/>
                      <w:highlight w:val="none"/>
                    </w:rPr>
                  </w:pPr>
                  <w:r>
                    <w:rPr>
                      <w:rFonts w:hint="eastAsia" w:ascii="Times New Roman" w:cs="Times New Roman"/>
                      <w:color w:val="auto"/>
                      <w:kern w:val="0"/>
                      <w:szCs w:val="21"/>
                      <w:highlight w:val="none"/>
                    </w:rPr>
                    <w:t>活性炭</w:t>
                  </w:r>
                </w:p>
              </w:tc>
              <w:tc>
                <w:tcPr>
                  <w:tcW w:w="543" w:type="pct"/>
                  <w:vAlign w:val="center"/>
                </w:tcPr>
                <w:p w14:paraId="5BD1ABA0">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w:t>
                  </w:r>
                </w:p>
              </w:tc>
              <w:tc>
                <w:tcPr>
                  <w:tcW w:w="306" w:type="pct"/>
                  <w:vAlign w:val="center"/>
                </w:tcPr>
                <w:p w14:paraId="43A826DE">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固体</w:t>
                  </w:r>
                </w:p>
              </w:tc>
              <w:tc>
                <w:tcPr>
                  <w:tcW w:w="830" w:type="pct"/>
                  <w:vAlign w:val="center"/>
                </w:tcPr>
                <w:p w14:paraId="7FCEEAA0">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7.65</w:t>
                  </w:r>
                  <w:r>
                    <w:rPr>
                      <w:rFonts w:hint="eastAsia" w:ascii="Times New Roman" w:hAnsi="Times New Roman" w:cs="Times New Roman"/>
                      <w:color w:val="auto"/>
                      <w:szCs w:val="21"/>
                      <w:highlight w:val="none"/>
                    </w:rPr>
                    <w:t>t/a</w:t>
                  </w:r>
                </w:p>
              </w:tc>
              <w:tc>
                <w:tcPr>
                  <w:tcW w:w="709" w:type="pct"/>
                  <w:vAlign w:val="center"/>
                </w:tcPr>
                <w:p w14:paraId="4813616E">
                  <w:pPr>
                    <w:spacing w:before="100" w:beforeAutospacing="1" w:after="100" w:afterAutospacing="1" w:line="276" w:lineRule="auto"/>
                    <w:jc w:val="center"/>
                    <w:outlineLvl w:val="0"/>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2t</w:t>
                  </w:r>
                </w:p>
              </w:tc>
              <w:tc>
                <w:tcPr>
                  <w:tcW w:w="574" w:type="pct"/>
                  <w:vAlign w:val="center"/>
                </w:tcPr>
                <w:p w14:paraId="5D78074F">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3个月</w:t>
                  </w:r>
                </w:p>
              </w:tc>
              <w:tc>
                <w:tcPr>
                  <w:tcW w:w="577" w:type="pct"/>
                  <w:vMerge w:val="restart"/>
                  <w:vAlign w:val="center"/>
                </w:tcPr>
                <w:p w14:paraId="6044B272">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原料仓库</w:t>
                  </w:r>
                </w:p>
              </w:tc>
              <w:tc>
                <w:tcPr>
                  <w:tcW w:w="580" w:type="pct"/>
                  <w:vAlign w:val="center"/>
                </w:tcPr>
                <w:p w14:paraId="7C8069B2">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lang w:val="en-US" w:eastAsia="zh-CN"/>
                    </w:rPr>
                    <w:t>袋装</w:t>
                  </w:r>
                </w:p>
              </w:tc>
            </w:tr>
            <w:tr w14:paraId="1F1144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260A4470">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4</w:t>
                  </w:r>
                </w:p>
              </w:tc>
              <w:tc>
                <w:tcPr>
                  <w:tcW w:w="572" w:type="pct"/>
                  <w:vAlign w:val="center"/>
                </w:tcPr>
                <w:p w14:paraId="6277E172">
                  <w:pPr>
                    <w:spacing w:line="276" w:lineRule="auto"/>
                    <w:jc w:val="center"/>
                    <w:rPr>
                      <w:rFonts w:ascii="Times New Roman" w:cs="Times New Roman"/>
                      <w:color w:val="auto"/>
                      <w:kern w:val="0"/>
                      <w:szCs w:val="21"/>
                      <w:highlight w:val="none"/>
                    </w:rPr>
                  </w:pPr>
                  <w:r>
                    <w:rPr>
                      <w:rFonts w:hint="eastAsia" w:ascii="Times New Roman" w:cs="Times New Roman"/>
                      <w:color w:val="auto"/>
                      <w:kern w:val="0"/>
                      <w:szCs w:val="21"/>
                      <w:highlight w:val="none"/>
                    </w:rPr>
                    <w:t>过滤棉</w:t>
                  </w:r>
                </w:p>
              </w:tc>
              <w:tc>
                <w:tcPr>
                  <w:tcW w:w="543" w:type="pct"/>
                  <w:vAlign w:val="center"/>
                </w:tcPr>
                <w:p w14:paraId="57AF3EE3">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w:t>
                  </w:r>
                </w:p>
              </w:tc>
              <w:tc>
                <w:tcPr>
                  <w:tcW w:w="306" w:type="pct"/>
                  <w:vAlign w:val="center"/>
                </w:tcPr>
                <w:p w14:paraId="7AE98649">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固体</w:t>
                  </w:r>
                </w:p>
              </w:tc>
              <w:tc>
                <w:tcPr>
                  <w:tcW w:w="830" w:type="pct"/>
                  <w:vAlign w:val="center"/>
                </w:tcPr>
                <w:p w14:paraId="358525F4">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605</w:t>
                  </w:r>
                  <w:r>
                    <w:rPr>
                      <w:rFonts w:hint="eastAsia" w:ascii="Times New Roman" w:hAnsi="Times New Roman" w:cs="Times New Roman"/>
                      <w:color w:val="auto"/>
                      <w:szCs w:val="21"/>
                      <w:highlight w:val="none"/>
                    </w:rPr>
                    <w:t>m</w:t>
                  </w:r>
                  <w:r>
                    <w:rPr>
                      <w:rFonts w:hint="eastAsia" w:ascii="Times New Roman" w:hAnsi="Times New Roman" w:cs="Times New Roman"/>
                      <w:color w:val="auto"/>
                      <w:szCs w:val="21"/>
                      <w:highlight w:val="none"/>
                      <w:vertAlign w:val="superscript"/>
                    </w:rPr>
                    <w:t>3</w:t>
                  </w:r>
                  <w:r>
                    <w:rPr>
                      <w:rFonts w:hint="eastAsia" w:ascii="Times New Roman" w:hAnsi="Times New Roman" w:cs="Times New Roman"/>
                      <w:color w:val="auto"/>
                      <w:szCs w:val="21"/>
                      <w:highlight w:val="none"/>
                    </w:rPr>
                    <w:t>/a</w:t>
                  </w:r>
                </w:p>
              </w:tc>
              <w:tc>
                <w:tcPr>
                  <w:tcW w:w="709" w:type="pct"/>
                  <w:vAlign w:val="center"/>
                </w:tcPr>
                <w:p w14:paraId="63A41C17">
                  <w:pPr>
                    <w:spacing w:before="100" w:beforeAutospacing="1" w:after="100" w:afterAutospacing="1" w:line="276" w:lineRule="auto"/>
                    <w:jc w:val="center"/>
                    <w:outlineLvl w:val="0"/>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16</w:t>
                  </w:r>
                  <w:r>
                    <w:rPr>
                      <w:rFonts w:hint="eastAsia" w:ascii="Times New Roman" w:hAnsi="Times New Roman" w:cs="Times New Roman"/>
                      <w:color w:val="auto"/>
                      <w:szCs w:val="21"/>
                      <w:highlight w:val="none"/>
                    </w:rPr>
                    <w:t>0m</w:t>
                  </w:r>
                  <w:r>
                    <w:rPr>
                      <w:rFonts w:hint="eastAsia" w:ascii="Times New Roman" w:hAnsi="Times New Roman" w:cs="Times New Roman"/>
                      <w:color w:val="auto"/>
                      <w:szCs w:val="21"/>
                      <w:highlight w:val="none"/>
                      <w:vertAlign w:val="superscript"/>
                    </w:rPr>
                    <w:t>3</w:t>
                  </w:r>
                </w:p>
              </w:tc>
              <w:tc>
                <w:tcPr>
                  <w:tcW w:w="574" w:type="pct"/>
                  <w:vAlign w:val="center"/>
                </w:tcPr>
                <w:p w14:paraId="23378031">
                  <w:pPr>
                    <w:spacing w:line="276" w:lineRule="auto"/>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3个月</w:t>
                  </w:r>
                </w:p>
              </w:tc>
              <w:tc>
                <w:tcPr>
                  <w:tcW w:w="577" w:type="pct"/>
                  <w:vMerge w:val="continue"/>
                  <w:vAlign w:val="center"/>
                </w:tcPr>
                <w:p w14:paraId="1A3BB16B">
                  <w:pPr>
                    <w:spacing w:line="276" w:lineRule="auto"/>
                    <w:jc w:val="center"/>
                    <w:rPr>
                      <w:rFonts w:ascii="Times New Roman" w:hAnsi="Times New Roman" w:cs="Times New Roman"/>
                      <w:szCs w:val="21"/>
                      <w:highlight w:val="none"/>
                    </w:rPr>
                  </w:pPr>
                </w:p>
              </w:tc>
              <w:tc>
                <w:tcPr>
                  <w:tcW w:w="580" w:type="pct"/>
                  <w:vAlign w:val="center"/>
                </w:tcPr>
                <w:p w14:paraId="3F1639CD">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lang w:val="en-US" w:eastAsia="zh-CN"/>
                    </w:rPr>
                    <w:t>袋装</w:t>
                  </w:r>
                </w:p>
              </w:tc>
            </w:tr>
            <w:tr w14:paraId="685293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13A6FFF6">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5</w:t>
                  </w:r>
                </w:p>
              </w:tc>
              <w:tc>
                <w:tcPr>
                  <w:tcW w:w="572" w:type="pct"/>
                  <w:vAlign w:val="center"/>
                </w:tcPr>
                <w:p w14:paraId="0BCD8358">
                  <w:pPr>
                    <w:spacing w:line="276" w:lineRule="auto"/>
                    <w:jc w:val="center"/>
                    <w:rPr>
                      <w:rFonts w:ascii="Times New Roman" w:cs="Times New Roman"/>
                      <w:kern w:val="0"/>
                      <w:szCs w:val="21"/>
                      <w:highlight w:val="none"/>
                    </w:rPr>
                  </w:pPr>
                  <w:r>
                    <w:rPr>
                      <w:rFonts w:hint="eastAsia" w:ascii="Times New Roman" w:cs="Times New Roman"/>
                      <w:kern w:val="0"/>
                      <w:szCs w:val="21"/>
                      <w:highlight w:val="none"/>
                    </w:rPr>
                    <w:t>抛光蜡</w:t>
                  </w:r>
                </w:p>
              </w:tc>
              <w:tc>
                <w:tcPr>
                  <w:tcW w:w="543" w:type="pct"/>
                  <w:vAlign w:val="center"/>
                </w:tcPr>
                <w:p w14:paraId="44DA96B1">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0.5L/桶</w:t>
                  </w:r>
                </w:p>
              </w:tc>
              <w:tc>
                <w:tcPr>
                  <w:tcW w:w="306" w:type="pct"/>
                  <w:vAlign w:val="center"/>
                </w:tcPr>
                <w:p w14:paraId="3276F73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液体</w:t>
                  </w:r>
                </w:p>
              </w:tc>
              <w:tc>
                <w:tcPr>
                  <w:tcW w:w="830" w:type="pct"/>
                  <w:vAlign w:val="center"/>
                </w:tcPr>
                <w:p w14:paraId="0EF481FD">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16L/a</w:t>
                  </w:r>
                </w:p>
              </w:tc>
              <w:tc>
                <w:tcPr>
                  <w:tcW w:w="709" w:type="pct"/>
                  <w:vAlign w:val="center"/>
                </w:tcPr>
                <w:p w14:paraId="490D37D5">
                  <w:pPr>
                    <w:spacing w:before="100" w:beforeAutospacing="1" w:after="100" w:afterAutospacing="1" w:line="276" w:lineRule="auto"/>
                    <w:jc w:val="center"/>
                    <w:outlineLvl w:val="0"/>
                    <w:rPr>
                      <w:rFonts w:ascii="Times New Roman" w:hAnsi="Times New Roman" w:cs="Times New Roman"/>
                      <w:szCs w:val="21"/>
                      <w:highlight w:val="none"/>
                    </w:rPr>
                  </w:pPr>
                  <w:r>
                    <w:rPr>
                      <w:rFonts w:hint="eastAsia" w:ascii="Times New Roman" w:hAnsi="Times New Roman" w:cs="Times New Roman"/>
                      <w:szCs w:val="21"/>
                      <w:highlight w:val="none"/>
                    </w:rPr>
                    <w:t>4L</w:t>
                  </w:r>
                </w:p>
              </w:tc>
              <w:tc>
                <w:tcPr>
                  <w:tcW w:w="574" w:type="pct"/>
                  <w:vAlign w:val="center"/>
                </w:tcPr>
                <w:p w14:paraId="51690371">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3个月</w:t>
                  </w:r>
                </w:p>
              </w:tc>
              <w:tc>
                <w:tcPr>
                  <w:tcW w:w="577" w:type="pct"/>
                  <w:vMerge w:val="continue"/>
                  <w:vAlign w:val="center"/>
                </w:tcPr>
                <w:p w14:paraId="5C981C9E">
                  <w:pPr>
                    <w:spacing w:line="276" w:lineRule="auto"/>
                    <w:jc w:val="center"/>
                    <w:rPr>
                      <w:rFonts w:ascii="Times New Roman" w:hAnsi="Times New Roman" w:cs="Times New Roman"/>
                      <w:szCs w:val="21"/>
                      <w:highlight w:val="none"/>
                    </w:rPr>
                  </w:pPr>
                </w:p>
              </w:tc>
              <w:tc>
                <w:tcPr>
                  <w:tcW w:w="580" w:type="pct"/>
                  <w:vAlign w:val="center"/>
                </w:tcPr>
                <w:p w14:paraId="6426CDE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桶装</w:t>
                  </w:r>
                </w:p>
              </w:tc>
            </w:tr>
            <w:tr w14:paraId="3C85F4F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0C7CFAA7">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6</w:t>
                  </w:r>
                </w:p>
              </w:tc>
              <w:tc>
                <w:tcPr>
                  <w:tcW w:w="572" w:type="pct"/>
                  <w:vAlign w:val="center"/>
                </w:tcPr>
                <w:p w14:paraId="7745DDDB">
                  <w:pPr>
                    <w:spacing w:line="276" w:lineRule="auto"/>
                    <w:jc w:val="center"/>
                    <w:rPr>
                      <w:rFonts w:ascii="Times New Roman" w:cs="Times New Roman"/>
                      <w:color w:val="auto"/>
                      <w:kern w:val="0"/>
                      <w:szCs w:val="21"/>
                      <w:highlight w:val="none"/>
                    </w:rPr>
                  </w:pPr>
                  <w:r>
                    <w:rPr>
                      <w:rFonts w:hint="eastAsia" w:ascii="Times New Roman" w:cs="Times New Roman"/>
                      <w:color w:val="auto"/>
                      <w:kern w:val="0"/>
                      <w:szCs w:val="21"/>
                      <w:highlight w:val="none"/>
                    </w:rPr>
                    <w:t>润滑油</w:t>
                  </w:r>
                </w:p>
              </w:tc>
              <w:tc>
                <w:tcPr>
                  <w:tcW w:w="543" w:type="pct"/>
                  <w:vAlign w:val="center"/>
                </w:tcPr>
                <w:p w14:paraId="5B1974DA">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200kg/桶</w:t>
                  </w:r>
                </w:p>
              </w:tc>
              <w:tc>
                <w:tcPr>
                  <w:tcW w:w="306" w:type="pct"/>
                  <w:vAlign w:val="center"/>
                </w:tcPr>
                <w:p w14:paraId="16C751F9">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液体</w:t>
                  </w:r>
                </w:p>
              </w:tc>
              <w:tc>
                <w:tcPr>
                  <w:tcW w:w="830" w:type="pct"/>
                  <w:vAlign w:val="center"/>
                </w:tcPr>
                <w:p w14:paraId="78F4D6F4">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eastAsia="zh-CN"/>
                    </w:rPr>
                    <w:t>1</w:t>
                  </w:r>
                  <w:r>
                    <w:rPr>
                      <w:rFonts w:hint="eastAsia" w:ascii="Times New Roman" w:hAnsi="Times New Roman" w:cs="Times New Roman"/>
                      <w:color w:val="auto"/>
                      <w:szCs w:val="21"/>
                      <w:highlight w:val="none"/>
                    </w:rPr>
                    <w:t>t/a</w:t>
                  </w:r>
                </w:p>
              </w:tc>
              <w:tc>
                <w:tcPr>
                  <w:tcW w:w="709" w:type="pct"/>
                  <w:vAlign w:val="center"/>
                </w:tcPr>
                <w:p w14:paraId="4E3A5E20">
                  <w:pPr>
                    <w:spacing w:before="100" w:beforeAutospacing="1" w:after="100" w:afterAutospacing="1" w:line="276" w:lineRule="auto"/>
                    <w:jc w:val="center"/>
                    <w:outlineLvl w:val="0"/>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1</w:t>
                  </w:r>
                  <w:r>
                    <w:rPr>
                      <w:rFonts w:hint="eastAsia" w:ascii="Times New Roman" w:hAnsi="Times New Roman" w:cs="Times New Roman"/>
                      <w:color w:val="auto"/>
                      <w:szCs w:val="21"/>
                      <w:highlight w:val="none"/>
                    </w:rPr>
                    <w:t>t</w:t>
                  </w:r>
                </w:p>
              </w:tc>
              <w:tc>
                <w:tcPr>
                  <w:tcW w:w="574" w:type="pct"/>
                  <w:vAlign w:val="center"/>
                </w:tcPr>
                <w:p w14:paraId="14A149B9">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1年</w:t>
                  </w:r>
                </w:p>
              </w:tc>
              <w:tc>
                <w:tcPr>
                  <w:tcW w:w="577" w:type="pct"/>
                  <w:vMerge w:val="continue"/>
                  <w:vAlign w:val="center"/>
                </w:tcPr>
                <w:p w14:paraId="0E0D4B9D">
                  <w:pPr>
                    <w:spacing w:line="276" w:lineRule="auto"/>
                    <w:jc w:val="center"/>
                    <w:rPr>
                      <w:rFonts w:ascii="Times New Roman" w:hAnsi="Times New Roman" w:cs="Times New Roman"/>
                      <w:szCs w:val="21"/>
                      <w:highlight w:val="none"/>
                    </w:rPr>
                  </w:pPr>
                </w:p>
              </w:tc>
              <w:tc>
                <w:tcPr>
                  <w:tcW w:w="580" w:type="pct"/>
                  <w:vAlign w:val="center"/>
                </w:tcPr>
                <w:p w14:paraId="0CC05115">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桶装</w:t>
                  </w:r>
                </w:p>
              </w:tc>
            </w:tr>
            <w:tr w14:paraId="4C862F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6CF392B9">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7</w:t>
                  </w:r>
                </w:p>
              </w:tc>
              <w:tc>
                <w:tcPr>
                  <w:tcW w:w="572" w:type="pct"/>
                  <w:vAlign w:val="center"/>
                </w:tcPr>
                <w:p w14:paraId="4347D460">
                  <w:pPr>
                    <w:spacing w:line="276" w:lineRule="auto"/>
                    <w:jc w:val="center"/>
                    <w:rPr>
                      <w:rFonts w:ascii="Times New Roman" w:cs="Times New Roman"/>
                      <w:kern w:val="0"/>
                      <w:szCs w:val="21"/>
                      <w:highlight w:val="none"/>
                    </w:rPr>
                  </w:pPr>
                  <w:r>
                    <w:rPr>
                      <w:rFonts w:hint="eastAsia" w:ascii="Times New Roman" w:cs="Times New Roman"/>
                      <w:kern w:val="0"/>
                      <w:szCs w:val="21"/>
                      <w:highlight w:val="none"/>
                    </w:rPr>
                    <w:t>絮凝剂</w:t>
                  </w:r>
                </w:p>
              </w:tc>
              <w:tc>
                <w:tcPr>
                  <w:tcW w:w="543" w:type="pct"/>
                  <w:vAlign w:val="center"/>
                </w:tcPr>
                <w:p w14:paraId="0DA3A83D">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25kg/袋</w:t>
                  </w:r>
                </w:p>
              </w:tc>
              <w:tc>
                <w:tcPr>
                  <w:tcW w:w="306" w:type="pct"/>
                  <w:vAlign w:val="center"/>
                </w:tcPr>
                <w:p w14:paraId="4A6F911B">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固体</w:t>
                  </w:r>
                </w:p>
              </w:tc>
              <w:tc>
                <w:tcPr>
                  <w:tcW w:w="830" w:type="pct"/>
                  <w:vAlign w:val="center"/>
                </w:tcPr>
                <w:p w14:paraId="5D6510BA">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1t/a</w:t>
                  </w:r>
                </w:p>
              </w:tc>
              <w:tc>
                <w:tcPr>
                  <w:tcW w:w="709" w:type="pct"/>
                  <w:vAlign w:val="center"/>
                </w:tcPr>
                <w:p w14:paraId="774F2FD7">
                  <w:pPr>
                    <w:spacing w:before="100" w:beforeAutospacing="1" w:after="100" w:afterAutospacing="1" w:line="276" w:lineRule="auto"/>
                    <w:jc w:val="center"/>
                    <w:outlineLvl w:val="0"/>
                    <w:rPr>
                      <w:rFonts w:ascii="Times New Roman" w:hAnsi="Times New Roman" w:cs="Times New Roman"/>
                      <w:szCs w:val="21"/>
                      <w:highlight w:val="none"/>
                    </w:rPr>
                  </w:pPr>
                  <w:r>
                    <w:rPr>
                      <w:rFonts w:hint="eastAsia" w:ascii="Times New Roman" w:hAnsi="Times New Roman" w:cs="Times New Roman"/>
                      <w:szCs w:val="21"/>
                      <w:highlight w:val="none"/>
                    </w:rPr>
                    <w:t>0.5t</w:t>
                  </w:r>
                </w:p>
              </w:tc>
              <w:tc>
                <w:tcPr>
                  <w:tcW w:w="574" w:type="pct"/>
                  <w:vAlign w:val="center"/>
                </w:tcPr>
                <w:p w14:paraId="3A037BBE">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半年</w:t>
                  </w:r>
                </w:p>
              </w:tc>
              <w:tc>
                <w:tcPr>
                  <w:tcW w:w="577" w:type="pct"/>
                  <w:vMerge w:val="continue"/>
                  <w:vAlign w:val="center"/>
                </w:tcPr>
                <w:p w14:paraId="304521D6">
                  <w:pPr>
                    <w:spacing w:line="276" w:lineRule="auto"/>
                    <w:jc w:val="center"/>
                    <w:rPr>
                      <w:rFonts w:ascii="Times New Roman" w:hAnsi="Times New Roman" w:cs="Times New Roman"/>
                      <w:szCs w:val="21"/>
                      <w:highlight w:val="none"/>
                    </w:rPr>
                  </w:pPr>
                </w:p>
              </w:tc>
              <w:tc>
                <w:tcPr>
                  <w:tcW w:w="580" w:type="pct"/>
                  <w:vAlign w:val="center"/>
                </w:tcPr>
                <w:p w14:paraId="6F03528A">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袋装</w:t>
                  </w:r>
                </w:p>
              </w:tc>
            </w:tr>
            <w:tr w14:paraId="7AB03F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3978B994">
                  <w:pPr>
                    <w:spacing w:line="276" w:lineRule="auto"/>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8</w:t>
                  </w:r>
                </w:p>
              </w:tc>
              <w:tc>
                <w:tcPr>
                  <w:tcW w:w="572" w:type="pct"/>
                  <w:vAlign w:val="center"/>
                </w:tcPr>
                <w:p w14:paraId="1E4827D3">
                  <w:pPr>
                    <w:spacing w:line="276" w:lineRule="auto"/>
                    <w:jc w:val="center"/>
                    <w:rPr>
                      <w:rFonts w:hint="default" w:ascii="Times New Roman" w:cs="Times New Roman" w:eastAsiaTheme="minorEastAsia"/>
                      <w:color w:val="auto"/>
                      <w:kern w:val="0"/>
                      <w:szCs w:val="21"/>
                      <w:highlight w:val="none"/>
                      <w:lang w:val="en-US" w:eastAsia="zh-CN"/>
                    </w:rPr>
                  </w:pPr>
                  <w:r>
                    <w:rPr>
                      <w:rFonts w:hint="eastAsia" w:ascii="Times New Roman" w:cs="Times New Roman"/>
                      <w:color w:val="auto"/>
                      <w:kern w:val="0"/>
                      <w:szCs w:val="21"/>
                      <w:highlight w:val="none"/>
                      <w:lang w:val="en-US" w:eastAsia="zh-CN"/>
                    </w:rPr>
                    <w:t>汽车零部件半成品</w:t>
                  </w:r>
                </w:p>
              </w:tc>
              <w:tc>
                <w:tcPr>
                  <w:tcW w:w="543" w:type="pct"/>
                  <w:vAlign w:val="center"/>
                </w:tcPr>
                <w:p w14:paraId="29351DD1">
                  <w:pPr>
                    <w:spacing w:line="276" w:lineRule="auto"/>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w:t>
                  </w:r>
                </w:p>
              </w:tc>
              <w:tc>
                <w:tcPr>
                  <w:tcW w:w="306" w:type="pct"/>
                  <w:vAlign w:val="center"/>
                </w:tcPr>
                <w:p w14:paraId="4B3A13FA">
                  <w:pPr>
                    <w:spacing w:line="276" w:lineRule="auto"/>
                    <w:jc w:val="center"/>
                    <w:rPr>
                      <w:rFonts w:hint="eastAsia"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固体</w:t>
                  </w:r>
                </w:p>
              </w:tc>
              <w:tc>
                <w:tcPr>
                  <w:tcW w:w="830" w:type="pct"/>
                  <w:vAlign w:val="center"/>
                </w:tcPr>
                <w:p w14:paraId="762FA2F1">
                  <w:pPr>
                    <w:spacing w:line="276" w:lineRule="auto"/>
                    <w:jc w:val="center"/>
                    <w:rPr>
                      <w:rFonts w:hint="default" w:ascii="Times New Roman" w:hAnsi="Times New Roman" w:cs="Times New Roman" w:eastAsiaTheme="minorEastAsia"/>
                      <w:szCs w:val="21"/>
                      <w:highlight w:val="none"/>
                      <w:lang w:val="en-US" w:eastAsia="zh-CN"/>
                    </w:rPr>
                  </w:pPr>
                  <w:r>
                    <w:rPr>
                      <w:rFonts w:hint="eastAsia" w:ascii="Times New Roman" w:hAnsi="Times New Roman" w:cs="Times New Roman"/>
                      <w:szCs w:val="21"/>
                      <w:highlight w:val="none"/>
                      <w:lang w:val="en-US" w:eastAsia="zh-CN"/>
                    </w:rPr>
                    <w:t>200万套/a</w:t>
                  </w:r>
                </w:p>
              </w:tc>
              <w:tc>
                <w:tcPr>
                  <w:tcW w:w="709" w:type="pct"/>
                  <w:vAlign w:val="center"/>
                </w:tcPr>
                <w:p w14:paraId="257946AF">
                  <w:pPr>
                    <w:spacing w:before="100" w:beforeAutospacing="1" w:after="100" w:afterAutospacing="1" w:line="276" w:lineRule="auto"/>
                    <w:jc w:val="center"/>
                    <w:outlineLvl w:val="0"/>
                    <w:rPr>
                      <w:rFonts w:hint="default" w:ascii="Times New Roman" w:hAnsi="Times New Roman" w:cs="Times New Roman" w:eastAsiaTheme="minorEastAsia"/>
                      <w:szCs w:val="21"/>
                      <w:highlight w:val="none"/>
                      <w:lang w:val="en-US" w:eastAsia="zh-CN"/>
                    </w:rPr>
                  </w:pPr>
                  <w:r>
                    <w:rPr>
                      <w:rFonts w:hint="eastAsia" w:ascii="Times New Roman" w:hAnsi="Times New Roman" w:cs="Times New Roman"/>
                      <w:szCs w:val="21"/>
                      <w:highlight w:val="none"/>
                      <w:lang w:val="en-US" w:eastAsia="zh-CN"/>
                    </w:rPr>
                    <w:t>10万套</w:t>
                  </w:r>
                </w:p>
              </w:tc>
              <w:tc>
                <w:tcPr>
                  <w:tcW w:w="574" w:type="pct"/>
                  <w:vAlign w:val="center"/>
                </w:tcPr>
                <w:p w14:paraId="397875E6">
                  <w:pPr>
                    <w:spacing w:line="276" w:lineRule="auto"/>
                    <w:jc w:val="center"/>
                    <w:rPr>
                      <w:rFonts w:hint="eastAsia" w:ascii="Times New Roman" w:hAnsi="Times New Roman" w:cs="Times New Roman" w:eastAsiaTheme="minorEastAsia"/>
                      <w:szCs w:val="21"/>
                      <w:highlight w:val="none"/>
                      <w:lang w:val="en-US" w:eastAsia="zh-CN"/>
                    </w:rPr>
                  </w:pPr>
                  <w:r>
                    <w:rPr>
                      <w:rFonts w:hint="eastAsia" w:ascii="Times New Roman" w:hAnsi="Times New Roman" w:cs="Times New Roman"/>
                      <w:szCs w:val="21"/>
                      <w:highlight w:val="none"/>
                      <w:lang w:val="en-US" w:eastAsia="zh-CN"/>
                    </w:rPr>
                    <w:t>半个月</w:t>
                  </w:r>
                </w:p>
              </w:tc>
              <w:tc>
                <w:tcPr>
                  <w:tcW w:w="577" w:type="pct"/>
                  <w:vMerge w:val="continue"/>
                  <w:vAlign w:val="center"/>
                </w:tcPr>
                <w:p w14:paraId="7775F086">
                  <w:pPr>
                    <w:spacing w:line="276" w:lineRule="auto"/>
                    <w:jc w:val="center"/>
                    <w:rPr>
                      <w:rFonts w:ascii="Times New Roman" w:hAnsi="Times New Roman" w:cs="Times New Roman"/>
                      <w:szCs w:val="21"/>
                      <w:highlight w:val="none"/>
                    </w:rPr>
                  </w:pPr>
                </w:p>
              </w:tc>
              <w:tc>
                <w:tcPr>
                  <w:tcW w:w="580" w:type="pct"/>
                  <w:vAlign w:val="center"/>
                </w:tcPr>
                <w:p w14:paraId="56FCD185">
                  <w:pPr>
                    <w:spacing w:line="276" w:lineRule="auto"/>
                    <w:jc w:val="center"/>
                    <w:rPr>
                      <w:rFonts w:hint="default" w:ascii="Times New Roman" w:hAnsi="Times New Roman" w:cs="Times New Roman" w:eastAsiaTheme="minorEastAsia"/>
                      <w:szCs w:val="21"/>
                      <w:highlight w:val="none"/>
                      <w:lang w:val="en-US" w:eastAsia="zh-CN"/>
                    </w:rPr>
                  </w:pPr>
                  <w:r>
                    <w:rPr>
                      <w:rFonts w:hint="eastAsia" w:ascii="Times New Roman" w:hAnsi="Times New Roman" w:cs="Times New Roman"/>
                      <w:szCs w:val="21"/>
                      <w:highlight w:val="none"/>
                      <w:lang w:val="en-US" w:eastAsia="zh-CN"/>
                    </w:rPr>
                    <w:t>箱装</w:t>
                  </w:r>
                </w:p>
              </w:tc>
            </w:tr>
            <w:tr w14:paraId="3A86E2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5000" w:type="pct"/>
                  <w:gridSpan w:val="9"/>
                  <w:vAlign w:val="center"/>
                </w:tcPr>
                <w:p w14:paraId="0199A449">
                  <w:pPr>
                    <w:spacing w:line="276" w:lineRule="auto"/>
                    <w:jc w:val="center"/>
                    <w:rPr>
                      <w:rFonts w:ascii="Times New Roman" w:hAnsi="Times New Roman" w:cs="Times New Roman"/>
                      <w:b/>
                      <w:szCs w:val="21"/>
                      <w:highlight w:val="none"/>
                    </w:rPr>
                  </w:pPr>
                  <w:r>
                    <w:rPr>
                      <w:rFonts w:ascii="Times New Roman" w:hAnsi="Times New Roman" w:cs="Times New Roman"/>
                      <w:b/>
                      <w:szCs w:val="21"/>
                      <w:highlight w:val="none"/>
                    </w:rPr>
                    <w:t>能源</w:t>
                  </w:r>
                </w:p>
              </w:tc>
            </w:tr>
            <w:tr w14:paraId="71ACBB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3B375D09">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1</w:t>
                  </w:r>
                </w:p>
              </w:tc>
              <w:tc>
                <w:tcPr>
                  <w:tcW w:w="572" w:type="pct"/>
                  <w:vAlign w:val="center"/>
                </w:tcPr>
                <w:p w14:paraId="669DE517">
                  <w:pPr>
                    <w:spacing w:line="276" w:lineRule="auto"/>
                    <w:jc w:val="center"/>
                    <w:rPr>
                      <w:rFonts w:ascii="Times New Roman" w:hAnsi="Times New Roman" w:cs="Times New Roman"/>
                      <w:color w:val="auto"/>
                      <w:szCs w:val="21"/>
                      <w:highlight w:val="none"/>
                    </w:rPr>
                  </w:pPr>
                  <w:r>
                    <w:rPr>
                      <w:rFonts w:ascii="Times New Roman" w:hAnsi="Times New Roman" w:cs="Times New Roman"/>
                      <w:color w:val="auto"/>
                      <w:szCs w:val="21"/>
                      <w:highlight w:val="none"/>
                    </w:rPr>
                    <w:t>水</w:t>
                  </w:r>
                </w:p>
              </w:tc>
              <w:tc>
                <w:tcPr>
                  <w:tcW w:w="849" w:type="pct"/>
                  <w:gridSpan w:val="2"/>
                  <w:vAlign w:val="center"/>
                </w:tcPr>
                <w:p w14:paraId="4FF36894">
                  <w:pPr>
                    <w:spacing w:line="276" w:lineRule="auto"/>
                    <w:jc w:val="center"/>
                    <w:rPr>
                      <w:rFonts w:ascii="Times New Roman" w:hAnsi="Times New Roman" w:cs="Times New Roman"/>
                      <w:color w:val="auto"/>
                      <w:szCs w:val="21"/>
                      <w:highlight w:val="none"/>
                    </w:rPr>
                  </w:pPr>
                  <w:r>
                    <w:rPr>
                      <w:rFonts w:ascii="Times New Roman" w:hAnsi="Times New Roman" w:cs="Times New Roman"/>
                      <w:color w:val="auto"/>
                      <w:szCs w:val="21"/>
                      <w:highlight w:val="none"/>
                    </w:rPr>
                    <w:t>/</w:t>
                  </w:r>
                </w:p>
              </w:tc>
              <w:tc>
                <w:tcPr>
                  <w:tcW w:w="830" w:type="pct"/>
                  <w:vAlign w:val="center"/>
                </w:tcPr>
                <w:p w14:paraId="03B16D9D">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1095.96</w:t>
                  </w:r>
                  <w:r>
                    <w:rPr>
                      <w:rFonts w:hint="eastAsia" w:ascii="Times New Roman" w:hAnsi="Times New Roman" w:cs="Times New Roman"/>
                      <w:color w:val="auto"/>
                      <w:szCs w:val="21"/>
                      <w:highlight w:val="none"/>
                    </w:rPr>
                    <w:t>m</w:t>
                  </w:r>
                  <w:r>
                    <w:rPr>
                      <w:rFonts w:hint="eastAsia" w:ascii="Times New Roman" w:hAnsi="Times New Roman" w:cs="Times New Roman"/>
                      <w:color w:val="auto"/>
                      <w:szCs w:val="21"/>
                      <w:highlight w:val="none"/>
                      <w:vertAlign w:val="superscript"/>
                    </w:rPr>
                    <w:t>3</w:t>
                  </w:r>
                </w:p>
              </w:tc>
              <w:tc>
                <w:tcPr>
                  <w:tcW w:w="709" w:type="pct"/>
                  <w:vAlign w:val="center"/>
                </w:tcPr>
                <w:p w14:paraId="6820AC07">
                  <w:pPr>
                    <w:spacing w:line="276" w:lineRule="auto"/>
                    <w:jc w:val="center"/>
                    <w:rPr>
                      <w:rFonts w:ascii="Times New Roman" w:hAnsi="Times New Roman" w:cs="Times New Roman"/>
                      <w:color w:val="auto"/>
                      <w:szCs w:val="21"/>
                      <w:highlight w:val="none"/>
                    </w:rPr>
                  </w:pPr>
                  <w:r>
                    <w:rPr>
                      <w:rFonts w:ascii="Times New Roman" w:hAnsi="Times New Roman" w:cs="Times New Roman"/>
                      <w:color w:val="auto"/>
                      <w:szCs w:val="21"/>
                      <w:highlight w:val="none"/>
                    </w:rPr>
                    <w:t>/</w:t>
                  </w:r>
                </w:p>
              </w:tc>
              <w:tc>
                <w:tcPr>
                  <w:tcW w:w="1151" w:type="pct"/>
                  <w:gridSpan w:val="2"/>
                  <w:vAlign w:val="center"/>
                </w:tcPr>
                <w:p w14:paraId="4963B1B6">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市政</w:t>
                  </w:r>
                  <w:r>
                    <w:rPr>
                      <w:rFonts w:ascii="Times New Roman" w:hAnsi="Times New Roman" w:cs="Times New Roman"/>
                      <w:color w:val="auto"/>
                      <w:szCs w:val="21"/>
                      <w:highlight w:val="none"/>
                    </w:rPr>
                    <w:t>供水管网</w:t>
                  </w:r>
                </w:p>
              </w:tc>
              <w:tc>
                <w:tcPr>
                  <w:tcW w:w="580" w:type="pct"/>
                  <w:vAlign w:val="center"/>
                </w:tcPr>
                <w:p w14:paraId="56561908">
                  <w:pPr>
                    <w:spacing w:line="276" w:lineRule="auto"/>
                    <w:jc w:val="center"/>
                    <w:rPr>
                      <w:rFonts w:ascii="Times New Roman" w:hAnsi="Times New Roman" w:cs="Times New Roman"/>
                      <w:szCs w:val="21"/>
                      <w:highlight w:val="none"/>
                    </w:rPr>
                  </w:pPr>
                  <w:r>
                    <w:rPr>
                      <w:rFonts w:ascii="Times New Roman" w:hAnsi="Times New Roman" w:cs="Times New Roman"/>
                      <w:szCs w:val="21"/>
                      <w:highlight w:val="none"/>
                    </w:rPr>
                    <w:t>/</w:t>
                  </w:r>
                </w:p>
              </w:tc>
            </w:tr>
            <w:tr w14:paraId="7ECCD1E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304" w:type="pct"/>
                  <w:vAlign w:val="center"/>
                </w:tcPr>
                <w:p w14:paraId="1BDAE4D2">
                  <w:pPr>
                    <w:spacing w:line="276" w:lineRule="auto"/>
                    <w:jc w:val="center"/>
                    <w:rPr>
                      <w:rFonts w:ascii="Times New Roman" w:hAnsi="Times New Roman" w:cs="Times New Roman"/>
                      <w:szCs w:val="21"/>
                      <w:highlight w:val="none"/>
                    </w:rPr>
                  </w:pPr>
                  <w:r>
                    <w:rPr>
                      <w:rFonts w:ascii="Times New Roman" w:hAnsi="Times New Roman" w:cs="Times New Roman"/>
                      <w:szCs w:val="21"/>
                      <w:highlight w:val="none"/>
                    </w:rPr>
                    <w:t>2</w:t>
                  </w:r>
                </w:p>
              </w:tc>
              <w:tc>
                <w:tcPr>
                  <w:tcW w:w="572" w:type="pct"/>
                  <w:vAlign w:val="center"/>
                </w:tcPr>
                <w:p w14:paraId="2B74A47B">
                  <w:pPr>
                    <w:spacing w:line="276" w:lineRule="auto"/>
                    <w:jc w:val="center"/>
                    <w:rPr>
                      <w:rFonts w:ascii="Times New Roman" w:hAnsi="Times New Roman" w:cs="Times New Roman"/>
                      <w:szCs w:val="21"/>
                      <w:highlight w:val="none"/>
                    </w:rPr>
                  </w:pPr>
                  <w:r>
                    <w:rPr>
                      <w:rFonts w:ascii="Times New Roman" w:hAnsi="Times New Roman" w:cs="Times New Roman"/>
                      <w:szCs w:val="21"/>
                      <w:highlight w:val="none"/>
                    </w:rPr>
                    <w:t>电</w:t>
                  </w:r>
                </w:p>
              </w:tc>
              <w:tc>
                <w:tcPr>
                  <w:tcW w:w="849" w:type="pct"/>
                  <w:gridSpan w:val="2"/>
                  <w:vAlign w:val="center"/>
                </w:tcPr>
                <w:p w14:paraId="4F4E72EE">
                  <w:pPr>
                    <w:spacing w:line="276" w:lineRule="auto"/>
                    <w:jc w:val="center"/>
                    <w:rPr>
                      <w:rFonts w:ascii="Times New Roman" w:hAnsi="Times New Roman" w:eastAsia="宋体" w:cs="Times New Roman"/>
                      <w:szCs w:val="21"/>
                      <w:highlight w:val="none"/>
                    </w:rPr>
                  </w:pPr>
                  <w:r>
                    <w:rPr>
                      <w:rFonts w:ascii="Times New Roman" w:hAnsi="Times New Roman" w:cs="Times New Roman"/>
                      <w:szCs w:val="21"/>
                      <w:highlight w:val="none"/>
                    </w:rPr>
                    <w:t>/</w:t>
                  </w:r>
                </w:p>
              </w:tc>
              <w:tc>
                <w:tcPr>
                  <w:tcW w:w="830" w:type="pct"/>
                  <w:vAlign w:val="center"/>
                </w:tcPr>
                <w:p w14:paraId="031A6FC0">
                  <w:pPr>
                    <w:spacing w:line="276" w:lineRule="auto"/>
                    <w:jc w:val="center"/>
                    <w:rPr>
                      <w:rFonts w:ascii="Times New Roman" w:hAnsi="Times New Roman" w:cs="Times New Roman"/>
                      <w:szCs w:val="21"/>
                      <w:highlight w:val="none"/>
                    </w:rPr>
                  </w:pPr>
                  <w:r>
                    <w:rPr>
                      <w:rFonts w:hint="eastAsia" w:ascii="Times New Roman" w:hAnsi="Times New Roman" w:eastAsia="宋体" w:cs="Times New Roman"/>
                      <w:szCs w:val="21"/>
                      <w:highlight w:val="none"/>
                    </w:rPr>
                    <w:t>80</w:t>
                  </w:r>
                  <w:r>
                    <w:rPr>
                      <w:rFonts w:ascii="Times New Roman" w:hAnsi="Times New Roman" w:eastAsia="宋体" w:cs="Times New Roman"/>
                      <w:szCs w:val="21"/>
                      <w:highlight w:val="none"/>
                    </w:rPr>
                    <w:t>万</w:t>
                  </w:r>
                  <w:r>
                    <w:rPr>
                      <w:rFonts w:ascii="Times New Roman" w:hAnsi="Times New Roman" w:cs="Times New Roman"/>
                      <w:bCs/>
                      <w:sz w:val="24"/>
                      <w:szCs w:val="24"/>
                      <w:highlight w:val="none"/>
                    </w:rPr>
                    <w:t>k</w:t>
                  </w:r>
                  <w:r>
                    <w:rPr>
                      <w:rFonts w:hint="eastAsia" w:ascii="Times New Roman" w:hAnsi="Times New Roman" w:cs="Times New Roman"/>
                      <w:bCs/>
                      <w:sz w:val="24"/>
                      <w:szCs w:val="24"/>
                      <w:highlight w:val="none"/>
                    </w:rPr>
                    <w:t>W</w:t>
                  </w:r>
                  <w:r>
                    <w:rPr>
                      <w:rFonts w:ascii="Times New Roman" w:hAnsi="Times New Roman" w:cs="Times New Roman"/>
                      <w:bCs/>
                      <w:sz w:val="24"/>
                      <w:szCs w:val="24"/>
                      <w:highlight w:val="none"/>
                    </w:rPr>
                    <w:t>·h/a</w:t>
                  </w:r>
                </w:p>
              </w:tc>
              <w:tc>
                <w:tcPr>
                  <w:tcW w:w="709" w:type="pct"/>
                  <w:vAlign w:val="center"/>
                </w:tcPr>
                <w:p w14:paraId="21920A89">
                  <w:pPr>
                    <w:spacing w:line="276" w:lineRule="auto"/>
                    <w:jc w:val="center"/>
                    <w:rPr>
                      <w:rFonts w:ascii="Times New Roman" w:hAnsi="Times New Roman" w:cs="Times New Roman"/>
                      <w:szCs w:val="21"/>
                      <w:highlight w:val="none"/>
                    </w:rPr>
                  </w:pPr>
                  <w:r>
                    <w:rPr>
                      <w:rFonts w:ascii="Times New Roman" w:hAnsi="Times New Roman" w:cs="Times New Roman"/>
                      <w:szCs w:val="21"/>
                      <w:highlight w:val="none"/>
                    </w:rPr>
                    <w:t>/</w:t>
                  </w:r>
                </w:p>
              </w:tc>
              <w:tc>
                <w:tcPr>
                  <w:tcW w:w="1151" w:type="pct"/>
                  <w:gridSpan w:val="2"/>
                  <w:vAlign w:val="center"/>
                </w:tcPr>
                <w:p w14:paraId="36AFC804">
                  <w:pPr>
                    <w:spacing w:line="276" w:lineRule="auto"/>
                    <w:jc w:val="center"/>
                    <w:rPr>
                      <w:rFonts w:ascii="Times New Roman" w:hAnsi="Times New Roman" w:cs="Times New Roman"/>
                      <w:szCs w:val="21"/>
                      <w:highlight w:val="none"/>
                    </w:rPr>
                  </w:pPr>
                  <w:r>
                    <w:rPr>
                      <w:rFonts w:hint="eastAsia" w:ascii="Times New Roman" w:hAnsi="Times New Roman" w:cs="Times New Roman"/>
                      <w:szCs w:val="21"/>
                      <w:highlight w:val="none"/>
                    </w:rPr>
                    <w:t>市政</w:t>
                  </w:r>
                  <w:r>
                    <w:rPr>
                      <w:rFonts w:ascii="Times New Roman" w:hAnsi="Times New Roman" w:cs="Times New Roman"/>
                      <w:szCs w:val="21"/>
                      <w:highlight w:val="none"/>
                    </w:rPr>
                    <w:t>供电管网</w:t>
                  </w:r>
                </w:p>
              </w:tc>
              <w:tc>
                <w:tcPr>
                  <w:tcW w:w="580" w:type="pct"/>
                  <w:vAlign w:val="center"/>
                </w:tcPr>
                <w:p w14:paraId="587AB344">
                  <w:pPr>
                    <w:spacing w:line="276" w:lineRule="auto"/>
                    <w:jc w:val="center"/>
                    <w:rPr>
                      <w:rFonts w:ascii="Times New Roman" w:hAnsi="Times New Roman" w:cs="Times New Roman"/>
                      <w:szCs w:val="21"/>
                      <w:highlight w:val="none"/>
                    </w:rPr>
                  </w:pPr>
                  <w:r>
                    <w:rPr>
                      <w:rFonts w:ascii="Times New Roman" w:hAnsi="Times New Roman" w:cs="Times New Roman"/>
                      <w:szCs w:val="21"/>
                      <w:highlight w:val="none"/>
                    </w:rPr>
                    <w:t>/</w:t>
                  </w:r>
                </w:p>
              </w:tc>
            </w:tr>
          </w:tbl>
          <w:p w14:paraId="747873F0">
            <w:pPr>
              <w:spacing w:line="360" w:lineRule="auto"/>
              <w:ind w:firstLine="480" w:firstLineChars="200"/>
              <w:jc w:val="center"/>
              <w:rPr>
                <w:rFonts w:hint="eastAsia" w:ascii="Times New Roman" w:hAnsi="Times New Roman" w:eastAsia="黑体" w:cs="Times New Roman"/>
                <w:b w:val="0"/>
                <w:bCs/>
                <w:kern w:val="2"/>
                <w:sz w:val="24"/>
                <w:szCs w:val="24"/>
                <w:highlight w:val="none"/>
                <w:lang w:val="en-US" w:eastAsia="zh-CN" w:bidi="ar-SA"/>
              </w:rPr>
            </w:pPr>
            <w:r>
              <w:rPr>
                <w:rFonts w:hint="default" w:ascii="Times New Roman" w:hAnsi="Times New Roman" w:eastAsia="黑体" w:cs="Times New Roman"/>
                <w:b w:val="0"/>
                <w:bCs/>
                <w:kern w:val="2"/>
                <w:sz w:val="24"/>
                <w:szCs w:val="24"/>
                <w:highlight w:val="none"/>
                <w:lang w:val="en-US" w:eastAsia="zh-CN" w:bidi="ar-SA"/>
              </w:rPr>
              <w:t>表2-</w:t>
            </w:r>
            <w:r>
              <w:rPr>
                <w:rFonts w:hint="eastAsia" w:ascii="Times New Roman" w:hAnsi="Times New Roman" w:eastAsia="黑体" w:cs="Times New Roman"/>
                <w:b w:val="0"/>
                <w:bCs/>
                <w:kern w:val="2"/>
                <w:sz w:val="24"/>
                <w:szCs w:val="24"/>
                <w:highlight w:val="none"/>
                <w:lang w:val="en-US" w:eastAsia="zh-CN" w:bidi="ar-SA"/>
              </w:rPr>
              <w:t>9</w:t>
            </w:r>
            <w:r>
              <w:rPr>
                <w:rFonts w:hint="default" w:ascii="Times New Roman" w:hAnsi="Times New Roman" w:eastAsia="黑体" w:cs="Times New Roman"/>
                <w:b w:val="0"/>
                <w:bCs/>
                <w:kern w:val="2"/>
                <w:sz w:val="24"/>
                <w:szCs w:val="24"/>
                <w:highlight w:val="none"/>
                <w:lang w:val="en-US" w:eastAsia="zh-CN" w:bidi="ar-SA"/>
              </w:rPr>
              <w:t xml:space="preserve">  </w:t>
            </w:r>
            <w:r>
              <w:rPr>
                <w:rFonts w:hint="eastAsia" w:ascii="Times New Roman" w:hAnsi="Times New Roman" w:eastAsia="黑体" w:cs="Times New Roman"/>
                <w:b w:val="0"/>
                <w:bCs/>
                <w:kern w:val="2"/>
                <w:sz w:val="24"/>
                <w:szCs w:val="24"/>
                <w:highlight w:val="none"/>
                <w:lang w:val="en-US" w:eastAsia="zh-CN" w:bidi="ar-SA"/>
              </w:rPr>
              <w:t>主要原辅材料理化性质一览表</w:t>
            </w:r>
          </w:p>
          <w:tbl>
            <w:tblPr>
              <w:tblStyle w:val="18"/>
              <w:tblW w:w="0" w:type="auto"/>
              <w:tblInd w:w="5"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439"/>
              <w:gridCol w:w="462"/>
              <w:gridCol w:w="3808"/>
              <w:gridCol w:w="2497"/>
              <w:gridCol w:w="1189"/>
            </w:tblGrid>
            <w:tr w14:paraId="2031604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0" w:type="auto"/>
                  <w:tcBorders>
                    <w:tl2br w:val="nil"/>
                    <w:tr2bl w:val="nil"/>
                  </w:tcBorders>
                  <w:vAlign w:val="center"/>
                </w:tcPr>
                <w:p w14:paraId="02925478">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bCs w:val="0"/>
                      <w:kern w:val="2"/>
                      <w:sz w:val="21"/>
                      <w:szCs w:val="21"/>
                      <w:highlight w:val="none"/>
                      <w:vertAlign w:val="baseline"/>
                      <w:lang w:val="en-US" w:eastAsia="zh-CN" w:bidi="ar-SA"/>
                    </w:rPr>
                  </w:pPr>
                  <w:r>
                    <w:rPr>
                      <w:rFonts w:hint="default" w:ascii="Times New Roman" w:hAnsi="Times New Roman" w:eastAsia="宋体" w:cs="Times New Roman"/>
                      <w:b/>
                      <w:bCs w:val="0"/>
                      <w:kern w:val="2"/>
                      <w:sz w:val="21"/>
                      <w:szCs w:val="21"/>
                      <w:highlight w:val="none"/>
                      <w:vertAlign w:val="baseline"/>
                      <w:lang w:val="en-US" w:eastAsia="zh-CN" w:bidi="ar-SA"/>
                    </w:rPr>
                    <w:t>序号</w:t>
                  </w:r>
                </w:p>
              </w:tc>
              <w:tc>
                <w:tcPr>
                  <w:tcW w:w="0" w:type="auto"/>
                  <w:tcBorders>
                    <w:tl2br w:val="nil"/>
                    <w:tr2bl w:val="nil"/>
                  </w:tcBorders>
                  <w:vAlign w:val="center"/>
                </w:tcPr>
                <w:p w14:paraId="57928217">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bCs w:val="0"/>
                      <w:kern w:val="2"/>
                      <w:sz w:val="21"/>
                      <w:szCs w:val="21"/>
                      <w:highlight w:val="none"/>
                      <w:vertAlign w:val="baseline"/>
                      <w:lang w:val="en-US" w:eastAsia="zh-CN" w:bidi="ar-SA"/>
                    </w:rPr>
                  </w:pPr>
                  <w:r>
                    <w:rPr>
                      <w:rFonts w:hint="default" w:ascii="Times New Roman" w:hAnsi="Times New Roman" w:eastAsia="宋体" w:cs="Times New Roman"/>
                      <w:b/>
                      <w:bCs w:val="0"/>
                      <w:kern w:val="2"/>
                      <w:sz w:val="21"/>
                      <w:szCs w:val="21"/>
                      <w:highlight w:val="none"/>
                      <w:vertAlign w:val="baseline"/>
                      <w:lang w:val="en-US" w:eastAsia="zh-CN" w:bidi="ar-SA"/>
                    </w:rPr>
                    <w:t>物质名称</w:t>
                  </w:r>
                </w:p>
              </w:tc>
              <w:tc>
                <w:tcPr>
                  <w:tcW w:w="0" w:type="auto"/>
                  <w:tcBorders>
                    <w:tl2br w:val="nil"/>
                    <w:tr2bl w:val="nil"/>
                  </w:tcBorders>
                  <w:vAlign w:val="center"/>
                </w:tcPr>
                <w:p w14:paraId="4AED92ED">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bCs w:val="0"/>
                      <w:kern w:val="2"/>
                      <w:sz w:val="21"/>
                      <w:szCs w:val="21"/>
                      <w:highlight w:val="none"/>
                      <w:vertAlign w:val="baseline"/>
                      <w:lang w:val="en-US" w:eastAsia="zh-CN" w:bidi="ar-SA"/>
                    </w:rPr>
                  </w:pPr>
                  <w:r>
                    <w:rPr>
                      <w:rFonts w:hint="default" w:ascii="Times New Roman" w:hAnsi="Times New Roman" w:eastAsia="宋体" w:cs="Times New Roman"/>
                      <w:b/>
                      <w:bCs w:val="0"/>
                      <w:kern w:val="2"/>
                      <w:sz w:val="21"/>
                      <w:szCs w:val="21"/>
                      <w:highlight w:val="none"/>
                      <w:vertAlign w:val="baseline"/>
                      <w:lang w:val="en-US" w:eastAsia="zh-CN" w:bidi="ar-SA"/>
                    </w:rPr>
                    <w:t>理化特性</w:t>
                  </w:r>
                </w:p>
              </w:tc>
              <w:tc>
                <w:tcPr>
                  <w:tcW w:w="0" w:type="auto"/>
                  <w:tcBorders>
                    <w:tl2br w:val="nil"/>
                    <w:tr2bl w:val="nil"/>
                  </w:tcBorders>
                  <w:vAlign w:val="center"/>
                </w:tcPr>
                <w:p w14:paraId="7C118077">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bCs w:val="0"/>
                      <w:kern w:val="2"/>
                      <w:sz w:val="21"/>
                      <w:szCs w:val="21"/>
                      <w:highlight w:val="none"/>
                      <w:vertAlign w:val="baseline"/>
                      <w:lang w:val="en-US" w:eastAsia="zh-CN" w:bidi="ar-SA"/>
                    </w:rPr>
                  </w:pPr>
                  <w:r>
                    <w:rPr>
                      <w:rFonts w:hint="default" w:ascii="Times New Roman" w:hAnsi="Times New Roman" w:cs="Times New Roman"/>
                      <w:b/>
                      <w:bCs w:val="0"/>
                      <w:kern w:val="2"/>
                      <w:sz w:val="21"/>
                      <w:szCs w:val="21"/>
                      <w:highlight w:val="none"/>
                      <w:vertAlign w:val="baseline"/>
                      <w:lang w:val="en-US" w:eastAsia="zh-CN" w:bidi="ar-SA"/>
                    </w:rPr>
                    <w:t>有毒有害性</w:t>
                  </w:r>
                </w:p>
              </w:tc>
              <w:tc>
                <w:tcPr>
                  <w:tcW w:w="0" w:type="auto"/>
                  <w:tcBorders>
                    <w:tl2br w:val="nil"/>
                    <w:tr2bl w:val="nil"/>
                  </w:tcBorders>
                  <w:vAlign w:val="center"/>
                </w:tcPr>
                <w:p w14:paraId="6E89814E">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bCs w:val="0"/>
                      <w:kern w:val="2"/>
                      <w:sz w:val="21"/>
                      <w:szCs w:val="21"/>
                      <w:highlight w:val="none"/>
                      <w:vertAlign w:val="baseline"/>
                      <w:lang w:val="en-US" w:eastAsia="zh-CN" w:bidi="ar-SA"/>
                    </w:rPr>
                  </w:pPr>
                  <w:r>
                    <w:rPr>
                      <w:rFonts w:hint="default" w:ascii="Times New Roman" w:hAnsi="Times New Roman" w:cs="Times New Roman"/>
                      <w:b/>
                      <w:bCs w:val="0"/>
                      <w:kern w:val="2"/>
                      <w:sz w:val="21"/>
                      <w:szCs w:val="21"/>
                      <w:highlight w:val="none"/>
                      <w:vertAlign w:val="baseline"/>
                      <w:lang w:val="en-US" w:eastAsia="zh-CN" w:bidi="ar-SA"/>
                    </w:rPr>
                    <w:t>易燃易爆性</w:t>
                  </w:r>
                </w:p>
              </w:tc>
            </w:tr>
            <w:tr w14:paraId="6476994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0" w:type="auto"/>
                  <w:tcBorders>
                    <w:tl2br w:val="nil"/>
                    <w:tr2bl w:val="nil"/>
                  </w:tcBorders>
                  <w:vAlign w:val="center"/>
                </w:tcPr>
                <w:p w14:paraId="45B03285">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1</w:t>
                  </w:r>
                </w:p>
              </w:tc>
              <w:tc>
                <w:tcPr>
                  <w:tcW w:w="0" w:type="auto"/>
                  <w:tcBorders>
                    <w:tl2br w:val="nil"/>
                    <w:tr2bl w:val="nil"/>
                  </w:tcBorders>
                  <w:vAlign w:val="center"/>
                </w:tcPr>
                <w:p w14:paraId="16B71C9C">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水性漆</w:t>
                  </w:r>
                </w:p>
              </w:tc>
              <w:tc>
                <w:tcPr>
                  <w:tcW w:w="0" w:type="auto"/>
                  <w:tcBorders>
                    <w:tl2br w:val="nil"/>
                    <w:tr2bl w:val="nil"/>
                  </w:tcBorders>
                  <w:vAlign w:val="center"/>
                </w:tcPr>
                <w:p w14:paraId="2FA39580">
                  <w:pPr>
                    <w:widowControl w:val="0"/>
                    <w:spacing w:line="276" w:lineRule="auto"/>
                    <w:jc w:val="center"/>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液体，有刺激性气味，</w:t>
                  </w:r>
                  <w:r>
                    <w:rPr>
                      <w:rFonts w:hint="default" w:ascii="Times New Roman" w:hAnsi="Times New Roman" w:cs="Times New Roman"/>
                      <w:b w:val="0"/>
                      <w:bCs/>
                      <w:kern w:val="2"/>
                      <w:sz w:val="21"/>
                      <w:szCs w:val="21"/>
                      <w:highlight w:val="none"/>
                      <w:vertAlign w:val="baseline"/>
                      <w:lang w:val="en-US" w:eastAsia="zh-CN" w:bidi="ar-SA"/>
                    </w:rPr>
                    <w:t>pH值为8-9，</w:t>
                  </w:r>
                  <w:r>
                    <w:rPr>
                      <w:rFonts w:hint="default" w:ascii="Times New Roman" w:hAnsi="Times New Roman" w:eastAsia="宋体" w:cs="Times New Roman"/>
                      <w:b w:val="0"/>
                      <w:bCs/>
                      <w:kern w:val="2"/>
                      <w:sz w:val="21"/>
                      <w:szCs w:val="21"/>
                      <w:highlight w:val="none"/>
                      <w:vertAlign w:val="baseline"/>
                      <w:lang w:val="en-US" w:eastAsia="zh-CN" w:bidi="ar-SA"/>
                    </w:rPr>
                    <w:t>沸点为141℃，</w:t>
                  </w:r>
                  <w:r>
                    <w:rPr>
                      <w:rFonts w:hint="default" w:ascii="Times New Roman" w:hAnsi="Times New Roman" w:cs="Times New Roman"/>
                      <w:b w:val="0"/>
                      <w:bCs/>
                      <w:kern w:val="2"/>
                      <w:sz w:val="21"/>
                      <w:szCs w:val="21"/>
                      <w:highlight w:val="none"/>
                      <w:vertAlign w:val="baseline"/>
                      <w:lang w:val="en-US" w:eastAsia="zh-CN" w:bidi="ar-SA"/>
                    </w:rPr>
                    <w:t>分解温度为260-300℃，</w:t>
                  </w:r>
                  <w:r>
                    <w:rPr>
                      <w:rFonts w:hint="default" w:ascii="Times New Roman" w:hAnsi="Times New Roman" w:eastAsia="宋体" w:cs="Times New Roman"/>
                      <w:b w:val="0"/>
                      <w:bCs/>
                      <w:kern w:val="2"/>
                      <w:sz w:val="21"/>
                      <w:szCs w:val="21"/>
                      <w:highlight w:val="none"/>
                      <w:vertAlign w:val="baseline"/>
                      <w:lang w:val="en-US" w:eastAsia="zh-CN" w:bidi="ar-SA"/>
                    </w:rPr>
                    <w:t>引燃温度为438℃，爆炸上限为8.0%，下限为2.4%，</w:t>
                  </w:r>
                  <w:r>
                    <w:rPr>
                      <w:rFonts w:hint="default" w:ascii="Times New Roman" w:hAnsi="Times New Roman" w:cs="Times New Roman"/>
                      <w:b w:val="0"/>
                      <w:bCs/>
                      <w:kern w:val="2"/>
                      <w:sz w:val="21"/>
                      <w:szCs w:val="21"/>
                      <w:highlight w:val="none"/>
                      <w:vertAlign w:val="baseline"/>
                      <w:lang w:val="en-US" w:eastAsia="zh-CN" w:bidi="ar-SA"/>
                    </w:rPr>
                    <w:t>蒸气压为1.33（39.9℃），与水混溶，可溶于乙醚、乙醇，主要成分为</w:t>
                  </w:r>
                  <w:r>
                    <w:rPr>
                      <w:rFonts w:hint="default" w:ascii="Times New Roman" w:hAnsi="Times New Roman" w:cs="Times New Roman"/>
                      <w:szCs w:val="21"/>
                      <w:highlight w:val="none"/>
                    </w:rPr>
                    <w:t>羟基丙烯酸树脂</w:t>
                  </w:r>
                  <w:r>
                    <w:rPr>
                      <w:rFonts w:hint="default" w:ascii="Times New Roman" w:hAnsi="Times New Roman" w:cs="Times New Roman"/>
                      <w:szCs w:val="21"/>
                      <w:highlight w:val="none"/>
                      <w:lang w:eastAsia="zh-CN"/>
                    </w:rPr>
                    <w:t>，</w:t>
                  </w:r>
                  <w:r>
                    <w:rPr>
                      <w:rFonts w:hint="default" w:ascii="Times New Roman" w:hAnsi="Times New Roman" w:cs="Times New Roman"/>
                      <w:color w:val="000000" w:themeColor="text1"/>
                      <w:kern w:val="2"/>
                      <w:sz w:val="21"/>
                      <w:szCs w:val="21"/>
                      <w14:textFill>
                        <w14:solidFill>
                          <w14:schemeClr w14:val="tx1"/>
                        </w14:solidFill>
                      </w14:textFill>
                    </w:rPr>
                    <w:t>沸点：278.1°Cat760mmHg</w:t>
                  </w:r>
                  <w:r>
                    <w:rPr>
                      <w:rFonts w:hint="default" w:ascii="Times New Roman" w:hAnsi="Times New Roman" w:cs="Times New Roman"/>
                      <w:color w:val="000000" w:themeColor="text1"/>
                      <w:kern w:val="2"/>
                      <w:sz w:val="21"/>
                      <w:szCs w:val="21"/>
                      <w:lang w:eastAsia="zh-CN"/>
                      <w14:textFill>
                        <w14:solidFill>
                          <w14:schemeClr w14:val="tx1"/>
                        </w14:solidFill>
                      </w14:textFill>
                    </w:rPr>
                    <w:t>，</w:t>
                  </w:r>
                  <w:r>
                    <w:rPr>
                      <w:rFonts w:hint="default" w:ascii="Times New Roman" w:hAnsi="Times New Roman" w:cs="Times New Roman"/>
                      <w:color w:val="000000" w:themeColor="text1"/>
                      <w:kern w:val="2"/>
                      <w:sz w:val="21"/>
                      <w:szCs w:val="21"/>
                      <w14:textFill>
                        <w14:solidFill>
                          <w14:schemeClr w14:val="tx1"/>
                        </w14:solidFill>
                      </w14:textFill>
                    </w:rPr>
                    <w:t>闪点：136.2℃</w:t>
                  </w:r>
                  <w:r>
                    <w:rPr>
                      <w:rFonts w:hint="default" w:ascii="Times New Roman" w:hAnsi="Times New Roman" w:cs="Times New Roman"/>
                      <w:color w:val="000000" w:themeColor="text1"/>
                      <w:kern w:val="2"/>
                      <w:sz w:val="21"/>
                      <w:szCs w:val="21"/>
                      <w:lang w:eastAsia="zh-CN"/>
                      <w14:textFill>
                        <w14:solidFill>
                          <w14:schemeClr w14:val="tx1"/>
                        </w14:solidFill>
                      </w14:textFill>
                    </w:rPr>
                    <w:t>，</w:t>
                  </w:r>
                  <w:r>
                    <w:rPr>
                      <w:rFonts w:hint="default" w:ascii="Times New Roman" w:hAnsi="Times New Roman" w:cs="Times New Roman"/>
                      <w:color w:val="000000" w:themeColor="text1"/>
                      <w:kern w:val="2"/>
                      <w:sz w:val="21"/>
                      <w:szCs w:val="21"/>
                      <w14:textFill>
                        <w14:solidFill>
                          <w14:schemeClr w14:val="tx1"/>
                        </w14:solidFill>
                      </w14:textFill>
                    </w:rPr>
                    <w:t>分子量：109.99799</w:t>
                  </w:r>
                  <w:r>
                    <w:rPr>
                      <w:rFonts w:hint="default" w:ascii="Times New Roman" w:hAnsi="Times New Roman" w:cs="Times New Roman"/>
                      <w:color w:val="000000" w:themeColor="text1"/>
                      <w:kern w:val="2"/>
                      <w:sz w:val="21"/>
                      <w:szCs w:val="21"/>
                      <w:lang w:eastAsia="zh-CN"/>
                      <w14:textFill>
                        <w14:solidFill>
                          <w14:schemeClr w14:val="tx1"/>
                        </w14:solidFill>
                      </w14:textFill>
                    </w:rPr>
                    <w:t>，</w:t>
                  </w:r>
                  <w:r>
                    <w:rPr>
                      <w:rFonts w:hint="default" w:ascii="Times New Roman" w:hAnsi="Times New Roman" w:cs="Times New Roman"/>
                      <w:b w:val="0"/>
                      <w:bCs/>
                      <w:color w:val="000000" w:themeColor="text1"/>
                      <w:sz w:val="21"/>
                      <w:szCs w:val="21"/>
                      <w14:textFill>
                        <w14:solidFill>
                          <w14:schemeClr w14:val="tx1"/>
                        </w14:solidFill>
                      </w14:textFill>
                    </w:rPr>
                    <w:t>无色至淡黄色液体，固体份（%）：50±2粘度（涂-4，23±2℃）：＞20S实干时间：（180±2）℃2小时耐热性：（250±5℃）（铝板）：3h不开裂、不起泡、不脱落与溶剂的相溶性：相溶于二甲苯、丁醇、醋酸丁酯、环已酮、甲苯、二丙酮醇</w:t>
                  </w:r>
                </w:p>
              </w:tc>
              <w:tc>
                <w:tcPr>
                  <w:tcW w:w="0" w:type="auto"/>
                  <w:tcBorders>
                    <w:tl2br w:val="nil"/>
                    <w:tr2bl w:val="nil"/>
                  </w:tcBorders>
                  <w:shd w:val="clear" w:color="auto" w:fill="auto"/>
                  <w:vAlign w:val="center"/>
                </w:tcPr>
                <w:p w14:paraId="649906DD">
                  <w:pPr>
                    <w:pStyle w:val="74"/>
                    <w:keepNext w:val="0"/>
                    <w:keepLines w:val="0"/>
                    <w:pageBreakBefore w:val="0"/>
                    <w:widowControl/>
                    <w:kinsoku/>
                    <w:wordWrap/>
                    <w:overflowPunct/>
                    <w:topLinePunct w:val="0"/>
                    <w:autoSpaceDE/>
                    <w:autoSpaceDN/>
                    <w:bidi w:val="0"/>
                    <w:adjustRightInd/>
                    <w:snapToGrid/>
                    <w:spacing w:before="0" w:beforeLines="0" w:line="276" w:lineRule="auto"/>
                    <w:ind w:firstLine="0" w:firstLineChars="0"/>
                    <w:jc w:val="center"/>
                    <w:textAlignment w:val="auto"/>
                    <w:rPr>
                      <w:rFonts w:hint="default" w:ascii="Times New Roman" w:hAnsi="Times New Roman" w:cs="Times New Roman"/>
                      <w:b w:val="0"/>
                      <w:bCs/>
                      <w:kern w:val="2"/>
                      <w:sz w:val="21"/>
                      <w:szCs w:val="21"/>
                      <w:highlight w:val="none"/>
                      <w:vertAlign w:val="baseline"/>
                      <w:lang w:val="en-US" w:eastAsia="zh-CN" w:bidi="ar-SA"/>
                    </w:rPr>
                  </w:pPr>
                  <w:r>
                    <w:rPr>
                      <w:rFonts w:hint="default" w:ascii="Times New Roman" w:hAnsi="Times New Roman" w:cs="Times New Roman"/>
                      <w:b w:val="0"/>
                      <w:bCs/>
                      <w:kern w:val="2"/>
                      <w:sz w:val="21"/>
                      <w:szCs w:val="21"/>
                      <w:highlight w:val="none"/>
                      <w:vertAlign w:val="baseline"/>
                      <w:lang w:val="en-US" w:eastAsia="zh-CN" w:bidi="ar-SA"/>
                    </w:rPr>
                    <w:t>具有急毒性（吸入低浓度，没有急救效应，</w:t>
                  </w:r>
                  <w:r>
                    <w:rPr>
                      <w:rFonts w:hint="default" w:ascii="Times New Roman" w:hAnsi="Times New Roman" w:eastAsia="宋体" w:cs="Times New Roman"/>
                      <w:b w:val="0"/>
                      <w:bCs/>
                      <w:kern w:val="2"/>
                      <w:sz w:val="21"/>
                      <w:szCs w:val="21"/>
                      <w:highlight w:val="none"/>
                      <w:vertAlign w:val="baseline"/>
                      <w:lang w:val="en-US" w:eastAsia="zh-CN" w:bidi="ar-SA"/>
                    </w:rPr>
                    <w:t>吸入高浓度可能引起头痛、哑心、头晕、嗜睡、动作不协调和精神混淆、刺激神经</w:t>
                  </w:r>
                  <w:r>
                    <w:rPr>
                      <w:rFonts w:hint="default" w:ascii="Times New Roman" w:hAnsi="Times New Roman" w:cs="Times New Roman"/>
                      <w:b w:val="0"/>
                      <w:bCs/>
                      <w:kern w:val="2"/>
                      <w:sz w:val="21"/>
                      <w:szCs w:val="21"/>
                      <w:highlight w:val="none"/>
                      <w:vertAlign w:val="baseline"/>
                      <w:lang w:val="en-US" w:eastAsia="zh-CN" w:bidi="ar-SA"/>
                    </w:rPr>
                    <w:t>，浓度高于10000ppm，可能导致无意识及死亡）、慢毒性（长期或频繁接触可能造成皮肤脱脂及皮肤炎）</w:t>
                  </w:r>
                </w:p>
              </w:tc>
              <w:tc>
                <w:tcPr>
                  <w:tcW w:w="0" w:type="auto"/>
                  <w:tcBorders>
                    <w:tl2br w:val="nil"/>
                    <w:tr2bl w:val="nil"/>
                  </w:tcBorders>
                  <w:vAlign w:val="center"/>
                </w:tcPr>
                <w:p w14:paraId="3E057D17">
                  <w:pPr>
                    <w:pStyle w:val="74"/>
                    <w:keepNext w:val="0"/>
                    <w:keepLines w:val="0"/>
                    <w:pageBreakBefore w:val="0"/>
                    <w:widowControl/>
                    <w:kinsoku/>
                    <w:wordWrap/>
                    <w:overflowPunct/>
                    <w:topLinePunct w:val="0"/>
                    <w:autoSpaceDE/>
                    <w:autoSpaceDN/>
                    <w:bidi w:val="0"/>
                    <w:adjustRightInd/>
                    <w:snapToGrid/>
                    <w:spacing w:before="0" w:beforeLines="0" w:line="276" w:lineRule="auto"/>
                    <w:ind w:firstLine="0" w:firstLineChars="0"/>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cs="Times New Roman"/>
                      <w:b w:val="0"/>
                      <w:bCs/>
                      <w:kern w:val="2"/>
                      <w:sz w:val="21"/>
                      <w:szCs w:val="21"/>
                      <w:highlight w:val="none"/>
                      <w:vertAlign w:val="baseline"/>
                      <w:lang w:val="en-US" w:eastAsia="zh-CN" w:bidi="ar-SA"/>
                    </w:rPr>
                    <w:t>与氧化剂、强还原剂及氯化溶剂混合，剧烈反应，增加火灾和爆炸的危险</w:t>
                  </w:r>
                </w:p>
              </w:tc>
            </w:tr>
            <w:tr w14:paraId="32F9FA4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0" w:type="auto"/>
                  <w:tcBorders>
                    <w:tl2br w:val="nil"/>
                    <w:tr2bl w:val="nil"/>
                  </w:tcBorders>
                  <w:vAlign w:val="center"/>
                </w:tcPr>
                <w:p w14:paraId="0D2DBB03">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2</w:t>
                  </w:r>
                </w:p>
              </w:tc>
              <w:tc>
                <w:tcPr>
                  <w:tcW w:w="0" w:type="auto"/>
                  <w:tcBorders>
                    <w:tl2br w:val="nil"/>
                    <w:tr2bl w:val="nil"/>
                  </w:tcBorders>
                  <w:vAlign w:val="center"/>
                </w:tcPr>
                <w:p w14:paraId="25B924C5">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抛光蜡</w:t>
                  </w:r>
                </w:p>
              </w:tc>
              <w:tc>
                <w:tcPr>
                  <w:tcW w:w="0" w:type="auto"/>
                  <w:tcBorders>
                    <w:tl2br w:val="nil"/>
                    <w:tr2bl w:val="nil"/>
                  </w:tcBorders>
                  <w:vAlign w:val="center"/>
                </w:tcPr>
                <w:p w14:paraId="68CAF662">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膏状，</w:t>
                  </w:r>
                  <w:r>
                    <w:rPr>
                      <w:rFonts w:hint="default" w:ascii="Times New Roman" w:hAnsi="Times New Roman" w:cs="Times New Roman"/>
                      <w:b w:val="0"/>
                      <w:bCs/>
                      <w:kern w:val="2"/>
                      <w:sz w:val="21"/>
                      <w:szCs w:val="21"/>
                      <w:highlight w:val="none"/>
                      <w:vertAlign w:val="baseline"/>
                      <w:lang w:val="en-US" w:eastAsia="zh-CN" w:bidi="ar-SA"/>
                    </w:rPr>
                    <w:t>通常具有淡淡的油脂或石蜡气味，</w:t>
                  </w:r>
                  <w:r>
                    <w:rPr>
                      <w:rFonts w:hint="default" w:ascii="Times New Roman" w:hAnsi="Times New Roman" w:eastAsia="宋体" w:cs="Times New Roman"/>
                      <w:b w:val="0"/>
                      <w:bCs/>
                      <w:kern w:val="2"/>
                      <w:sz w:val="21"/>
                      <w:szCs w:val="21"/>
                      <w:highlight w:val="none"/>
                      <w:vertAlign w:val="baseline"/>
                      <w:lang w:val="en-US" w:eastAsia="zh-CN" w:bidi="ar-SA"/>
                    </w:rPr>
                    <w:t>熔点较低，</w:t>
                  </w:r>
                  <w:r>
                    <w:rPr>
                      <w:rFonts w:hint="default" w:ascii="Times New Roman" w:hAnsi="Times New Roman" w:cs="Times New Roman"/>
                      <w:b w:val="0"/>
                      <w:bCs/>
                      <w:kern w:val="2"/>
                      <w:sz w:val="21"/>
                      <w:szCs w:val="21"/>
                      <w:highlight w:val="none"/>
                      <w:vertAlign w:val="baseline"/>
                      <w:lang w:val="en-US" w:eastAsia="zh-CN" w:bidi="ar-SA"/>
                    </w:rPr>
                    <w:t>一般为50℃-90℃之间，不</w:t>
                  </w:r>
                  <w:r>
                    <w:rPr>
                      <w:rFonts w:hint="default" w:ascii="Times New Roman" w:hAnsi="Times New Roman" w:eastAsia="宋体" w:cs="Times New Roman"/>
                      <w:b w:val="0"/>
                      <w:bCs/>
                      <w:kern w:val="2"/>
                      <w:sz w:val="21"/>
                      <w:szCs w:val="21"/>
                      <w:highlight w:val="none"/>
                      <w:vertAlign w:val="baseline"/>
                      <w:lang w:val="en-US" w:eastAsia="zh-CN" w:bidi="ar-SA"/>
                    </w:rPr>
                    <w:t>溶于水</w:t>
                  </w:r>
                  <w:r>
                    <w:rPr>
                      <w:rFonts w:hint="default" w:ascii="Times New Roman" w:hAnsi="Times New Roman" w:cs="Times New Roman"/>
                      <w:b w:val="0"/>
                      <w:bCs/>
                      <w:kern w:val="2"/>
                      <w:sz w:val="21"/>
                      <w:szCs w:val="21"/>
                      <w:highlight w:val="none"/>
                      <w:vertAlign w:val="baseline"/>
                      <w:lang w:val="en-US" w:eastAsia="zh-CN" w:bidi="ar-SA"/>
                    </w:rPr>
                    <w:t>，</w:t>
                  </w:r>
                  <w:r>
                    <w:rPr>
                      <w:rFonts w:hint="default" w:ascii="Times New Roman" w:hAnsi="Times New Roman" w:eastAsia="宋体" w:cs="Times New Roman"/>
                      <w:b w:val="0"/>
                      <w:bCs/>
                      <w:kern w:val="2"/>
                      <w:sz w:val="21"/>
                      <w:szCs w:val="21"/>
                      <w:highlight w:val="none"/>
                      <w:vertAlign w:val="baseline"/>
                      <w:lang w:val="en-US" w:eastAsia="zh-CN" w:bidi="ar-SA"/>
                    </w:rPr>
                    <w:t>通常由磨料、油脂（载体）、润滑剂和添加剂等混合而成</w:t>
                  </w:r>
                </w:p>
              </w:tc>
              <w:tc>
                <w:tcPr>
                  <w:tcW w:w="0" w:type="auto"/>
                  <w:tcBorders>
                    <w:tl2br w:val="nil"/>
                    <w:tr2bl w:val="nil"/>
                  </w:tcBorders>
                  <w:vAlign w:val="center"/>
                </w:tcPr>
                <w:p w14:paraId="1FB41F5E">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cs="Times New Roman"/>
                      <w:b w:val="0"/>
                      <w:bCs/>
                      <w:kern w:val="2"/>
                      <w:sz w:val="21"/>
                      <w:szCs w:val="21"/>
                      <w:highlight w:val="none"/>
                      <w:vertAlign w:val="baseline"/>
                      <w:lang w:val="en-US" w:eastAsia="zh-CN" w:bidi="ar-SA"/>
                    </w:rPr>
                    <w:t>长期或反复接触可能去除皮肤天然油脂，意外食入可能造成胃肠道不适、恶心、呕吐，但通常非剧毒</w:t>
                  </w:r>
                </w:p>
              </w:tc>
              <w:tc>
                <w:tcPr>
                  <w:tcW w:w="0" w:type="auto"/>
                  <w:tcBorders>
                    <w:tl2br w:val="nil"/>
                    <w:tr2bl w:val="nil"/>
                  </w:tcBorders>
                  <w:vAlign w:val="center"/>
                </w:tcPr>
                <w:p w14:paraId="0988F01B">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遇明火或高温可能燃烧</w:t>
                  </w:r>
                </w:p>
              </w:tc>
            </w:tr>
            <w:tr w14:paraId="13C172E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0" w:type="auto"/>
                  <w:tcBorders>
                    <w:tl2br w:val="nil"/>
                    <w:tr2bl w:val="nil"/>
                  </w:tcBorders>
                  <w:vAlign w:val="center"/>
                </w:tcPr>
                <w:p w14:paraId="4F76B8EA">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3</w:t>
                  </w:r>
                </w:p>
              </w:tc>
              <w:tc>
                <w:tcPr>
                  <w:tcW w:w="0" w:type="auto"/>
                  <w:tcBorders>
                    <w:tl2br w:val="nil"/>
                    <w:tr2bl w:val="nil"/>
                  </w:tcBorders>
                  <w:vAlign w:val="center"/>
                </w:tcPr>
                <w:p w14:paraId="283F670B">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润滑油</w:t>
                  </w:r>
                </w:p>
              </w:tc>
              <w:tc>
                <w:tcPr>
                  <w:tcW w:w="0" w:type="auto"/>
                  <w:tcBorders>
                    <w:tl2br w:val="nil"/>
                    <w:tr2bl w:val="nil"/>
                  </w:tcBorders>
                  <w:vAlign w:val="center"/>
                </w:tcPr>
                <w:p w14:paraId="1F0B0C80">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eastAsia="宋体" w:cs="Times New Roman"/>
                      <w:b w:val="0"/>
                      <w:bCs/>
                      <w:kern w:val="2"/>
                      <w:sz w:val="21"/>
                      <w:szCs w:val="21"/>
                      <w:highlight w:val="none"/>
                      <w:vertAlign w:val="baseline"/>
                      <w:lang w:val="en-US" w:eastAsia="zh-CN" w:bidi="ar-SA"/>
                    </w:rPr>
                    <w:t>油状液体、淡黄色至褐色，无气味或略带异味液体</w:t>
                  </w:r>
                </w:p>
              </w:tc>
              <w:tc>
                <w:tcPr>
                  <w:tcW w:w="0" w:type="auto"/>
                  <w:tcBorders>
                    <w:tl2br w:val="nil"/>
                    <w:tr2bl w:val="nil"/>
                  </w:tcBorders>
                  <w:shd w:val="clear" w:color="auto" w:fill="auto"/>
                  <w:vAlign w:val="center"/>
                </w:tcPr>
                <w:p w14:paraId="1213F258">
                  <w:pPr>
                    <w:pStyle w:val="74"/>
                    <w:keepNext w:val="0"/>
                    <w:keepLines w:val="0"/>
                    <w:pageBreakBefore w:val="0"/>
                    <w:widowControl/>
                    <w:kinsoku/>
                    <w:wordWrap/>
                    <w:overflowPunct/>
                    <w:topLinePunct w:val="0"/>
                    <w:autoSpaceDE/>
                    <w:autoSpaceDN/>
                    <w:bidi w:val="0"/>
                    <w:adjustRightInd/>
                    <w:snapToGrid/>
                    <w:spacing w:before="0" w:beforeLines="0" w:line="276" w:lineRule="auto"/>
                    <w:ind w:firstLine="0" w:firstLineChars="0"/>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cs="Times New Roman"/>
                      <w:b w:val="0"/>
                      <w:bCs/>
                      <w:kern w:val="2"/>
                      <w:sz w:val="21"/>
                      <w:szCs w:val="21"/>
                      <w:highlight w:val="none"/>
                      <w:vertAlign w:val="baseline"/>
                      <w:lang w:val="en-US" w:eastAsia="zh-CN" w:bidi="ar-SA"/>
                    </w:rPr>
                    <w:t>急性吸入可出现乏力、头晕、头痛、恶心，严重者可引起油脂性肺炎，慢性接触者，暴露可发生油性痤疮和接触性皮炎，可引起神经衰弱综合征，呼吸道和眼刺激症状及慢性油脂性肺炎，润滑油</w:t>
                  </w:r>
                  <w:r>
                    <w:rPr>
                      <w:rFonts w:hint="default" w:ascii="Times New Roman" w:hAnsi="Times New Roman" w:eastAsia="宋体" w:cs="Times New Roman"/>
                      <w:b w:val="0"/>
                      <w:bCs/>
                      <w:kern w:val="2"/>
                      <w:sz w:val="21"/>
                      <w:szCs w:val="21"/>
                      <w:highlight w:val="none"/>
                      <w:vertAlign w:val="baseline"/>
                      <w:lang w:val="en-US" w:eastAsia="zh-CN" w:bidi="ar-SA"/>
                    </w:rPr>
                    <w:t>用于机械的摩擦部分，起润滑、冷却和密封作用</w:t>
                  </w:r>
                </w:p>
              </w:tc>
              <w:tc>
                <w:tcPr>
                  <w:tcW w:w="0" w:type="auto"/>
                  <w:tcBorders>
                    <w:tl2br w:val="nil"/>
                    <w:tr2bl w:val="nil"/>
                  </w:tcBorders>
                  <w:vAlign w:val="center"/>
                </w:tcPr>
                <w:p w14:paraId="0DAE911F">
                  <w:pPr>
                    <w:pStyle w:val="74"/>
                    <w:keepNext w:val="0"/>
                    <w:keepLines w:val="0"/>
                    <w:pageBreakBefore w:val="0"/>
                    <w:widowControl/>
                    <w:kinsoku/>
                    <w:wordWrap/>
                    <w:overflowPunct/>
                    <w:topLinePunct w:val="0"/>
                    <w:autoSpaceDE/>
                    <w:autoSpaceDN/>
                    <w:bidi w:val="0"/>
                    <w:adjustRightInd/>
                    <w:snapToGrid/>
                    <w:spacing w:before="0" w:beforeLines="0" w:line="276" w:lineRule="auto"/>
                    <w:jc w:val="center"/>
                    <w:textAlignment w:val="auto"/>
                    <w:rPr>
                      <w:rFonts w:hint="default" w:ascii="Times New Roman" w:hAnsi="Times New Roman" w:eastAsia="宋体" w:cs="Times New Roman"/>
                      <w:b w:val="0"/>
                      <w:bCs/>
                      <w:kern w:val="2"/>
                      <w:sz w:val="21"/>
                      <w:szCs w:val="21"/>
                      <w:highlight w:val="none"/>
                      <w:vertAlign w:val="baseline"/>
                      <w:lang w:val="en-US" w:eastAsia="zh-CN" w:bidi="ar-SA"/>
                    </w:rPr>
                  </w:pPr>
                  <w:r>
                    <w:rPr>
                      <w:rFonts w:hint="default" w:ascii="Times New Roman" w:hAnsi="Times New Roman" w:cs="Times New Roman"/>
                      <w:b w:val="0"/>
                      <w:bCs/>
                      <w:kern w:val="2"/>
                      <w:sz w:val="21"/>
                      <w:szCs w:val="21"/>
                      <w:highlight w:val="none"/>
                      <w:vertAlign w:val="baseline"/>
                      <w:lang w:val="en-US" w:eastAsia="zh-CN" w:bidi="ar-SA"/>
                    </w:rPr>
                    <w:t>遇明火、高热</w:t>
                  </w:r>
                  <w:r>
                    <w:rPr>
                      <w:rFonts w:hint="default" w:ascii="Times New Roman" w:hAnsi="Times New Roman" w:eastAsia="宋体" w:cs="Times New Roman"/>
                      <w:b w:val="0"/>
                      <w:bCs/>
                      <w:kern w:val="2"/>
                      <w:sz w:val="21"/>
                      <w:szCs w:val="21"/>
                      <w:highlight w:val="none"/>
                      <w:vertAlign w:val="baseline"/>
                      <w:lang w:val="en-US" w:eastAsia="zh-CN" w:bidi="ar-SA"/>
                    </w:rPr>
                    <w:t>可燃，</w:t>
                  </w:r>
                  <w:r>
                    <w:rPr>
                      <w:rFonts w:hint="default" w:ascii="Times New Roman" w:hAnsi="Times New Roman" w:cs="Times New Roman"/>
                      <w:b w:val="0"/>
                      <w:bCs/>
                      <w:kern w:val="2"/>
                      <w:sz w:val="21"/>
                      <w:szCs w:val="21"/>
                      <w:highlight w:val="none"/>
                      <w:vertAlign w:val="baseline"/>
                      <w:lang w:val="en-US" w:eastAsia="zh-CN" w:bidi="ar-SA"/>
                    </w:rPr>
                    <w:t>闪点76℃，</w:t>
                  </w:r>
                  <w:r>
                    <w:rPr>
                      <w:rFonts w:hint="default" w:ascii="Times New Roman" w:hAnsi="Times New Roman" w:eastAsia="宋体" w:cs="Times New Roman"/>
                      <w:b w:val="0"/>
                      <w:bCs/>
                      <w:kern w:val="2"/>
                      <w:sz w:val="21"/>
                      <w:szCs w:val="21"/>
                      <w:highlight w:val="none"/>
                      <w:vertAlign w:val="baseline"/>
                      <w:lang w:val="en-US" w:eastAsia="zh-CN" w:bidi="ar-SA"/>
                    </w:rPr>
                    <w:t>引燃温度为248℃</w:t>
                  </w:r>
                </w:p>
              </w:tc>
            </w:tr>
          </w:tbl>
          <w:p w14:paraId="129D6DD1">
            <w:pPr>
              <w:spacing w:line="360" w:lineRule="auto"/>
              <w:ind w:firstLine="482" w:firstLineChars="200"/>
              <w:jc w:val="left"/>
              <w:rPr>
                <w:rFonts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低VOCs含量涂料符合性分析</w:t>
            </w:r>
          </w:p>
          <w:p w14:paraId="57E6DB93">
            <w:pPr>
              <w:spacing w:line="360" w:lineRule="auto"/>
              <w:ind w:firstLine="480" w:firstLineChars="200"/>
              <w:jc w:val="left"/>
              <w:rPr>
                <w:rFonts w:ascii="Times New Roman" w:hAnsi="Times New Roman"/>
                <w:b/>
                <w:bCs/>
                <w:sz w:val="24"/>
                <w:szCs w:val="24"/>
                <w:highlight w:val="none"/>
              </w:rPr>
            </w:pPr>
            <w:r>
              <w:rPr>
                <w:rFonts w:hint="eastAsia" w:ascii="Times New Roman" w:hAnsi="Times New Roman"/>
                <w:sz w:val="24"/>
                <w:szCs w:val="24"/>
                <w:highlight w:val="none"/>
              </w:rPr>
              <w:t>本项目使用的涉</w:t>
            </w:r>
            <w:r>
              <w:rPr>
                <w:rFonts w:ascii="Times New Roman" w:hAnsi="Times New Roman"/>
                <w:sz w:val="24"/>
                <w:szCs w:val="24"/>
                <w:highlight w:val="none"/>
              </w:rPr>
              <w:t>VOCs</w:t>
            </w:r>
            <w:r>
              <w:rPr>
                <w:rFonts w:hint="eastAsia" w:ascii="Times New Roman" w:hAnsi="Times New Roman"/>
                <w:sz w:val="24"/>
                <w:szCs w:val="24"/>
                <w:highlight w:val="none"/>
              </w:rPr>
              <w:t>原料主要为水性底漆和水性面漆。</w:t>
            </w:r>
          </w:p>
          <w:p w14:paraId="13BCD3D5">
            <w:pPr>
              <w:spacing w:line="360" w:lineRule="auto"/>
              <w:ind w:firstLine="480" w:firstLineChars="200"/>
              <w:rPr>
                <w:rFonts w:ascii="Times New Roman" w:hAnsi="Times New Roman"/>
                <w:sz w:val="24"/>
                <w:szCs w:val="24"/>
                <w:highlight w:val="none"/>
              </w:rPr>
            </w:pPr>
            <w:r>
              <w:rPr>
                <w:rFonts w:hint="eastAsia" w:ascii="Times New Roman" w:hAnsi="Times New Roman"/>
                <w:sz w:val="24"/>
                <w:szCs w:val="24"/>
                <w:highlight w:val="none"/>
              </w:rPr>
              <w:t>项目水性底漆中挥发分含量为4</w:t>
            </w:r>
            <w:r>
              <w:rPr>
                <w:rFonts w:ascii="Times New Roman" w:hAnsi="Times New Roman"/>
                <w:sz w:val="24"/>
                <w:szCs w:val="24"/>
                <w:highlight w:val="none"/>
              </w:rPr>
              <w:t>%</w:t>
            </w:r>
            <w:r>
              <w:rPr>
                <w:rFonts w:hint="eastAsia" w:ascii="Times New Roman" w:hAnsi="Times New Roman"/>
                <w:sz w:val="24"/>
                <w:szCs w:val="24"/>
                <w:highlight w:val="none"/>
              </w:rPr>
              <w:t>，水性底漆密度为1.1</w:t>
            </w:r>
            <w:r>
              <w:rPr>
                <w:rFonts w:ascii="Times New Roman" w:hAnsi="Times New Roman"/>
                <w:sz w:val="24"/>
                <w:szCs w:val="24"/>
                <w:highlight w:val="none"/>
              </w:rPr>
              <w:t>g/cm</w:t>
            </w:r>
            <w:r>
              <w:rPr>
                <w:rFonts w:ascii="Times New Roman" w:hAnsi="Times New Roman"/>
                <w:sz w:val="24"/>
                <w:szCs w:val="24"/>
                <w:highlight w:val="none"/>
                <w:vertAlign w:val="superscript"/>
              </w:rPr>
              <w:t>3</w:t>
            </w:r>
            <w:r>
              <w:rPr>
                <w:rFonts w:hint="eastAsia" w:ascii="Times New Roman" w:hAnsi="Times New Roman"/>
                <w:sz w:val="24"/>
                <w:szCs w:val="24"/>
                <w:highlight w:val="none"/>
              </w:rPr>
              <w:t>，则水性底漆中</w:t>
            </w:r>
            <w:r>
              <w:rPr>
                <w:rFonts w:ascii="Times New Roman" w:hAnsi="Times New Roman"/>
                <w:sz w:val="24"/>
                <w:szCs w:val="24"/>
                <w:highlight w:val="none"/>
              </w:rPr>
              <w:t>VOCs</w:t>
            </w:r>
            <w:r>
              <w:rPr>
                <w:rFonts w:hint="eastAsia" w:ascii="Times New Roman" w:hAnsi="Times New Roman"/>
                <w:sz w:val="24"/>
                <w:szCs w:val="24"/>
                <w:highlight w:val="none"/>
              </w:rPr>
              <w:t>的含量为44</w:t>
            </w:r>
            <w:r>
              <w:rPr>
                <w:rFonts w:ascii="Times New Roman" w:hAnsi="Times New Roman"/>
                <w:sz w:val="24"/>
                <w:szCs w:val="24"/>
                <w:highlight w:val="none"/>
              </w:rPr>
              <w:t>g/L</w:t>
            </w:r>
            <w:r>
              <w:rPr>
                <w:rFonts w:hint="eastAsia" w:ascii="Times New Roman" w:hAnsi="Times New Roman"/>
                <w:sz w:val="24"/>
                <w:szCs w:val="24"/>
                <w:highlight w:val="none"/>
              </w:rPr>
              <w:t>；项目水性面漆中挥发分含量为4</w:t>
            </w:r>
            <w:r>
              <w:rPr>
                <w:rFonts w:ascii="Times New Roman" w:hAnsi="Times New Roman"/>
                <w:sz w:val="24"/>
                <w:szCs w:val="24"/>
                <w:highlight w:val="none"/>
              </w:rPr>
              <w:t>%</w:t>
            </w:r>
            <w:r>
              <w:rPr>
                <w:rFonts w:hint="eastAsia" w:ascii="Times New Roman" w:hAnsi="Times New Roman"/>
                <w:sz w:val="24"/>
                <w:szCs w:val="24"/>
                <w:highlight w:val="none"/>
              </w:rPr>
              <w:t>，水性面漆密度为</w:t>
            </w:r>
            <w:r>
              <w:rPr>
                <w:rFonts w:hint="eastAsia" w:ascii="Times New Roman" w:hAnsi="Times New Roman"/>
                <w:sz w:val="24"/>
                <w:szCs w:val="24"/>
                <w:highlight w:val="none"/>
                <w:lang w:val="en-US" w:eastAsia="zh-CN"/>
              </w:rPr>
              <w:t>0.95</w:t>
            </w:r>
            <w:r>
              <w:rPr>
                <w:rFonts w:ascii="Times New Roman" w:hAnsi="Times New Roman"/>
                <w:sz w:val="24"/>
                <w:szCs w:val="24"/>
                <w:highlight w:val="none"/>
              </w:rPr>
              <w:t>g/cm</w:t>
            </w:r>
            <w:r>
              <w:rPr>
                <w:rFonts w:ascii="Times New Roman" w:hAnsi="Times New Roman"/>
                <w:sz w:val="24"/>
                <w:szCs w:val="24"/>
                <w:highlight w:val="none"/>
                <w:vertAlign w:val="superscript"/>
              </w:rPr>
              <w:t>3</w:t>
            </w:r>
            <w:r>
              <w:rPr>
                <w:rFonts w:hint="eastAsia" w:ascii="Times New Roman" w:hAnsi="Times New Roman"/>
                <w:sz w:val="24"/>
                <w:szCs w:val="24"/>
                <w:highlight w:val="none"/>
              </w:rPr>
              <w:t>，则水性底漆中</w:t>
            </w:r>
            <w:r>
              <w:rPr>
                <w:rFonts w:ascii="Times New Roman" w:hAnsi="Times New Roman"/>
                <w:sz w:val="24"/>
                <w:szCs w:val="24"/>
                <w:highlight w:val="none"/>
              </w:rPr>
              <w:t>VOCs</w:t>
            </w:r>
            <w:r>
              <w:rPr>
                <w:rFonts w:hint="eastAsia" w:ascii="Times New Roman" w:hAnsi="Times New Roman"/>
                <w:sz w:val="24"/>
                <w:szCs w:val="24"/>
                <w:highlight w:val="none"/>
              </w:rPr>
              <w:t>的含量为38</w:t>
            </w:r>
            <w:r>
              <w:rPr>
                <w:rFonts w:ascii="Times New Roman" w:hAnsi="Times New Roman"/>
                <w:sz w:val="24"/>
                <w:szCs w:val="24"/>
                <w:highlight w:val="none"/>
              </w:rPr>
              <w:t>g/L</w:t>
            </w:r>
            <w:r>
              <w:rPr>
                <w:rFonts w:hint="eastAsia" w:ascii="Times New Roman" w:hAnsi="Times New Roman"/>
                <w:sz w:val="24"/>
                <w:szCs w:val="24"/>
                <w:highlight w:val="none"/>
              </w:rPr>
              <w:t>。</w:t>
            </w:r>
          </w:p>
          <w:p w14:paraId="28D71FBE">
            <w:pPr>
              <w:spacing w:line="360" w:lineRule="auto"/>
              <w:ind w:firstLine="480" w:firstLineChars="200"/>
              <w:jc w:val="left"/>
              <w:rPr>
                <w:rFonts w:ascii="Times New Roman" w:hAnsi="Times New Roman" w:eastAsia="宋体" w:cs="Times New Roman"/>
                <w:bCs/>
                <w:sz w:val="24"/>
                <w:szCs w:val="24"/>
                <w:highlight w:val="none"/>
              </w:rPr>
            </w:pPr>
            <w:r>
              <w:rPr>
                <w:rFonts w:hint="eastAsia" w:ascii="Times New Roman" w:hAnsi="Times New Roman"/>
                <w:sz w:val="24"/>
                <w:szCs w:val="24"/>
                <w:highlight w:val="none"/>
              </w:rPr>
              <w:t>水性底漆和水性面漆即用状态下</w:t>
            </w:r>
            <w:r>
              <w:rPr>
                <w:rFonts w:ascii="Times New Roman" w:hAnsi="Times New Roman"/>
                <w:sz w:val="24"/>
                <w:szCs w:val="24"/>
                <w:highlight w:val="none"/>
              </w:rPr>
              <w:t>VOCs</w:t>
            </w:r>
            <w:r>
              <w:rPr>
                <w:rFonts w:hint="eastAsia" w:ascii="Times New Roman" w:hAnsi="Times New Roman"/>
                <w:sz w:val="24"/>
                <w:szCs w:val="24"/>
                <w:highlight w:val="none"/>
              </w:rPr>
              <w:t>含量满足</w:t>
            </w:r>
            <w:r>
              <w:rPr>
                <w:rFonts w:hint="eastAsia" w:ascii="Times New Roman" w:hAnsi="Times New Roman" w:eastAsia="宋体" w:cs="Times New Roman"/>
                <w:bCs/>
                <w:sz w:val="24"/>
                <w:szCs w:val="24"/>
                <w:highlight w:val="none"/>
              </w:rPr>
              <w:t>《低挥发性有机化合物含量涂料产品技术要求》（GB/T38597-2020）表1</w:t>
            </w:r>
            <w:r>
              <w:rPr>
                <w:rFonts w:hint="eastAsia" w:ascii="Times New Roman" w:hAnsi="Times New Roman"/>
                <w:sz w:val="24"/>
                <w:szCs w:val="24"/>
                <w:highlight w:val="none"/>
              </w:rPr>
              <w:t>水性涂料中VOC含量的要求</w:t>
            </w:r>
            <w:r>
              <w:rPr>
                <w:rFonts w:hint="eastAsia" w:ascii="Times New Roman" w:hAnsi="Times New Roman" w:eastAsia="宋体" w:cs="Times New Roman"/>
                <w:bCs/>
                <w:sz w:val="24"/>
                <w:szCs w:val="24"/>
                <w:highlight w:val="none"/>
              </w:rPr>
              <w:t>“汽车原厂涂料（乘用车）”底漆限量值</w:t>
            </w:r>
            <w:r>
              <w:rPr>
                <w:rFonts w:hint="eastAsia" w:ascii="Times New Roman" w:hAnsi="Times New Roman" w:eastAsia="宋体" w:cs="Times New Roman"/>
                <w:b/>
                <w:bCs/>
                <w:sz w:val="24"/>
                <w:szCs w:val="24"/>
                <w:highlight w:val="none"/>
              </w:rPr>
              <w:t>不高于420g/L、面漆限量值不高于350g/L</w:t>
            </w:r>
            <w:r>
              <w:rPr>
                <w:rFonts w:hint="eastAsia" w:ascii="Times New Roman" w:hAnsi="Times New Roman" w:eastAsia="宋体" w:cs="Times New Roman"/>
                <w:bCs/>
                <w:sz w:val="24"/>
                <w:szCs w:val="24"/>
                <w:highlight w:val="none"/>
              </w:rPr>
              <w:t>的要求。</w:t>
            </w:r>
          </w:p>
          <w:p w14:paraId="2FC30AAC">
            <w:pPr>
              <w:spacing w:line="360" w:lineRule="auto"/>
              <w:ind w:firstLine="480" w:firstLineChars="200"/>
              <w:jc w:val="left"/>
              <w:rPr>
                <w:rFonts w:ascii="Times New Roman" w:hAnsi="Times New Roman" w:cs="Times New Roman"/>
                <w:sz w:val="24"/>
                <w:szCs w:val="24"/>
                <w:highlight w:val="none"/>
              </w:rPr>
            </w:pPr>
            <w:r>
              <w:rPr>
                <w:rFonts w:ascii="Times New Roman" w:hAnsi="Times New Roman" w:cs="Times New Roman"/>
                <w:bCs/>
                <w:sz w:val="24"/>
                <w:szCs w:val="24"/>
                <w:highlight w:val="none"/>
              </w:rPr>
              <w:t>水性底漆和水性面漆中甲苯和二甲苯含量为0%，满足</w:t>
            </w:r>
            <w:r>
              <w:rPr>
                <w:rFonts w:hint="eastAsia" w:ascii="Times New Roman" w:hAnsi="Times New Roman" w:cs="Times New Roman"/>
                <w:bCs/>
                <w:sz w:val="24"/>
                <w:szCs w:val="24"/>
                <w:highlight w:val="none"/>
              </w:rPr>
              <w:t>《涂料中有害物质限量 第2部分：工业涂料》（GB30981.2-2025）</w:t>
            </w:r>
            <w:r>
              <w:rPr>
                <w:rFonts w:ascii="Times New Roman" w:hAnsi="Times New Roman" w:cs="Times New Roman"/>
                <w:bCs/>
                <w:sz w:val="24"/>
                <w:szCs w:val="24"/>
                <w:highlight w:val="none"/>
              </w:rPr>
              <w:t>中甲苯和二甲苯总含量≤</w:t>
            </w:r>
            <w:r>
              <w:rPr>
                <w:rFonts w:hint="eastAsia" w:ascii="Times New Roman" w:hAnsi="Times New Roman" w:cs="Times New Roman"/>
                <w:bCs/>
                <w:sz w:val="24"/>
                <w:szCs w:val="24"/>
                <w:highlight w:val="none"/>
                <w:lang w:val="en-US" w:eastAsia="zh-CN"/>
              </w:rPr>
              <w:t>2</w:t>
            </w:r>
            <w:r>
              <w:rPr>
                <w:rFonts w:ascii="Times New Roman" w:hAnsi="Times New Roman" w:cs="Times New Roman"/>
                <w:bCs/>
                <w:sz w:val="24"/>
                <w:szCs w:val="24"/>
                <w:highlight w:val="none"/>
              </w:rPr>
              <w:t>0%的要求。</w:t>
            </w:r>
          </w:p>
          <w:p w14:paraId="565D3F9B">
            <w:pPr>
              <w:spacing w:line="360" w:lineRule="auto"/>
              <w:ind w:firstLine="482" w:firstLineChars="200"/>
              <w:jc w:val="left"/>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7、公用工程</w:t>
            </w:r>
          </w:p>
          <w:p w14:paraId="37FE8C54">
            <w:pPr>
              <w:spacing w:line="360" w:lineRule="auto"/>
              <w:ind w:firstLine="480" w:firstLineChars="200"/>
              <w:jc w:val="left"/>
              <w:rPr>
                <w:rFonts w:ascii="Times New Roman" w:hAnsi="Times New Roman" w:eastAsia="宋体" w:cs="Times New Roman"/>
                <w:bCs/>
                <w:sz w:val="24"/>
                <w:szCs w:val="24"/>
                <w:highlight w:val="none"/>
              </w:rPr>
            </w:pPr>
            <w:r>
              <w:rPr>
                <w:rFonts w:ascii="Times New Roman" w:hAnsi="Times New Roman" w:eastAsia="宋体" w:cs="Times New Roman"/>
                <w:bCs/>
                <w:sz w:val="24"/>
                <w:szCs w:val="24"/>
                <w:highlight w:val="none"/>
              </w:rPr>
              <w:t>（1）给水</w:t>
            </w:r>
          </w:p>
          <w:p w14:paraId="4824E784">
            <w:pPr>
              <w:spacing w:line="360" w:lineRule="auto"/>
              <w:ind w:firstLine="480" w:firstLineChars="200"/>
              <w:rPr>
                <w:rFonts w:ascii="Times New Roman" w:hAnsi="Times New Roman" w:eastAsia="宋体" w:cs="Times New Roman"/>
                <w:b/>
                <w:color w:val="0000CC"/>
                <w:sz w:val="24"/>
                <w:szCs w:val="24"/>
                <w:highlight w:val="none"/>
              </w:rPr>
            </w:pPr>
            <w:r>
              <w:rPr>
                <w:rFonts w:hint="eastAsia" w:ascii="Times New Roman" w:hAnsi="Times New Roman" w:eastAsia="宋体" w:cs="Times New Roman"/>
                <w:sz w:val="24"/>
                <w:highlight w:val="none"/>
              </w:rPr>
              <w:t>本项目</w:t>
            </w:r>
            <w:r>
              <w:rPr>
                <w:rFonts w:ascii="Times New Roman" w:hAnsi="Times New Roman" w:eastAsia="宋体" w:cs="Times New Roman"/>
                <w:sz w:val="24"/>
                <w:highlight w:val="none"/>
              </w:rPr>
              <w:t>用水</w:t>
            </w:r>
            <w:r>
              <w:rPr>
                <w:rFonts w:hint="eastAsia" w:ascii="Times New Roman" w:hAnsi="Times New Roman" w:eastAsia="宋体" w:cs="Times New Roman"/>
                <w:sz w:val="24"/>
                <w:highlight w:val="none"/>
              </w:rPr>
              <w:t>包括</w:t>
            </w:r>
            <w:r>
              <w:rPr>
                <w:rFonts w:ascii="Times New Roman" w:hAnsi="Times New Roman" w:eastAsia="宋体" w:cs="Times New Roman"/>
                <w:sz w:val="24"/>
                <w:highlight w:val="none"/>
              </w:rPr>
              <w:t>生活用水</w:t>
            </w:r>
            <w:r>
              <w:rPr>
                <w:rFonts w:hint="eastAsia" w:ascii="Times New Roman" w:hAnsi="Times New Roman" w:eastAsia="宋体" w:cs="Times New Roman"/>
                <w:sz w:val="24"/>
                <w:highlight w:val="none"/>
              </w:rPr>
              <w:t>、喷枪清洗用水</w:t>
            </w:r>
            <w:r>
              <w:rPr>
                <w:rFonts w:hint="eastAsia" w:ascii="Times New Roman" w:hAnsi="Times New Roman" w:eastAsia="宋体" w:cs="Times New Roman"/>
                <w:sz w:val="24"/>
                <w:highlight w:val="none"/>
                <w:lang w:eastAsia="zh-CN"/>
              </w:rPr>
              <w:t>、</w:t>
            </w:r>
            <w:r>
              <w:rPr>
                <w:rFonts w:hint="eastAsia" w:ascii="Times New Roman" w:hAnsi="Times New Roman" w:eastAsia="宋体" w:cs="Times New Roman"/>
                <w:sz w:val="24"/>
                <w:highlight w:val="none"/>
                <w:lang w:val="en-US" w:eastAsia="zh-CN"/>
              </w:rPr>
              <w:t>调漆用水</w:t>
            </w:r>
            <w:r>
              <w:rPr>
                <w:rFonts w:ascii="Times New Roman" w:hAnsi="Times New Roman" w:eastAsia="宋体" w:cs="Times New Roman"/>
                <w:sz w:val="24"/>
                <w:highlight w:val="none"/>
              </w:rPr>
              <w:t>和水帘除漆雾用水</w:t>
            </w:r>
            <w:r>
              <w:rPr>
                <w:rFonts w:hint="eastAsia" w:ascii="Times New Roman" w:hAnsi="Times New Roman" w:eastAsia="宋体" w:cs="Times New Roman"/>
                <w:sz w:val="24"/>
                <w:highlight w:val="none"/>
              </w:rPr>
              <w:t>，用水量约为</w:t>
            </w:r>
            <w:r>
              <w:rPr>
                <w:rFonts w:hint="eastAsia" w:ascii="Times New Roman" w:hAnsi="Times New Roman" w:eastAsia="宋体" w:cs="Times New Roman"/>
                <w:color w:val="auto"/>
                <w:sz w:val="24"/>
                <w:highlight w:val="none"/>
                <w:lang w:val="en-US" w:eastAsia="zh-CN"/>
              </w:rPr>
              <w:t>3.6532</w:t>
            </w:r>
            <w:r>
              <w:rPr>
                <w:rFonts w:ascii="Times New Roman" w:hAnsi="Times New Roman" w:eastAsia="宋体" w:cs="Times New Roman"/>
                <w:color w:val="auto"/>
                <w:sz w:val="24"/>
                <w:szCs w:val="28"/>
                <w:highlight w:val="none"/>
              </w:rPr>
              <w:t>m</w:t>
            </w:r>
            <w:r>
              <w:rPr>
                <w:rFonts w:ascii="Times New Roman" w:hAnsi="Times New Roman" w:eastAsia="宋体" w:cs="Times New Roman"/>
                <w:color w:val="auto"/>
                <w:sz w:val="24"/>
                <w:szCs w:val="28"/>
                <w:highlight w:val="none"/>
                <w:vertAlign w:val="superscript"/>
              </w:rPr>
              <w:t>3</w:t>
            </w:r>
            <w:r>
              <w:rPr>
                <w:rFonts w:ascii="Times New Roman" w:hAnsi="Times New Roman" w:eastAsia="宋体" w:cs="Times New Roman"/>
                <w:color w:val="auto"/>
                <w:sz w:val="24"/>
                <w:szCs w:val="28"/>
                <w:highlight w:val="none"/>
              </w:rPr>
              <w:t>/d</w:t>
            </w:r>
            <w:r>
              <w:rPr>
                <w:rFonts w:hint="eastAsia" w:ascii="Times New Roman" w:hAnsi="Times New Roman" w:eastAsia="宋体" w:cs="Times New Roman"/>
                <w:color w:val="auto"/>
                <w:sz w:val="24"/>
                <w:highlight w:val="none"/>
              </w:rPr>
              <w:t>（</w:t>
            </w:r>
            <w:r>
              <w:rPr>
                <w:rFonts w:hint="eastAsia" w:ascii="Times New Roman" w:hAnsi="Times New Roman" w:eastAsia="宋体" w:cs="Times New Roman"/>
                <w:bCs/>
                <w:color w:val="auto"/>
                <w:sz w:val="24"/>
                <w:szCs w:val="24"/>
                <w:highlight w:val="none"/>
                <w:lang w:val="en-US" w:eastAsia="zh-CN"/>
              </w:rPr>
              <w:t>1095.96</w:t>
            </w:r>
            <w:r>
              <w:rPr>
                <w:rFonts w:hint="eastAsia" w:ascii="Times New Roman" w:hAnsi="Times New Roman" w:eastAsia="宋体" w:cs="Times New Roman"/>
                <w:color w:val="auto"/>
                <w:sz w:val="24"/>
                <w:highlight w:val="none"/>
              </w:rPr>
              <w:t>m</w:t>
            </w:r>
            <w:r>
              <w:rPr>
                <w:rFonts w:hint="eastAsia" w:ascii="Times New Roman" w:hAnsi="Times New Roman" w:eastAsia="宋体" w:cs="Times New Roman"/>
                <w:color w:val="auto"/>
                <w:sz w:val="24"/>
                <w:highlight w:val="none"/>
                <w:vertAlign w:val="superscript"/>
              </w:rPr>
              <w:t>3</w:t>
            </w:r>
            <w:r>
              <w:rPr>
                <w:rFonts w:hint="eastAsia" w:ascii="Times New Roman" w:hAnsi="Times New Roman" w:eastAsia="宋体" w:cs="Times New Roman"/>
                <w:color w:val="auto"/>
                <w:sz w:val="24"/>
                <w:highlight w:val="none"/>
              </w:rPr>
              <w:t>/a）。项</w:t>
            </w:r>
            <w:r>
              <w:rPr>
                <w:rFonts w:hint="eastAsia" w:ascii="Times New Roman" w:hAnsi="Times New Roman" w:eastAsia="宋体" w:cs="Times New Roman"/>
                <w:sz w:val="24"/>
                <w:highlight w:val="none"/>
              </w:rPr>
              <w:t>目用水由市政供水管网供给。</w:t>
            </w:r>
          </w:p>
          <w:p w14:paraId="0D2E6DC0">
            <w:pPr>
              <w:spacing w:line="360" w:lineRule="auto"/>
              <w:ind w:firstLine="480" w:firstLineChars="200"/>
              <w:rPr>
                <w:rFonts w:hint="eastAsia" w:ascii="Times New Roman" w:hAnsi="Times New Roman" w:eastAsia="宋体" w:cs="Times New Roman"/>
                <w:sz w:val="24"/>
                <w:highlight w:val="none"/>
                <w:lang w:val="en-US" w:eastAsia="zh-CN"/>
              </w:rPr>
            </w:pPr>
            <w:r>
              <w:rPr>
                <w:rFonts w:hint="eastAsia" w:ascii="Times New Roman" w:hAnsi="Times New Roman" w:eastAsia="宋体" w:cs="Times New Roman"/>
                <w:sz w:val="24"/>
                <w:highlight w:val="none"/>
                <w:lang w:val="en-US" w:eastAsia="zh-CN"/>
              </w:rPr>
              <w:t>①生活用水</w:t>
            </w:r>
          </w:p>
          <w:p w14:paraId="76703ED8">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ascii="Times New Roman" w:hAnsi="Times New Roman" w:eastAsia="宋体" w:cs="Times New Roman"/>
                <w:color w:val="auto"/>
                <w:sz w:val="24"/>
                <w:szCs w:val="28"/>
                <w:highlight w:val="none"/>
              </w:rPr>
              <w:t>根据建设单位提供资料，本项目投入生产后劳动定员</w:t>
            </w:r>
            <w:r>
              <w:rPr>
                <w:rFonts w:hint="eastAsia" w:ascii="Times New Roman" w:hAnsi="Times New Roman" w:eastAsia="宋体" w:cs="Times New Roman"/>
                <w:color w:val="auto"/>
                <w:sz w:val="24"/>
                <w:szCs w:val="28"/>
                <w:highlight w:val="none"/>
              </w:rPr>
              <w:t>60人</w:t>
            </w:r>
            <w:r>
              <w:rPr>
                <w:rFonts w:ascii="Times New Roman" w:hAnsi="Times New Roman" w:eastAsia="宋体" w:cs="Times New Roman"/>
                <w:color w:val="auto"/>
                <w:sz w:val="24"/>
                <w:szCs w:val="28"/>
                <w:highlight w:val="none"/>
              </w:rPr>
              <w:t>。根据《安徽省行业用水定额》（</w:t>
            </w:r>
            <w:r>
              <w:rPr>
                <w:rFonts w:hint="eastAsia" w:ascii="Times New Roman" w:hAnsi="Times New Roman" w:eastAsia="宋体" w:cs="Times New Roman"/>
                <w:color w:val="auto"/>
                <w:sz w:val="24"/>
                <w:szCs w:val="28"/>
                <w:highlight w:val="none"/>
              </w:rPr>
              <w:t>G</w:t>
            </w:r>
            <w:r>
              <w:rPr>
                <w:rFonts w:ascii="Times New Roman" w:hAnsi="Times New Roman" w:eastAsia="宋体" w:cs="Times New Roman"/>
                <w:color w:val="auto"/>
                <w:sz w:val="24"/>
                <w:szCs w:val="28"/>
                <w:highlight w:val="none"/>
              </w:rPr>
              <w:t>B34/T679-</w:t>
            </w:r>
            <w:r>
              <w:rPr>
                <w:rFonts w:hint="eastAsia" w:ascii="Times New Roman" w:hAnsi="Times New Roman" w:eastAsia="宋体" w:cs="Times New Roman"/>
                <w:color w:val="auto"/>
                <w:sz w:val="24"/>
                <w:szCs w:val="28"/>
                <w:highlight w:val="none"/>
              </w:rPr>
              <w:t>2025</w:t>
            </w:r>
            <w:r>
              <w:rPr>
                <w:rFonts w:ascii="Times New Roman" w:hAnsi="Times New Roman" w:eastAsia="宋体" w:cs="Times New Roman"/>
                <w:color w:val="auto"/>
                <w:sz w:val="24"/>
                <w:szCs w:val="28"/>
                <w:highlight w:val="none"/>
              </w:rPr>
              <w:t>），</w:t>
            </w:r>
            <w:r>
              <w:rPr>
                <w:rFonts w:hint="eastAsia" w:ascii="Times New Roman" w:hAnsi="Times New Roman" w:eastAsia="宋体" w:cs="Times New Roman"/>
                <w:color w:val="auto"/>
                <w:sz w:val="24"/>
                <w:szCs w:val="28"/>
                <w:highlight w:val="none"/>
              </w:rPr>
              <w:t>办公人员生活</w:t>
            </w:r>
            <w:r>
              <w:rPr>
                <w:rFonts w:ascii="Times New Roman" w:hAnsi="Times New Roman" w:eastAsia="宋体" w:cs="Times New Roman"/>
                <w:color w:val="auto"/>
                <w:sz w:val="24"/>
                <w:szCs w:val="28"/>
                <w:highlight w:val="none"/>
              </w:rPr>
              <w:t>用水量以</w:t>
            </w:r>
            <w:r>
              <w:rPr>
                <w:rFonts w:hint="eastAsia" w:ascii="Times New Roman" w:hAnsi="Times New Roman" w:eastAsia="宋体" w:cs="Times New Roman"/>
                <w:color w:val="auto"/>
                <w:sz w:val="24"/>
                <w:szCs w:val="28"/>
                <w:highlight w:val="none"/>
                <w:lang w:val="en-US" w:eastAsia="zh-CN"/>
              </w:rPr>
              <w:t>15m</w:t>
            </w:r>
            <w:r>
              <w:rPr>
                <w:rFonts w:hint="eastAsia" w:ascii="Times New Roman" w:hAnsi="Times New Roman" w:eastAsia="宋体" w:cs="Times New Roman"/>
                <w:color w:val="auto"/>
                <w:sz w:val="24"/>
                <w:szCs w:val="28"/>
                <w:highlight w:val="none"/>
                <w:vertAlign w:val="superscript"/>
                <w:lang w:val="en-US" w:eastAsia="zh-CN"/>
              </w:rPr>
              <w:t>3</w:t>
            </w:r>
            <w:r>
              <w:rPr>
                <w:rFonts w:ascii="Times New Roman" w:hAnsi="Times New Roman" w:eastAsia="宋体" w:cs="Times New Roman"/>
                <w:color w:val="auto"/>
                <w:sz w:val="24"/>
                <w:szCs w:val="28"/>
                <w:highlight w:val="none"/>
              </w:rPr>
              <w:t>/（人·</w:t>
            </w:r>
            <w:r>
              <w:rPr>
                <w:rFonts w:hint="eastAsia" w:ascii="Times New Roman" w:hAnsi="Times New Roman" w:eastAsia="宋体" w:cs="Times New Roman"/>
                <w:color w:val="auto"/>
                <w:sz w:val="24"/>
                <w:szCs w:val="28"/>
                <w:highlight w:val="none"/>
                <w:lang w:val="en-US" w:eastAsia="zh-CN"/>
              </w:rPr>
              <w:t>a</w:t>
            </w:r>
            <w:r>
              <w:rPr>
                <w:rFonts w:ascii="Times New Roman" w:hAnsi="Times New Roman" w:eastAsia="宋体" w:cs="Times New Roman"/>
                <w:color w:val="auto"/>
                <w:sz w:val="24"/>
                <w:szCs w:val="28"/>
                <w:highlight w:val="none"/>
              </w:rPr>
              <w:t>）计，则</w:t>
            </w:r>
            <w:r>
              <w:rPr>
                <w:rFonts w:hint="eastAsia" w:ascii="Times New Roman" w:hAnsi="Times New Roman" w:eastAsia="宋体" w:cs="Times New Roman"/>
                <w:color w:val="auto"/>
                <w:sz w:val="24"/>
                <w:szCs w:val="28"/>
                <w:highlight w:val="none"/>
              </w:rPr>
              <w:t>项目日</w:t>
            </w:r>
            <w:r>
              <w:rPr>
                <w:rFonts w:ascii="Times New Roman" w:hAnsi="Times New Roman" w:eastAsia="宋体" w:cs="Times New Roman"/>
                <w:color w:val="auto"/>
                <w:sz w:val="24"/>
                <w:szCs w:val="28"/>
                <w:highlight w:val="none"/>
              </w:rPr>
              <w:t>用水量为</w:t>
            </w:r>
            <w:r>
              <w:rPr>
                <w:rFonts w:hint="eastAsia" w:ascii="Times New Roman" w:hAnsi="Times New Roman" w:eastAsia="宋体" w:cs="Times New Roman"/>
                <w:color w:val="auto"/>
                <w:sz w:val="24"/>
                <w:szCs w:val="28"/>
                <w:highlight w:val="none"/>
                <w:lang w:val="en-US" w:eastAsia="zh-CN"/>
              </w:rPr>
              <w:t>3.0</w:t>
            </w:r>
            <w:r>
              <w:rPr>
                <w:rFonts w:ascii="Times New Roman" w:hAnsi="Times New Roman" w:eastAsia="宋体" w:cs="Times New Roman"/>
                <w:color w:val="auto"/>
                <w:sz w:val="24"/>
                <w:szCs w:val="28"/>
                <w:highlight w:val="none"/>
              </w:rPr>
              <w:t>m</w:t>
            </w:r>
            <w:r>
              <w:rPr>
                <w:rFonts w:ascii="Times New Roman" w:hAnsi="Times New Roman" w:eastAsia="宋体" w:cs="Times New Roman"/>
                <w:color w:val="auto"/>
                <w:sz w:val="24"/>
                <w:szCs w:val="28"/>
                <w:highlight w:val="none"/>
                <w:vertAlign w:val="superscript"/>
              </w:rPr>
              <w:t>3</w:t>
            </w:r>
            <w:r>
              <w:rPr>
                <w:rFonts w:ascii="Times New Roman" w:hAnsi="Times New Roman" w:eastAsia="宋体" w:cs="Times New Roman"/>
                <w:color w:val="auto"/>
                <w:sz w:val="24"/>
                <w:szCs w:val="28"/>
                <w:highlight w:val="none"/>
              </w:rPr>
              <w:t>/d，合计年用水量为</w:t>
            </w:r>
            <w:r>
              <w:rPr>
                <w:rFonts w:hint="eastAsia" w:ascii="Times New Roman" w:hAnsi="Times New Roman" w:eastAsia="宋体" w:cs="Times New Roman"/>
                <w:color w:val="auto"/>
                <w:sz w:val="24"/>
                <w:szCs w:val="28"/>
                <w:highlight w:val="none"/>
                <w:lang w:val="en-US" w:eastAsia="zh-CN"/>
              </w:rPr>
              <w:t>900</w:t>
            </w:r>
            <w:r>
              <w:rPr>
                <w:rFonts w:ascii="Times New Roman" w:hAnsi="Times New Roman" w:eastAsia="宋体" w:cs="Times New Roman"/>
                <w:color w:val="auto"/>
                <w:sz w:val="24"/>
                <w:szCs w:val="28"/>
                <w:highlight w:val="none"/>
              </w:rPr>
              <w:t>m</w:t>
            </w:r>
            <w:r>
              <w:rPr>
                <w:rFonts w:ascii="Times New Roman" w:hAnsi="Times New Roman" w:eastAsia="宋体" w:cs="Times New Roman"/>
                <w:color w:val="auto"/>
                <w:sz w:val="24"/>
                <w:szCs w:val="28"/>
                <w:highlight w:val="none"/>
                <w:vertAlign w:val="superscript"/>
              </w:rPr>
              <w:t>3</w:t>
            </w:r>
            <w:r>
              <w:rPr>
                <w:rFonts w:ascii="Times New Roman" w:hAnsi="Times New Roman" w:eastAsia="宋体" w:cs="Times New Roman"/>
                <w:color w:val="auto"/>
                <w:sz w:val="24"/>
                <w:szCs w:val="28"/>
                <w:highlight w:val="none"/>
              </w:rPr>
              <w:t>/a。</w:t>
            </w:r>
            <w:r>
              <w:rPr>
                <w:rFonts w:hint="eastAsia" w:ascii="Times New Roman" w:hAnsi="Times New Roman" w:eastAsia="宋体" w:cs="Times New Roman"/>
                <w:color w:val="auto"/>
                <w:sz w:val="24"/>
                <w:szCs w:val="28"/>
                <w:highlight w:val="none"/>
                <w:lang w:val="en-US" w:eastAsia="zh-CN"/>
              </w:rPr>
              <w:t>项目用水由市政管网供给。</w:t>
            </w:r>
          </w:p>
          <w:p w14:paraId="4BCAC1BB">
            <w:pPr>
              <w:spacing w:line="360" w:lineRule="auto"/>
              <w:ind w:firstLine="480" w:firstLineChars="200"/>
              <w:rPr>
                <w:rFonts w:hint="eastAsia" w:ascii="Times New Roman" w:hAnsi="Times New Roman" w:eastAsia="宋体" w:cs="Times New Roman"/>
                <w:color w:val="auto"/>
                <w:sz w:val="24"/>
                <w:szCs w:val="28"/>
                <w:highlight w:val="none"/>
                <w:lang w:val="en-US" w:eastAsia="zh-CN"/>
              </w:rPr>
            </w:pPr>
            <w:r>
              <w:rPr>
                <w:rFonts w:hint="eastAsia" w:ascii="Times New Roman" w:hAnsi="Times New Roman" w:eastAsia="宋体" w:cs="Times New Roman"/>
                <w:color w:val="auto"/>
                <w:sz w:val="24"/>
                <w:szCs w:val="28"/>
                <w:highlight w:val="none"/>
                <w:lang w:val="en-US" w:eastAsia="zh-CN"/>
              </w:rPr>
              <w:t>②喷枪清洗用水</w:t>
            </w:r>
          </w:p>
          <w:p w14:paraId="5B4205B2">
            <w:pPr>
              <w:spacing w:line="360" w:lineRule="auto"/>
              <w:ind w:firstLine="480" w:firstLineChars="200"/>
              <w:rPr>
                <w:rFonts w:hint="eastAsia" w:ascii="Times New Roman" w:hAnsi="Times New Roman" w:eastAsia="宋体" w:cs="Times New Roman"/>
                <w:color w:val="auto"/>
                <w:sz w:val="24"/>
                <w:szCs w:val="28"/>
                <w:highlight w:val="none"/>
                <w:lang w:val="en-US" w:eastAsia="zh-CN"/>
              </w:rPr>
            </w:pPr>
            <w:r>
              <w:rPr>
                <w:rFonts w:hint="eastAsia" w:ascii="Times New Roman" w:hAnsi="Times New Roman" w:eastAsia="宋体" w:cs="Times New Roman"/>
                <w:color w:val="auto"/>
                <w:sz w:val="24"/>
                <w:szCs w:val="28"/>
                <w:highlight w:val="none"/>
                <w:lang w:val="en-US" w:eastAsia="zh-CN"/>
              </w:rPr>
              <w:t>根据建设单位提供资料，项目喷枪每天喷涂作业后需要使用新鲜水清洗，清洗水量约0.008m</w:t>
            </w:r>
            <w:r>
              <w:rPr>
                <w:rFonts w:hint="eastAsia" w:ascii="Times New Roman" w:hAnsi="Times New Roman" w:eastAsia="宋体" w:cs="Times New Roman"/>
                <w:color w:val="auto"/>
                <w:sz w:val="24"/>
                <w:szCs w:val="28"/>
                <w:highlight w:val="none"/>
                <w:vertAlign w:val="superscript"/>
                <w:lang w:val="en-US" w:eastAsia="zh-CN"/>
              </w:rPr>
              <w:t>3</w:t>
            </w:r>
            <w:r>
              <w:rPr>
                <w:rFonts w:hint="eastAsia" w:ascii="Times New Roman" w:hAnsi="Times New Roman" w:eastAsia="宋体" w:cs="Times New Roman"/>
                <w:color w:val="auto"/>
                <w:sz w:val="24"/>
                <w:szCs w:val="28"/>
                <w:highlight w:val="none"/>
                <w:lang w:val="en-US" w:eastAsia="zh-CN"/>
              </w:rPr>
              <w:t>/d，喷枪清洗用水经收集后作为调漆用水。</w:t>
            </w:r>
          </w:p>
          <w:p w14:paraId="3A5895F0">
            <w:pPr>
              <w:spacing w:line="360" w:lineRule="auto"/>
              <w:ind w:firstLine="480" w:firstLineChars="200"/>
              <w:rPr>
                <w:rFonts w:hint="eastAsia" w:ascii="Times New Roman" w:hAnsi="Times New Roman" w:eastAsia="宋体" w:cs="Times New Roman"/>
                <w:color w:val="auto"/>
                <w:sz w:val="24"/>
                <w:szCs w:val="28"/>
                <w:highlight w:val="none"/>
                <w:lang w:val="en-US" w:eastAsia="zh-CN"/>
              </w:rPr>
            </w:pPr>
            <w:r>
              <w:rPr>
                <w:rFonts w:hint="eastAsia" w:ascii="Times New Roman" w:hAnsi="Times New Roman" w:eastAsia="宋体" w:cs="Times New Roman"/>
                <w:color w:val="auto"/>
                <w:sz w:val="24"/>
                <w:szCs w:val="28"/>
                <w:highlight w:val="none"/>
                <w:lang w:val="en-US" w:eastAsia="zh-CN"/>
              </w:rPr>
              <w:t>③调漆用水</w:t>
            </w:r>
          </w:p>
          <w:p w14:paraId="65F32465">
            <w:pPr>
              <w:spacing w:line="360" w:lineRule="auto"/>
              <w:ind w:firstLine="480" w:firstLineChars="200"/>
              <w:rPr>
                <w:rFonts w:hint="eastAsia"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szCs w:val="28"/>
                <w:highlight w:val="none"/>
              </w:rPr>
              <w:t>根据建设单位提供资料，项目水性底漆和水性面漆使用前需要加水进行配比，配比比例为5:1，项目水性底漆和水性面漆用量</w:t>
            </w:r>
            <w:r>
              <w:rPr>
                <w:rFonts w:hint="eastAsia" w:ascii="Times New Roman" w:hAnsi="Times New Roman" w:eastAsia="宋体" w:cs="Times New Roman"/>
                <w:color w:val="auto"/>
                <w:sz w:val="24"/>
                <w:szCs w:val="28"/>
                <w:highlight w:val="none"/>
                <w:lang w:val="en-US" w:eastAsia="zh-CN"/>
              </w:rPr>
              <w:t>约</w:t>
            </w:r>
            <w:r>
              <w:rPr>
                <w:rFonts w:hint="eastAsia" w:ascii="Times New Roman" w:hAnsi="Times New Roman" w:eastAsia="宋体" w:cs="Times New Roman"/>
                <w:color w:val="auto"/>
                <w:sz w:val="24"/>
                <w:szCs w:val="28"/>
                <w:highlight w:val="none"/>
              </w:rPr>
              <w:t>为5</w:t>
            </w:r>
            <w:r>
              <w:rPr>
                <w:rFonts w:hint="eastAsia" w:ascii="Times New Roman" w:hAnsi="Times New Roman" w:eastAsia="宋体" w:cs="Times New Roman"/>
                <w:color w:val="auto"/>
                <w:sz w:val="24"/>
                <w:szCs w:val="28"/>
                <w:highlight w:val="none"/>
                <w:lang w:val="en-US" w:eastAsia="zh-CN"/>
              </w:rPr>
              <w:t>4.3</w:t>
            </w:r>
            <w:r>
              <w:rPr>
                <w:rFonts w:hint="eastAsia" w:ascii="Times New Roman" w:hAnsi="Times New Roman" w:eastAsia="宋体" w:cs="Times New Roman"/>
                <w:color w:val="auto"/>
                <w:sz w:val="24"/>
                <w:szCs w:val="28"/>
                <w:highlight w:val="none"/>
              </w:rPr>
              <w:t>t/a，则</w:t>
            </w:r>
            <w:r>
              <w:rPr>
                <w:rFonts w:hint="eastAsia" w:ascii="Times New Roman" w:hAnsi="Times New Roman" w:eastAsia="宋体" w:cs="Times New Roman"/>
                <w:color w:val="auto"/>
                <w:sz w:val="24"/>
                <w:szCs w:val="28"/>
                <w:highlight w:val="none"/>
                <w:lang w:val="en-US" w:eastAsia="zh-CN"/>
              </w:rPr>
              <w:t>调漆用水</w:t>
            </w:r>
            <w:r>
              <w:rPr>
                <w:rFonts w:hint="eastAsia" w:ascii="Times New Roman" w:hAnsi="Times New Roman" w:eastAsia="宋体" w:cs="Times New Roman"/>
                <w:color w:val="auto"/>
                <w:sz w:val="24"/>
                <w:szCs w:val="28"/>
                <w:highlight w:val="none"/>
              </w:rPr>
              <w:t>量约为10.</w:t>
            </w:r>
            <w:r>
              <w:rPr>
                <w:rFonts w:hint="eastAsia" w:ascii="Times New Roman" w:hAnsi="Times New Roman" w:eastAsia="宋体" w:cs="Times New Roman"/>
                <w:color w:val="auto"/>
                <w:sz w:val="24"/>
                <w:szCs w:val="28"/>
                <w:highlight w:val="none"/>
                <w:lang w:val="en-US" w:eastAsia="zh-CN"/>
              </w:rPr>
              <w:t>86</w:t>
            </w:r>
            <w:r>
              <w:rPr>
                <w:rFonts w:hint="eastAsia" w:ascii="Times New Roman" w:hAnsi="Times New Roman" w:eastAsia="宋体" w:cs="Times New Roman"/>
                <w:color w:val="auto"/>
                <w:sz w:val="24"/>
                <w:szCs w:val="28"/>
                <w:highlight w:val="none"/>
              </w:rPr>
              <w:t>m</w:t>
            </w:r>
            <w:r>
              <w:rPr>
                <w:rFonts w:hint="eastAsia" w:ascii="Times New Roman" w:hAnsi="Times New Roman" w:eastAsia="宋体" w:cs="Times New Roman"/>
                <w:color w:val="auto"/>
                <w:sz w:val="24"/>
                <w:szCs w:val="28"/>
                <w:highlight w:val="none"/>
                <w:vertAlign w:val="superscript"/>
              </w:rPr>
              <w:t>3</w:t>
            </w:r>
            <w:r>
              <w:rPr>
                <w:rFonts w:hint="eastAsia" w:ascii="Times New Roman" w:hAnsi="Times New Roman" w:eastAsia="宋体" w:cs="Times New Roman"/>
                <w:color w:val="auto"/>
                <w:sz w:val="24"/>
                <w:szCs w:val="28"/>
                <w:highlight w:val="none"/>
              </w:rPr>
              <w:t>/a，</w:t>
            </w:r>
            <w:r>
              <w:rPr>
                <w:rFonts w:hint="eastAsia" w:ascii="Times New Roman" w:hAnsi="Times New Roman" w:eastAsia="宋体" w:cs="Times New Roman"/>
                <w:color w:val="auto"/>
                <w:sz w:val="24"/>
                <w:szCs w:val="28"/>
                <w:highlight w:val="none"/>
                <w:lang w:val="en-US" w:eastAsia="zh-CN"/>
              </w:rPr>
              <w:t>新鲜水用水量约为8.46</w:t>
            </w:r>
            <w:r>
              <w:rPr>
                <w:rFonts w:hint="eastAsia" w:ascii="Times New Roman" w:hAnsi="Times New Roman" w:eastAsia="宋体" w:cs="Times New Roman"/>
                <w:color w:val="auto"/>
                <w:sz w:val="24"/>
                <w:szCs w:val="28"/>
                <w:highlight w:val="none"/>
              </w:rPr>
              <w:t>m</w:t>
            </w:r>
            <w:r>
              <w:rPr>
                <w:rFonts w:hint="eastAsia" w:ascii="Times New Roman" w:hAnsi="Times New Roman" w:eastAsia="宋体" w:cs="Times New Roman"/>
                <w:color w:val="auto"/>
                <w:sz w:val="24"/>
                <w:szCs w:val="28"/>
                <w:highlight w:val="none"/>
                <w:vertAlign w:val="superscript"/>
              </w:rPr>
              <w:t>3</w:t>
            </w:r>
            <w:r>
              <w:rPr>
                <w:rFonts w:hint="eastAsia" w:ascii="Times New Roman" w:hAnsi="Times New Roman" w:eastAsia="宋体" w:cs="Times New Roman"/>
                <w:color w:val="auto"/>
                <w:sz w:val="24"/>
                <w:szCs w:val="28"/>
                <w:highlight w:val="none"/>
              </w:rPr>
              <w:t>/a</w:t>
            </w:r>
            <w:r>
              <w:rPr>
                <w:rFonts w:hint="eastAsia" w:ascii="Times New Roman" w:hAnsi="Times New Roman" w:eastAsia="宋体" w:cs="Times New Roman"/>
                <w:color w:val="auto"/>
                <w:sz w:val="24"/>
                <w:szCs w:val="28"/>
                <w:highlight w:val="none"/>
                <w:lang w:eastAsia="zh-CN"/>
              </w:rPr>
              <w:t>，</w:t>
            </w:r>
            <w:r>
              <w:rPr>
                <w:rFonts w:hint="eastAsia" w:ascii="Times New Roman" w:hAnsi="Times New Roman" w:eastAsia="宋体" w:cs="Times New Roman"/>
                <w:color w:val="auto"/>
                <w:sz w:val="24"/>
                <w:szCs w:val="28"/>
                <w:highlight w:val="none"/>
              </w:rPr>
              <w:t>调漆用水在烘干过程中损耗。</w:t>
            </w:r>
          </w:p>
          <w:p w14:paraId="0AB94BA7">
            <w:pPr>
              <w:spacing w:line="360" w:lineRule="auto"/>
              <w:ind w:firstLine="480" w:firstLineChars="200"/>
              <w:rPr>
                <w:rFonts w:hint="eastAsia"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④水帘除漆雾用水</w:t>
            </w:r>
          </w:p>
          <w:p w14:paraId="75BFA2FB">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根据设计单位提供的资料，项目喷漆房漆雾颗粒先采用水帘装置进行处理，建设单位向水帘循环水池中投加絮凝剂，定期对水帘循环水池中的漆渣进行清理，循环水池中的喷漆废水循环使用量为1.2m</w:t>
            </w:r>
            <w:r>
              <w:rPr>
                <w:rFonts w:hint="default" w:ascii="Times New Roman" w:hAnsi="Times New Roman" w:eastAsia="宋体" w:cs="Times New Roman"/>
                <w:color w:val="auto"/>
                <w:sz w:val="24"/>
                <w:highlight w:val="none"/>
                <w:vertAlign w:val="superscript"/>
                <w:lang w:val="en-US" w:eastAsia="zh-CN"/>
              </w:rPr>
              <w:t>3</w:t>
            </w:r>
            <w:r>
              <w:rPr>
                <w:rFonts w:hint="default" w:ascii="Times New Roman" w:hAnsi="Times New Roman" w:eastAsia="宋体" w:cs="Times New Roman"/>
                <w:color w:val="auto"/>
                <w:sz w:val="24"/>
                <w:highlight w:val="none"/>
                <w:lang w:val="en-US" w:eastAsia="zh-CN"/>
              </w:rPr>
              <w:t>/h，（喷漆废水循环水池容积为2.0m</w:t>
            </w:r>
            <w:r>
              <w:rPr>
                <w:rFonts w:hint="default" w:ascii="Times New Roman" w:hAnsi="Times New Roman" w:eastAsia="宋体" w:cs="Times New Roman"/>
                <w:color w:val="auto"/>
                <w:sz w:val="24"/>
                <w:highlight w:val="none"/>
                <w:vertAlign w:val="superscript"/>
                <w:lang w:val="en-US" w:eastAsia="zh-CN"/>
              </w:rPr>
              <w:t>3</w:t>
            </w:r>
            <w:r>
              <w:rPr>
                <w:rFonts w:hint="default" w:ascii="Times New Roman" w:hAnsi="Times New Roman" w:eastAsia="宋体" w:cs="Times New Roman"/>
                <w:color w:val="auto"/>
                <w:sz w:val="24"/>
                <w:highlight w:val="none"/>
                <w:lang w:val="en-US" w:eastAsia="zh-CN"/>
              </w:rPr>
              <w:t>），该部分水有2%损失，则损耗水量为0.0</w:t>
            </w:r>
            <w:r>
              <w:rPr>
                <w:rFonts w:hint="eastAsia" w:ascii="Times New Roman" w:hAnsi="Times New Roman" w:eastAsia="宋体" w:cs="Times New Roman"/>
                <w:color w:val="auto"/>
                <w:sz w:val="24"/>
                <w:highlight w:val="none"/>
                <w:lang w:val="en-US" w:eastAsia="zh-CN"/>
              </w:rPr>
              <w:t>72</w:t>
            </w: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vertAlign w:val="superscript"/>
                <w:lang w:val="en-US" w:eastAsia="zh-CN"/>
              </w:rPr>
              <w:t>3</w:t>
            </w:r>
            <w:r>
              <w:rPr>
                <w:rFonts w:hint="default" w:ascii="Times New Roman" w:hAnsi="Times New Roman" w:eastAsia="宋体" w:cs="Times New Roman"/>
                <w:color w:val="auto"/>
                <w:sz w:val="24"/>
                <w:highlight w:val="none"/>
                <w:lang w:val="en-US" w:eastAsia="zh-CN"/>
              </w:rPr>
              <w:t>/h，喷漆系统每天按运行8h计算，则每天损耗量为0.</w:t>
            </w:r>
            <w:r>
              <w:rPr>
                <w:rFonts w:hint="eastAsia" w:ascii="Times New Roman" w:hAnsi="Times New Roman" w:eastAsia="宋体" w:cs="Times New Roman"/>
                <w:color w:val="auto"/>
                <w:sz w:val="24"/>
                <w:highlight w:val="none"/>
                <w:lang w:val="en-US" w:eastAsia="zh-CN"/>
              </w:rPr>
              <w:t>576</w:t>
            </w: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vertAlign w:val="superscript"/>
                <w:lang w:val="en-US" w:eastAsia="zh-CN"/>
              </w:rPr>
              <w:t>3</w:t>
            </w:r>
            <w:r>
              <w:rPr>
                <w:rFonts w:hint="default" w:ascii="Times New Roman" w:hAnsi="Times New Roman" w:eastAsia="宋体" w:cs="Times New Roman"/>
                <w:color w:val="auto"/>
                <w:sz w:val="24"/>
                <w:highlight w:val="none"/>
                <w:lang w:val="en-US" w:eastAsia="zh-CN"/>
              </w:rPr>
              <w:t>，年损耗量为</w:t>
            </w:r>
            <w:r>
              <w:rPr>
                <w:rFonts w:hint="eastAsia" w:ascii="Times New Roman" w:hAnsi="Times New Roman" w:eastAsia="宋体" w:cs="Times New Roman"/>
                <w:color w:val="auto"/>
                <w:sz w:val="24"/>
                <w:highlight w:val="none"/>
                <w:lang w:val="en-US" w:eastAsia="zh-CN"/>
              </w:rPr>
              <w:t>172.8</w:t>
            </w: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vertAlign w:val="superscript"/>
                <w:lang w:val="en-US" w:eastAsia="zh-CN"/>
              </w:rPr>
              <w:t>3</w:t>
            </w:r>
            <w:r>
              <w:rPr>
                <w:rFonts w:hint="default" w:ascii="Times New Roman" w:hAnsi="Times New Roman" w:eastAsia="宋体" w:cs="Times New Roman"/>
                <w:color w:val="auto"/>
                <w:sz w:val="24"/>
                <w:highlight w:val="none"/>
                <w:lang w:val="en-US" w:eastAsia="zh-CN"/>
              </w:rPr>
              <w:t>。水帘除漆雾用水使用新鲜水量为</w:t>
            </w:r>
            <w:r>
              <w:rPr>
                <w:rFonts w:hint="eastAsia" w:ascii="Times New Roman" w:hAnsi="Times New Roman" w:eastAsia="宋体" w:cs="Times New Roman"/>
                <w:color w:val="auto"/>
                <w:sz w:val="24"/>
                <w:highlight w:val="none"/>
                <w:lang w:val="en-US" w:eastAsia="zh-CN"/>
              </w:rPr>
              <w:t>172.8</w:t>
            </w: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vertAlign w:val="superscript"/>
                <w:lang w:val="en-US" w:eastAsia="zh-CN"/>
              </w:rPr>
              <w:t>3</w:t>
            </w:r>
            <w:r>
              <w:rPr>
                <w:rFonts w:hint="default" w:ascii="Times New Roman" w:hAnsi="Times New Roman" w:eastAsia="宋体" w:cs="Times New Roman"/>
                <w:color w:val="auto"/>
                <w:sz w:val="24"/>
                <w:highlight w:val="none"/>
                <w:lang w:val="en-US" w:eastAsia="zh-CN"/>
              </w:rPr>
              <w:t>/a。针对水帘除雾装置循环系统用水，企业拟每</w:t>
            </w:r>
            <w:r>
              <w:rPr>
                <w:rFonts w:hint="eastAsia" w:ascii="Times New Roman" w:hAnsi="Times New Roman" w:eastAsia="宋体" w:cs="Times New Roman"/>
                <w:color w:val="auto"/>
                <w:sz w:val="24"/>
                <w:highlight w:val="none"/>
                <w:lang w:val="en-US" w:eastAsia="zh-CN"/>
              </w:rPr>
              <w:t>半年</w:t>
            </w:r>
            <w:r>
              <w:rPr>
                <w:rFonts w:hint="default" w:ascii="Times New Roman" w:hAnsi="Times New Roman" w:eastAsia="宋体" w:cs="Times New Roman"/>
                <w:color w:val="auto"/>
                <w:sz w:val="24"/>
                <w:highlight w:val="none"/>
                <w:lang w:val="en-US" w:eastAsia="zh-CN"/>
              </w:rPr>
              <w:t>1次对其水池废水进行彻底清排更换，每次更换量</w:t>
            </w:r>
            <w:r>
              <w:rPr>
                <w:rFonts w:hint="eastAsia"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vertAlign w:val="superscript"/>
                <w:lang w:val="en-US" w:eastAsia="zh-CN"/>
              </w:rPr>
              <w:t>3</w:t>
            </w:r>
            <w:r>
              <w:rPr>
                <w:rFonts w:hint="default" w:ascii="Times New Roman" w:hAnsi="Times New Roman" w:eastAsia="宋体" w:cs="Times New Roman"/>
                <w:color w:val="auto"/>
                <w:sz w:val="24"/>
                <w:highlight w:val="none"/>
                <w:lang w:val="en-US" w:eastAsia="zh-CN"/>
              </w:rPr>
              <w:t>，废水产生量为</w:t>
            </w:r>
            <w:r>
              <w:rPr>
                <w:rFonts w:hint="eastAsia" w:ascii="Times New Roman" w:hAnsi="Times New Roman" w:eastAsia="宋体" w:cs="Times New Roman"/>
                <w:color w:val="auto"/>
                <w:sz w:val="24"/>
                <w:highlight w:val="none"/>
                <w:lang w:val="en-US" w:eastAsia="zh-CN"/>
              </w:rPr>
              <w:t>12</w:t>
            </w: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vertAlign w:val="superscript"/>
                <w:lang w:val="en-US" w:eastAsia="zh-CN"/>
              </w:rPr>
              <w:t>3</w:t>
            </w:r>
            <w:r>
              <w:rPr>
                <w:rFonts w:hint="default" w:ascii="Times New Roman" w:hAnsi="Times New Roman" w:eastAsia="宋体" w:cs="Times New Roman"/>
                <w:color w:val="auto"/>
                <w:sz w:val="24"/>
                <w:highlight w:val="none"/>
                <w:lang w:val="en-US" w:eastAsia="zh-CN"/>
              </w:rPr>
              <w:t>/a，更换下来的废水作为废液委托有资质单位进行处理，此外，企业定期对水帘循环水池的沉淀漆渣进行清理，清理出的漆渣作为危废处理。</w:t>
            </w:r>
          </w:p>
          <w:p w14:paraId="60277E8D">
            <w:pPr>
              <w:spacing w:line="360" w:lineRule="auto"/>
              <w:ind w:firstLine="480" w:firstLineChars="200"/>
              <w:rPr>
                <w:rFonts w:hint="eastAsia"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⑤打磨用水</w:t>
            </w:r>
          </w:p>
          <w:p w14:paraId="5E217A98">
            <w:pPr>
              <w:spacing w:line="360" w:lineRule="auto"/>
              <w:ind w:firstLine="480" w:firstLineChars="200"/>
              <w:rPr>
                <w:rFonts w:hint="default" w:ascii="Times New Roman" w:hAnsi="Times New Roman" w:cs="Times New Roman" w:eastAsiaTheme="minorEastAsia"/>
                <w:color w:val="auto"/>
                <w:sz w:val="24"/>
                <w:highlight w:val="none"/>
                <w:lang w:val="en-US" w:eastAsia="zh-CN"/>
              </w:rPr>
            </w:pPr>
            <w:r>
              <w:rPr>
                <w:rFonts w:hint="eastAsia" w:ascii="Times New Roman" w:hAnsi="Times New Roman" w:eastAsia="宋体" w:cs="Times New Roman"/>
                <w:color w:val="auto"/>
                <w:sz w:val="24"/>
                <w:szCs w:val="28"/>
                <w:highlight w:val="none"/>
              </w:rPr>
              <w:t>根据建设单位提供资料，</w:t>
            </w:r>
            <w:r>
              <w:rPr>
                <w:rFonts w:hint="eastAsia" w:ascii="Times New Roman" w:hAnsi="Times New Roman" w:cs="Times New Roman"/>
                <w:color w:val="auto"/>
                <w:sz w:val="24"/>
                <w:szCs w:val="28"/>
                <w:highlight w:val="none"/>
              </w:rPr>
              <w:t>待喷涂的汽车零部件半成品需经人工采用磨砂纸</w:t>
            </w:r>
            <w:r>
              <w:rPr>
                <w:rFonts w:hint="eastAsia" w:ascii="Times New Roman" w:hAnsi="Times New Roman" w:cs="Times New Roman"/>
                <w:color w:val="auto"/>
                <w:sz w:val="24"/>
                <w:szCs w:val="28"/>
                <w:highlight w:val="none"/>
                <w:lang w:val="en-US" w:eastAsia="zh-CN"/>
              </w:rPr>
              <w:t>沾水进行打磨擦拭，打磨擦拭用水量为0.001m</w:t>
            </w:r>
            <w:r>
              <w:rPr>
                <w:rFonts w:hint="eastAsia" w:ascii="Times New Roman" w:hAnsi="Times New Roman" w:cs="Times New Roman"/>
                <w:color w:val="auto"/>
                <w:sz w:val="24"/>
                <w:szCs w:val="28"/>
                <w:highlight w:val="none"/>
                <w:vertAlign w:val="superscript"/>
                <w:lang w:val="en-US" w:eastAsia="zh-CN"/>
              </w:rPr>
              <w:t>3</w:t>
            </w:r>
            <w:r>
              <w:rPr>
                <w:rFonts w:hint="eastAsia" w:ascii="Times New Roman" w:hAnsi="Times New Roman" w:cs="Times New Roman"/>
                <w:color w:val="auto"/>
                <w:sz w:val="24"/>
                <w:szCs w:val="28"/>
                <w:highlight w:val="none"/>
                <w:lang w:val="en-US" w:eastAsia="zh-CN"/>
              </w:rPr>
              <w:t>/d，打磨用水经打磨后全部蒸发。</w:t>
            </w:r>
          </w:p>
          <w:p w14:paraId="47BE13F4">
            <w:pPr>
              <w:adjustRightInd w:val="0"/>
              <w:spacing w:line="360" w:lineRule="auto"/>
              <w:ind w:firstLine="480" w:firstLineChars="200"/>
              <w:jc w:val="left"/>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（2）排水</w:t>
            </w:r>
          </w:p>
          <w:p w14:paraId="4E21C00D">
            <w:pPr>
              <w:widowControl/>
              <w:spacing w:line="360" w:lineRule="auto"/>
              <w:ind w:firstLine="480" w:firstLineChars="200"/>
              <w:rPr>
                <w:rFonts w:ascii="Times New Roman" w:hAnsi="Times New Roman" w:eastAsia="宋体" w:cs="Times New Roman"/>
                <w:bCs/>
                <w:sz w:val="24"/>
                <w:szCs w:val="24"/>
                <w:highlight w:val="none"/>
              </w:rPr>
            </w:pPr>
            <w:r>
              <w:rPr>
                <w:rFonts w:ascii="Times New Roman" w:hAnsi="Times New Roman" w:eastAsia="宋体" w:cs="Times New Roman"/>
                <w:bCs/>
                <w:color w:val="auto"/>
                <w:sz w:val="24"/>
                <w:szCs w:val="24"/>
                <w:highlight w:val="none"/>
              </w:rPr>
              <w:t>项</w:t>
            </w:r>
            <w:r>
              <w:rPr>
                <w:rFonts w:hint="eastAsia" w:ascii="Times New Roman" w:hAnsi="Times New Roman" w:eastAsia="宋体" w:cs="Times New Roman"/>
                <w:bCs/>
                <w:color w:val="auto"/>
                <w:sz w:val="24"/>
                <w:szCs w:val="24"/>
                <w:highlight w:val="none"/>
              </w:rPr>
              <w:t>目区排水实行雨污分流制。</w:t>
            </w:r>
            <w:r>
              <w:rPr>
                <w:rFonts w:ascii="Times New Roman" w:hAnsi="宋体"/>
                <w:color w:val="auto"/>
                <w:sz w:val="24"/>
                <w:szCs w:val="24"/>
                <w:highlight w:val="none"/>
              </w:rPr>
              <w:t>雨水经园区内雨水管排入园区雨水</w:t>
            </w:r>
            <w:r>
              <w:rPr>
                <w:rFonts w:ascii="Times New Roman" w:hAnsi="宋体"/>
                <w:sz w:val="24"/>
                <w:szCs w:val="24"/>
                <w:highlight w:val="none"/>
              </w:rPr>
              <w:t>管网。</w:t>
            </w:r>
            <w:r>
              <w:rPr>
                <w:rFonts w:hint="eastAsia" w:ascii="Times New Roman" w:hAnsi="Times New Roman" w:eastAsia="宋体" w:cs="Times New Roman"/>
                <w:bCs/>
                <w:sz w:val="24"/>
                <w:szCs w:val="24"/>
                <w:highlight w:val="none"/>
              </w:rPr>
              <w:t>本项目</w:t>
            </w:r>
            <w:r>
              <w:rPr>
                <w:rFonts w:hint="eastAsia" w:ascii="Times New Roman" w:hAnsi="Times New Roman" w:eastAsia="宋体" w:cs="Times New Roman"/>
                <w:bCs/>
                <w:sz w:val="24"/>
                <w:szCs w:val="24"/>
                <w:highlight w:val="none"/>
                <w:lang w:val="en-US" w:eastAsia="zh-CN"/>
              </w:rPr>
              <w:t>外排</w:t>
            </w:r>
            <w:r>
              <w:rPr>
                <w:rFonts w:hint="eastAsia" w:ascii="Times New Roman" w:hAnsi="Times New Roman" w:eastAsia="宋体" w:cs="Times New Roman"/>
                <w:bCs/>
                <w:sz w:val="24"/>
                <w:szCs w:val="24"/>
                <w:highlight w:val="none"/>
              </w:rPr>
              <w:t>废水主要为生活污水，</w:t>
            </w:r>
            <w:r>
              <w:rPr>
                <w:rFonts w:hint="eastAsia" w:ascii="Times New Roman" w:hAnsi="Times New Roman" w:eastAsia="宋体" w:cs="Times New Roman"/>
                <w:bCs/>
                <w:sz w:val="24"/>
                <w:szCs w:val="24"/>
                <w:highlight w:val="none"/>
                <w:lang w:val="en-US" w:eastAsia="zh-CN"/>
              </w:rPr>
              <w:t>废水排放</w:t>
            </w:r>
            <w:r>
              <w:rPr>
                <w:rFonts w:hint="eastAsia" w:ascii="Times New Roman" w:hAnsi="Times New Roman" w:eastAsia="宋体" w:cs="Times New Roman"/>
                <w:bCs/>
                <w:sz w:val="24"/>
                <w:szCs w:val="24"/>
                <w:highlight w:val="none"/>
              </w:rPr>
              <w:t>量约</w:t>
            </w:r>
            <w:r>
              <w:rPr>
                <w:rFonts w:hint="eastAsia" w:ascii="Times New Roman" w:hAnsi="Times New Roman" w:eastAsia="宋体" w:cs="Times New Roman"/>
                <w:bCs/>
                <w:color w:val="auto"/>
                <w:sz w:val="24"/>
                <w:szCs w:val="24"/>
                <w:highlight w:val="none"/>
              </w:rPr>
              <w:t>为2.55</w:t>
            </w:r>
            <w:r>
              <w:rPr>
                <w:rFonts w:hint="eastAsia" w:ascii="Times New Roman" w:hAnsi="Times New Roman" w:eastAsia="宋体" w:cs="Times New Roman"/>
                <w:color w:val="auto"/>
                <w:sz w:val="24"/>
                <w:highlight w:val="none"/>
              </w:rPr>
              <w:t>m</w:t>
            </w:r>
            <w:r>
              <w:rPr>
                <w:rFonts w:hint="eastAsia" w:ascii="Times New Roman" w:hAnsi="Times New Roman" w:eastAsia="宋体" w:cs="Times New Roman"/>
                <w:color w:val="auto"/>
                <w:sz w:val="24"/>
                <w:highlight w:val="none"/>
                <w:vertAlign w:val="superscript"/>
              </w:rPr>
              <w:t>3</w:t>
            </w:r>
            <w:r>
              <w:rPr>
                <w:rFonts w:hint="eastAsia" w:ascii="Times New Roman" w:hAnsi="Times New Roman" w:eastAsia="宋体" w:cs="Times New Roman"/>
                <w:color w:val="auto"/>
                <w:sz w:val="24"/>
                <w:highlight w:val="none"/>
              </w:rPr>
              <w:t>/d</w:t>
            </w:r>
            <w:r>
              <w:rPr>
                <w:rFonts w:hint="eastAsia" w:ascii="Times New Roman" w:hAnsi="Times New Roman" w:eastAsia="宋体" w:cs="Times New Roman"/>
                <w:bCs/>
                <w:color w:val="auto"/>
                <w:sz w:val="24"/>
                <w:szCs w:val="24"/>
                <w:highlight w:val="none"/>
              </w:rPr>
              <w:t>（765</w:t>
            </w:r>
            <w:r>
              <w:rPr>
                <w:rFonts w:hint="eastAsia" w:ascii="Times New Roman" w:hAnsi="Times New Roman" w:eastAsia="宋体" w:cs="Times New Roman"/>
                <w:color w:val="auto"/>
                <w:sz w:val="24"/>
                <w:highlight w:val="none"/>
              </w:rPr>
              <w:t>m</w:t>
            </w:r>
            <w:r>
              <w:rPr>
                <w:rFonts w:hint="eastAsia" w:ascii="Times New Roman" w:hAnsi="Times New Roman" w:eastAsia="宋体" w:cs="Times New Roman"/>
                <w:color w:val="auto"/>
                <w:sz w:val="24"/>
                <w:highlight w:val="none"/>
                <w:vertAlign w:val="superscript"/>
              </w:rPr>
              <w:t>3</w:t>
            </w:r>
            <w:r>
              <w:rPr>
                <w:rFonts w:hint="eastAsia" w:ascii="Times New Roman" w:hAnsi="Times New Roman" w:eastAsia="宋体" w:cs="Times New Roman"/>
                <w:bCs/>
                <w:color w:val="auto"/>
                <w:sz w:val="24"/>
                <w:szCs w:val="24"/>
                <w:highlight w:val="none"/>
              </w:rPr>
              <w:t>/a）。</w:t>
            </w:r>
            <w:r>
              <w:rPr>
                <w:rFonts w:ascii="Times New Roman" w:hAnsi="Times New Roman" w:eastAsia="宋体" w:cs="Times New Roman"/>
                <w:bCs/>
                <w:sz w:val="24"/>
                <w:szCs w:val="24"/>
                <w:highlight w:val="none"/>
              </w:rPr>
              <w:t>生活污水</w:t>
            </w:r>
            <w:r>
              <w:rPr>
                <w:rFonts w:hint="eastAsia" w:ascii="Times New Roman" w:hAnsi="Times New Roman" w:eastAsia="宋体" w:cs="Times New Roman"/>
                <w:bCs/>
                <w:sz w:val="24"/>
                <w:szCs w:val="24"/>
                <w:highlight w:val="none"/>
              </w:rPr>
              <w:t>经过</w:t>
            </w:r>
            <w:r>
              <w:rPr>
                <w:rFonts w:ascii="Times New Roman" w:hAnsi="Times New Roman" w:eastAsia="宋体" w:cs="Times New Roman"/>
                <w:bCs/>
                <w:sz w:val="24"/>
                <w:szCs w:val="24"/>
                <w:highlight w:val="none"/>
              </w:rPr>
              <w:t>化粪池预处理后排入八公山污水处理厂，尾水经八公山污水处理厂处理达《城镇污水处理厂污染物排放标准》（GB18918-2002）中一级A标准，最终排放到淮河。</w:t>
            </w:r>
          </w:p>
          <w:p w14:paraId="182136A7">
            <w:pPr>
              <w:widowControl/>
              <w:spacing w:line="360" w:lineRule="auto"/>
              <w:ind w:firstLine="480" w:firstLineChars="200"/>
              <w:rPr>
                <w:rFonts w:hint="eastAsia" w:ascii="Times New Roman" w:hAnsi="Times New Roman" w:eastAsia="宋体" w:cs="Times New Roman"/>
                <w:bCs/>
                <w:sz w:val="24"/>
                <w:szCs w:val="24"/>
                <w:highlight w:val="none"/>
              </w:rPr>
            </w:pPr>
            <w:r>
              <w:rPr>
                <w:rFonts w:hint="eastAsia" w:ascii="Times New Roman" w:hAnsi="Times New Roman" w:eastAsia="宋体" w:cs="Times New Roman"/>
                <w:bCs/>
                <w:sz w:val="24"/>
                <w:szCs w:val="24"/>
                <w:highlight w:val="none"/>
              </w:rPr>
              <w:t>本项目水平衡图见下图：</w:t>
            </w:r>
          </w:p>
          <w:p w14:paraId="7203203F">
            <w:pPr>
              <w:widowControl/>
              <w:spacing w:line="360" w:lineRule="auto"/>
              <w:ind w:firstLine="480" w:firstLineChars="200"/>
              <w:rPr>
                <w:rFonts w:ascii="Times New Roman" w:hAnsi="Times New Roman" w:eastAsia="宋体" w:cs="Times New Roman"/>
                <w:bCs/>
                <w:sz w:val="24"/>
                <w:szCs w:val="24"/>
                <w:highlight w:val="none"/>
              </w:rPr>
            </w:pPr>
            <w:r>
              <w:rPr>
                <w:rFonts w:ascii="Times New Roman" w:hAnsi="Times New Roman" w:eastAsia="宋体" w:cs="Times New Roman"/>
                <w:bCs/>
                <w:sz w:val="24"/>
                <w:szCs w:val="24"/>
                <w:highlight w:val="none"/>
              </w:rPr>
              <mc:AlternateContent>
                <mc:Choice Requires="wpc">
                  <w:drawing>
                    <wp:inline distT="0" distB="0" distL="114300" distR="114300">
                      <wp:extent cx="5318125" cy="5521325"/>
                      <wp:effectExtent l="0" t="0" r="0" b="0"/>
                      <wp:docPr id="60" name="画布 12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矩形 1274"/>
                              <wps:cNvSpPr/>
                              <wps:spPr>
                                <a:xfrm>
                                  <a:off x="580390" y="1087755"/>
                                  <a:ext cx="1048385"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183631">
                                    <w:pPr>
                                      <w:jc w:val="center"/>
                                      <w:rPr>
                                        <w:rFonts w:ascii="黑体" w:hAnsi="宋体" w:eastAsia="黑体" w:cs="黑体"/>
                                        <w:sz w:val="18"/>
                                        <w:szCs w:val="18"/>
                                      </w:rPr>
                                    </w:pPr>
                                    <w:r>
                                      <w:rPr>
                                        <w:rFonts w:hint="eastAsia" w:ascii="黑体" w:hAnsi="宋体" w:eastAsia="黑体" w:cs="黑体"/>
                                        <w:sz w:val="18"/>
                                        <w:szCs w:val="18"/>
                                      </w:rPr>
                                      <w:t>生活用水</w:t>
                                    </w:r>
                                  </w:p>
                                </w:txbxContent>
                              </wps:txbx>
                              <wps:bodyPr upright="1">
                                <a:spAutoFit/>
                              </wps:bodyPr>
                            </wps:wsp>
                            <wps:wsp>
                              <wps:cNvPr id="6" name="矩形 1294"/>
                              <wps:cNvSpPr/>
                              <wps:spPr>
                                <a:xfrm>
                                  <a:off x="28575" y="460375"/>
                                  <a:ext cx="811530" cy="526415"/>
                                </a:xfrm>
                                <a:prstGeom prst="rect">
                                  <a:avLst/>
                                </a:prstGeom>
                                <a:noFill/>
                                <a:ln>
                                  <a:noFill/>
                                </a:ln>
                              </wps:spPr>
                              <wps:txbx>
                                <w:txbxContent>
                                  <w:p w14:paraId="2FB3AAD2">
                                    <w:pPr>
                                      <w:jc w:val="center"/>
                                      <w:rPr>
                                        <w:rFonts w:hint="default" w:ascii="Times New Roman" w:hAnsi="Times New Roman" w:eastAsia="黑体" w:cs="Times New Roman"/>
                                        <w:sz w:val="18"/>
                                        <w:szCs w:val="18"/>
                                        <w:lang w:val="en-US"/>
                                      </w:rPr>
                                    </w:pPr>
                                    <w:r>
                                      <w:rPr>
                                        <w:rFonts w:hint="eastAsia" w:ascii="Times New Roman" w:hAnsi="Times New Roman" w:eastAsia="黑体" w:cs="Times New Roman"/>
                                        <w:sz w:val="18"/>
                                        <w:szCs w:val="18"/>
                                        <w:lang w:val="en-US" w:eastAsia="zh-CN"/>
                                      </w:rPr>
                                      <w:t>新鲜水3.6532</w:t>
                                    </w:r>
                                  </w:p>
                                </w:txbxContent>
                              </wps:txbx>
                              <wps:bodyPr upright="1"/>
                            </wps:wsp>
                            <wps:wsp>
                              <wps:cNvPr id="8" name="自选图形 1378"/>
                              <wps:cNvCnPr/>
                              <wps:spPr>
                                <a:xfrm flipV="1">
                                  <a:off x="251460" y="1257444"/>
                                  <a:ext cx="329565" cy="2540"/>
                                </a:xfrm>
                                <a:prstGeom prst="straightConnector1">
                                  <a:avLst/>
                                </a:prstGeom>
                                <a:ln w="9525" cap="flat" cmpd="sng">
                                  <a:solidFill>
                                    <a:srgbClr val="000000"/>
                                  </a:solidFill>
                                  <a:prstDash val="solid"/>
                                  <a:headEnd type="none" w="med" len="med"/>
                                  <a:tailEnd type="triangle" w="sm" len="med"/>
                                </a:ln>
                              </wps:spPr>
                              <wps:bodyPr/>
                            </wps:wsp>
                            <wps:wsp>
                              <wps:cNvPr id="9" name="矩形 1382"/>
                              <wps:cNvSpPr/>
                              <wps:spPr>
                                <a:xfrm>
                                  <a:off x="1962785" y="1101090"/>
                                  <a:ext cx="1048385"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A31A60">
                                    <w:pPr>
                                      <w:jc w:val="center"/>
                                      <w:rPr>
                                        <w:rFonts w:ascii="黑体" w:hAnsi="宋体" w:eastAsia="黑体" w:cs="黑体"/>
                                        <w:sz w:val="18"/>
                                        <w:szCs w:val="18"/>
                                      </w:rPr>
                                    </w:pPr>
                                    <w:r>
                                      <w:rPr>
                                        <w:rFonts w:hint="eastAsia" w:ascii="黑体" w:hAnsi="宋体" w:eastAsia="黑体" w:cs="黑体"/>
                                        <w:sz w:val="18"/>
                                        <w:szCs w:val="18"/>
                                      </w:rPr>
                                      <w:t>化粪池</w:t>
                                    </w:r>
                                  </w:p>
                                </w:txbxContent>
                              </wps:txbx>
                              <wps:bodyPr upright="1">
                                <a:spAutoFit/>
                              </wps:bodyPr>
                            </wps:wsp>
                            <wps:wsp>
                              <wps:cNvPr id="13" name="自选图形 1383"/>
                              <wps:cNvCnPr/>
                              <wps:spPr>
                                <a:xfrm flipV="1">
                                  <a:off x="1633855" y="1242837"/>
                                  <a:ext cx="329565" cy="2540"/>
                                </a:xfrm>
                                <a:prstGeom prst="straightConnector1">
                                  <a:avLst/>
                                </a:prstGeom>
                                <a:ln w="9525" cap="flat" cmpd="sng">
                                  <a:solidFill>
                                    <a:srgbClr val="000000"/>
                                  </a:solidFill>
                                  <a:prstDash val="solid"/>
                                  <a:headEnd type="none" w="med" len="med"/>
                                  <a:tailEnd type="triangle" w="sm" len="med"/>
                                </a:ln>
                              </wps:spPr>
                              <wps:bodyPr/>
                            </wps:wsp>
                            <wps:wsp>
                              <wps:cNvPr id="15" name="矩形 1384"/>
                              <wps:cNvSpPr/>
                              <wps:spPr>
                                <a:xfrm>
                                  <a:off x="3348355" y="1101090"/>
                                  <a:ext cx="1595120"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3C7EDC">
                                    <w:pPr>
                                      <w:jc w:val="center"/>
                                      <w:rPr>
                                        <w:rFonts w:ascii="黑体" w:hAnsi="宋体" w:eastAsia="黑体" w:cs="黑体"/>
                                        <w:sz w:val="18"/>
                                        <w:szCs w:val="18"/>
                                      </w:rPr>
                                    </w:pPr>
                                    <w:r>
                                      <w:rPr>
                                        <w:rFonts w:hint="eastAsia" w:ascii="黑体" w:hAnsi="宋体" w:eastAsia="黑体" w:cs="黑体"/>
                                        <w:sz w:val="18"/>
                                        <w:szCs w:val="18"/>
                                      </w:rPr>
                                      <w:t>八公山污水处理厂</w:t>
                                    </w:r>
                                  </w:p>
                                </w:txbxContent>
                              </wps:txbx>
                              <wps:bodyPr upright="1">
                                <a:spAutoFit/>
                              </wps:bodyPr>
                            </wps:wsp>
                            <wps:wsp>
                              <wps:cNvPr id="16" name="自选图形 1385"/>
                              <wps:cNvCnPr/>
                              <wps:spPr>
                                <a:xfrm flipV="1">
                                  <a:off x="3019424" y="1242837"/>
                                  <a:ext cx="329565" cy="635"/>
                                </a:xfrm>
                                <a:prstGeom prst="straightConnector1">
                                  <a:avLst/>
                                </a:prstGeom>
                                <a:ln w="9525" cap="flat" cmpd="sng">
                                  <a:solidFill>
                                    <a:srgbClr val="000000"/>
                                  </a:solidFill>
                                  <a:prstDash val="solid"/>
                                  <a:headEnd type="none" w="med" len="med"/>
                                  <a:tailEnd type="triangle" w="sm" len="med"/>
                                </a:ln>
                              </wps:spPr>
                              <wps:bodyPr/>
                            </wps:wsp>
                            <wps:wsp>
                              <wps:cNvPr id="17" name="自选图形 1387"/>
                              <wps:cNvCnPr/>
                              <wps:spPr>
                                <a:xfrm>
                                  <a:off x="4249420" y="1402242"/>
                                  <a:ext cx="3175" cy="358816"/>
                                </a:xfrm>
                                <a:prstGeom prst="straightConnector1">
                                  <a:avLst/>
                                </a:prstGeom>
                                <a:ln w="9525" cap="flat" cmpd="sng">
                                  <a:solidFill>
                                    <a:srgbClr val="000000"/>
                                  </a:solidFill>
                                  <a:prstDash val="solid"/>
                                  <a:headEnd type="none" w="med" len="med"/>
                                  <a:tailEnd type="triangle" w="sm" len="med"/>
                                </a:ln>
                              </wps:spPr>
                              <wps:bodyPr/>
                            </wps:wsp>
                            <wps:wsp>
                              <wps:cNvPr id="18" name="矩形 1388"/>
                              <wps:cNvSpPr/>
                              <wps:spPr>
                                <a:xfrm>
                                  <a:off x="3674745" y="1760856"/>
                                  <a:ext cx="1150620" cy="289560"/>
                                </a:xfrm>
                                <a:prstGeom prst="rect">
                                  <a:avLst/>
                                </a:prstGeom>
                                <a:noFill/>
                                <a:ln>
                                  <a:noFill/>
                                </a:ln>
                              </wps:spPr>
                              <wps:txbx>
                                <w:txbxContent>
                                  <w:p w14:paraId="0C7C410A">
                                    <w:pPr>
                                      <w:jc w:val="center"/>
                                      <w:rPr>
                                        <w:rFonts w:ascii="黑体" w:hAnsi="宋体" w:eastAsia="黑体" w:cs="黑体"/>
                                        <w:sz w:val="18"/>
                                        <w:szCs w:val="18"/>
                                      </w:rPr>
                                    </w:pPr>
                                    <w:r>
                                      <w:rPr>
                                        <w:rFonts w:hint="eastAsia" w:ascii="黑体" w:hAnsi="宋体" w:eastAsia="黑体" w:cs="Times New Roman"/>
                                        <w:bCs/>
                                        <w:color w:val="000000"/>
                                        <w:sz w:val="18"/>
                                        <w:szCs w:val="18"/>
                                      </w:rPr>
                                      <w:t>淮河</w:t>
                                    </w:r>
                                  </w:p>
                                </w:txbxContent>
                              </wps:txbx>
                              <wps:bodyPr upright="1">
                                <a:spAutoFit/>
                              </wps:bodyPr>
                            </wps:wsp>
                            <wps:wsp>
                              <wps:cNvPr id="19" name="矩形 1389"/>
                              <wps:cNvSpPr/>
                              <wps:spPr>
                                <a:xfrm>
                                  <a:off x="1573530" y="1021832"/>
                                  <a:ext cx="507365" cy="310550"/>
                                </a:xfrm>
                                <a:prstGeom prst="rect">
                                  <a:avLst/>
                                </a:prstGeom>
                                <a:noFill/>
                                <a:ln>
                                  <a:noFill/>
                                </a:ln>
                              </wps:spPr>
                              <wps:txbx>
                                <w:txbxContent>
                                  <w:p w14:paraId="09A1BCD2">
                                    <w:pPr>
                                      <w:rPr>
                                        <w:rFonts w:ascii="Times New Roman" w:hAnsi="Times New Roman" w:eastAsia="黑体" w:cs="Times New Roman"/>
                                        <w:sz w:val="18"/>
                                        <w:szCs w:val="18"/>
                                      </w:rPr>
                                    </w:pPr>
                                    <w:r>
                                      <w:rPr>
                                        <w:rFonts w:ascii="Times New Roman" w:hAnsi="Times New Roman" w:eastAsia="黑体" w:cs="Times New Roman"/>
                                        <w:sz w:val="18"/>
                                        <w:szCs w:val="18"/>
                                      </w:rPr>
                                      <w:t>2.55</w:t>
                                    </w:r>
                                  </w:p>
                                </w:txbxContent>
                              </wps:txbx>
                              <wps:bodyPr upright="1"/>
                            </wps:wsp>
                            <wps:wsp>
                              <wps:cNvPr id="20" name="文本框 1391"/>
                              <wps:cNvSpPr txBox="1"/>
                              <wps:spPr>
                                <a:xfrm>
                                  <a:off x="892810" y="544257"/>
                                  <a:ext cx="429260" cy="257839"/>
                                </a:xfrm>
                                <a:prstGeom prst="rect">
                                  <a:avLst/>
                                </a:prstGeom>
                                <a:noFill/>
                                <a:ln>
                                  <a:noFill/>
                                </a:ln>
                              </wps:spPr>
                              <wps:txbx>
                                <w:txbxContent>
                                  <w:p w14:paraId="575AEB3B">
                                    <w:pPr>
                                      <w:rPr>
                                        <w:rFonts w:ascii="Times New Roman" w:hAnsi="Times New Roman" w:cs="Times New Roman"/>
                                        <w:sz w:val="18"/>
                                        <w:szCs w:val="18"/>
                                      </w:rPr>
                                    </w:pPr>
                                    <w:r>
                                      <w:rPr>
                                        <w:rFonts w:ascii="Times New Roman" w:hAnsi="Times New Roman" w:eastAsia="宋体" w:cs="Times New Roman"/>
                                        <w:sz w:val="18"/>
                                        <w:szCs w:val="18"/>
                                      </w:rPr>
                                      <w:t>0.45</w:t>
                                    </w:r>
                                  </w:p>
                                </w:txbxContent>
                              </wps:txbx>
                              <wps:bodyPr upright="1"/>
                            </wps:wsp>
                            <wps:wsp>
                              <wps:cNvPr id="21" name="矩形 1392"/>
                              <wps:cNvSpPr/>
                              <wps:spPr>
                                <a:xfrm>
                                  <a:off x="2940050" y="1016751"/>
                                  <a:ext cx="507365" cy="310550"/>
                                </a:xfrm>
                                <a:prstGeom prst="rect">
                                  <a:avLst/>
                                </a:prstGeom>
                                <a:noFill/>
                                <a:ln>
                                  <a:noFill/>
                                </a:ln>
                              </wps:spPr>
                              <wps:txbx>
                                <w:txbxContent>
                                  <w:p w14:paraId="7A9BFE38">
                                    <w:pPr>
                                      <w:rPr>
                                        <w:rFonts w:ascii="Times New Roman" w:hAnsi="Times New Roman" w:eastAsia="黑体" w:cs="Times New Roman"/>
                                        <w:sz w:val="18"/>
                                        <w:szCs w:val="18"/>
                                      </w:rPr>
                                    </w:pPr>
                                    <w:r>
                                      <w:rPr>
                                        <w:rFonts w:ascii="Times New Roman" w:hAnsi="Times New Roman" w:eastAsia="黑体" w:cs="Times New Roman"/>
                                        <w:sz w:val="18"/>
                                        <w:szCs w:val="18"/>
                                      </w:rPr>
                                      <w:t>2.55</w:t>
                                    </w:r>
                                  </w:p>
                                </w:txbxContent>
                              </wps:txbx>
                              <wps:bodyPr upright="1"/>
                            </wps:wsp>
                            <wps:wsp>
                              <wps:cNvPr id="22" name="矩形 1394"/>
                              <wps:cNvSpPr/>
                              <wps:spPr>
                                <a:xfrm>
                                  <a:off x="4262755" y="1427009"/>
                                  <a:ext cx="507365" cy="310550"/>
                                </a:xfrm>
                                <a:prstGeom prst="rect">
                                  <a:avLst/>
                                </a:prstGeom>
                                <a:noFill/>
                                <a:ln>
                                  <a:noFill/>
                                </a:ln>
                              </wps:spPr>
                              <wps:txbx>
                                <w:txbxContent>
                                  <w:p w14:paraId="30AE89ED">
                                    <w:pPr>
                                      <w:rPr>
                                        <w:rFonts w:ascii="Times New Roman" w:hAnsi="Times New Roman" w:eastAsia="黑体" w:cs="Times New Roman"/>
                                        <w:sz w:val="18"/>
                                        <w:szCs w:val="18"/>
                                      </w:rPr>
                                    </w:pPr>
                                    <w:r>
                                      <w:rPr>
                                        <w:rFonts w:ascii="Times New Roman" w:hAnsi="Times New Roman" w:eastAsia="黑体" w:cs="Times New Roman"/>
                                        <w:sz w:val="18"/>
                                        <w:szCs w:val="18"/>
                                      </w:rPr>
                                      <w:t>2.55</w:t>
                                    </w:r>
                                  </w:p>
                                </w:txbxContent>
                              </wps:txbx>
                              <wps:bodyPr upright="1"/>
                            </wps:wsp>
                            <wps:wsp>
                              <wps:cNvPr id="23" name="任意多边形 1865"/>
                              <wps:cNvSpPr/>
                              <wps:spPr>
                                <a:xfrm>
                                  <a:off x="945515" y="765262"/>
                                  <a:ext cx="146685" cy="322617"/>
                                </a:xfrm>
                                <a:custGeom>
                                  <a:avLst/>
                                  <a:gdLst/>
                                  <a:ahLst/>
                                  <a:cxnLst/>
                                  <a:pathLst>
                                    <a:path w="231" h="508">
                                      <a:moveTo>
                                        <a:pt x="0" y="508"/>
                                      </a:moveTo>
                                      <a:cubicBezTo>
                                        <a:pt x="34" y="315"/>
                                        <a:pt x="68" y="123"/>
                                        <a:pt x="95" y="102"/>
                                      </a:cubicBezTo>
                                      <a:cubicBezTo>
                                        <a:pt x="122" y="81"/>
                                        <a:pt x="140" y="397"/>
                                        <a:pt x="163" y="380"/>
                                      </a:cubicBezTo>
                                      <a:cubicBezTo>
                                        <a:pt x="186" y="363"/>
                                        <a:pt x="208" y="181"/>
                                        <a:pt x="231" y="0"/>
                                      </a:cubicBezTo>
                                    </a:path>
                                  </a:pathLst>
                                </a:custGeom>
                                <a:noFill/>
                                <a:ln w="9525" cap="flat" cmpd="sng">
                                  <a:solidFill>
                                    <a:srgbClr val="000000"/>
                                  </a:solidFill>
                                  <a:prstDash val="dash"/>
                                  <a:round/>
                                  <a:headEnd type="none" w="med" len="med"/>
                                  <a:tailEnd type="triangle" w="sm" len="med"/>
                                </a:ln>
                              </wps:spPr>
                              <wps:bodyPr upright="1"/>
                            </wps:wsp>
                            <wps:wsp>
                              <wps:cNvPr id="24" name="矩形 1912"/>
                              <wps:cNvSpPr/>
                              <wps:spPr>
                                <a:xfrm>
                                  <a:off x="266065" y="957690"/>
                                  <a:ext cx="507365" cy="310550"/>
                                </a:xfrm>
                                <a:prstGeom prst="rect">
                                  <a:avLst/>
                                </a:prstGeom>
                                <a:noFill/>
                                <a:ln>
                                  <a:noFill/>
                                </a:ln>
                              </wps:spPr>
                              <wps:txbx>
                                <w:txbxContent>
                                  <w:p w14:paraId="6DB39C15">
                                    <w:pPr>
                                      <w:rPr>
                                        <w:rFonts w:ascii="Times New Roman" w:hAnsi="Times New Roman" w:eastAsia="黑体" w:cs="Times New Roman"/>
                                        <w:sz w:val="18"/>
                                        <w:szCs w:val="18"/>
                                      </w:rPr>
                                    </w:pPr>
                                    <w:r>
                                      <w:rPr>
                                        <w:rFonts w:ascii="Times New Roman" w:hAnsi="Times New Roman" w:eastAsia="黑体" w:cs="Times New Roman"/>
                                        <w:sz w:val="18"/>
                                        <w:szCs w:val="18"/>
                                      </w:rPr>
                                      <w:t>3</w:t>
                                    </w:r>
                                  </w:p>
                                </w:txbxContent>
                              </wps:txbx>
                              <wps:bodyPr upright="1"/>
                            </wps:wsp>
                            <wps:wsp>
                              <wps:cNvPr id="25" name="自选图形 2152"/>
                              <wps:cNvCnPr/>
                              <wps:spPr>
                                <a:xfrm flipV="1">
                                  <a:off x="241935" y="2048111"/>
                                  <a:ext cx="329565" cy="2540"/>
                                </a:xfrm>
                                <a:prstGeom prst="straightConnector1">
                                  <a:avLst/>
                                </a:prstGeom>
                                <a:ln w="9525" cap="flat" cmpd="sng">
                                  <a:solidFill>
                                    <a:srgbClr val="000000"/>
                                  </a:solidFill>
                                  <a:prstDash val="solid"/>
                                  <a:headEnd type="none" w="med" len="med"/>
                                  <a:tailEnd type="triangle" w="sm" len="med"/>
                                </a:ln>
                              </wps:spPr>
                              <wps:bodyPr/>
                            </wps:wsp>
                            <wps:wsp>
                              <wps:cNvPr id="26" name="矩形 1274_SpCnt_2"/>
                              <wps:cNvSpPr/>
                              <wps:spPr>
                                <a:xfrm>
                                  <a:off x="525145" y="2848611"/>
                                  <a:ext cx="1048385"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09AACDB">
                                    <w:pPr>
                                      <w:jc w:val="center"/>
                                      <w:rPr>
                                        <w:rFonts w:ascii="黑体" w:hAnsi="宋体" w:eastAsia="黑体" w:cs="黑体"/>
                                        <w:sz w:val="18"/>
                                        <w:szCs w:val="18"/>
                                      </w:rPr>
                                    </w:pPr>
                                    <w:r>
                                      <w:rPr>
                                        <w:rFonts w:hint="eastAsia" w:ascii="黑体" w:hAnsi="宋体" w:eastAsia="黑体" w:cs="黑体"/>
                                        <w:sz w:val="18"/>
                                        <w:szCs w:val="18"/>
                                      </w:rPr>
                                      <w:t>水帘除漆雾用水</w:t>
                                    </w:r>
                                  </w:p>
                                </w:txbxContent>
                              </wps:txbx>
                              <wps:bodyPr upright="1">
                                <a:spAutoFit/>
                              </wps:bodyPr>
                            </wps:wsp>
                            <wps:wsp>
                              <wps:cNvPr id="27" name="矩形 1274_SpCnt_3"/>
                              <wps:cNvSpPr/>
                              <wps:spPr>
                                <a:xfrm>
                                  <a:off x="563245" y="4144012"/>
                                  <a:ext cx="1048385"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30C168">
                                    <w:pPr>
                                      <w:jc w:val="center"/>
                                      <w:rPr>
                                        <w:rFonts w:ascii="黑体" w:hAnsi="宋体" w:eastAsia="黑体" w:cs="黑体"/>
                                        <w:sz w:val="18"/>
                                        <w:szCs w:val="18"/>
                                      </w:rPr>
                                    </w:pPr>
                                    <w:r>
                                      <w:rPr>
                                        <w:rFonts w:hint="eastAsia" w:ascii="黑体" w:hAnsi="宋体" w:eastAsia="黑体" w:cs="黑体"/>
                                        <w:sz w:val="18"/>
                                        <w:szCs w:val="18"/>
                                      </w:rPr>
                                      <w:t>喷枪清洗用水</w:t>
                                    </w:r>
                                  </w:p>
                                </w:txbxContent>
                              </wps:txbx>
                              <wps:bodyPr upright="1">
                                <a:spAutoFit/>
                              </wps:bodyPr>
                            </wps:wsp>
                            <wps:wsp>
                              <wps:cNvPr id="28" name="任意多边形 2165_SpCnt_2"/>
                              <wps:cNvSpPr/>
                              <wps:spPr>
                                <a:xfrm>
                                  <a:off x="715645" y="2516506"/>
                                  <a:ext cx="146685" cy="322580"/>
                                </a:xfrm>
                                <a:custGeom>
                                  <a:avLst/>
                                  <a:gdLst/>
                                  <a:ahLst/>
                                  <a:cxnLst/>
                                  <a:pathLst>
                                    <a:path w="231" h="508">
                                      <a:moveTo>
                                        <a:pt x="0" y="508"/>
                                      </a:moveTo>
                                      <a:cubicBezTo>
                                        <a:pt x="34" y="315"/>
                                        <a:pt x="68" y="123"/>
                                        <a:pt x="95" y="102"/>
                                      </a:cubicBezTo>
                                      <a:cubicBezTo>
                                        <a:pt x="122" y="81"/>
                                        <a:pt x="140" y="397"/>
                                        <a:pt x="163" y="380"/>
                                      </a:cubicBezTo>
                                      <a:cubicBezTo>
                                        <a:pt x="186" y="363"/>
                                        <a:pt x="208" y="181"/>
                                        <a:pt x="231" y="0"/>
                                      </a:cubicBezTo>
                                    </a:path>
                                  </a:pathLst>
                                </a:custGeom>
                                <a:noFill/>
                                <a:ln w="9525" cap="flat" cmpd="sng">
                                  <a:solidFill>
                                    <a:srgbClr val="000000"/>
                                  </a:solidFill>
                                  <a:prstDash val="dash"/>
                                  <a:round/>
                                  <a:headEnd type="none" w="med" len="med"/>
                                  <a:tailEnd type="triangle" w="sm" len="med"/>
                                </a:ln>
                              </wps:spPr>
                              <wps:bodyPr upright="1"/>
                            </wps:wsp>
                            <wps:wsp>
                              <wps:cNvPr id="29" name="矩形 2156_SpCnt_2"/>
                              <wps:cNvSpPr/>
                              <wps:spPr>
                                <a:xfrm>
                                  <a:off x="639445" y="2277111"/>
                                  <a:ext cx="981710" cy="310515"/>
                                </a:xfrm>
                                <a:prstGeom prst="rect">
                                  <a:avLst/>
                                </a:prstGeom>
                                <a:noFill/>
                                <a:ln>
                                  <a:noFill/>
                                </a:ln>
                              </wps:spPr>
                              <wps:txbx>
                                <w:txbxContent>
                                  <w:p w14:paraId="451AB2D2">
                                    <w:pPr>
                                      <w:rPr>
                                        <w:rFonts w:hint="default" w:ascii="Times New Roman" w:hAnsi="Times New Roman" w:eastAsia="黑体" w:cs="Times New Roman"/>
                                        <w:sz w:val="18"/>
                                        <w:szCs w:val="18"/>
                                        <w:lang w:val="en-US" w:eastAsia="zh-CN"/>
                                      </w:rPr>
                                    </w:pPr>
                                    <w:r>
                                      <w:rPr>
                                        <w:rFonts w:ascii="Times New Roman" w:hAnsi="Times New Roman" w:eastAsia="黑体" w:cs="Times New Roman"/>
                                        <w:sz w:val="18"/>
                                        <w:szCs w:val="18"/>
                                      </w:rPr>
                                      <w:t>0.</w:t>
                                    </w:r>
                                    <w:r>
                                      <w:rPr>
                                        <w:rFonts w:hint="eastAsia" w:ascii="Times New Roman" w:hAnsi="Times New Roman" w:eastAsia="黑体" w:cs="Times New Roman"/>
                                        <w:sz w:val="18"/>
                                        <w:szCs w:val="18"/>
                                        <w:lang w:val="en-US" w:eastAsia="zh-CN"/>
                                      </w:rPr>
                                      <w:t>576</w:t>
                                    </w:r>
                                  </w:p>
                                </w:txbxContent>
                              </wps:txbx>
                              <wps:bodyPr upright="1"/>
                            </wps:wsp>
                            <wps:wsp>
                              <wps:cNvPr id="31" name="矩形 2156_SpCnt_3"/>
                              <wps:cNvSpPr/>
                              <wps:spPr>
                                <a:xfrm>
                                  <a:off x="1809750" y="1795145"/>
                                  <a:ext cx="981710" cy="310515"/>
                                </a:xfrm>
                                <a:prstGeom prst="rect">
                                  <a:avLst/>
                                </a:prstGeom>
                                <a:noFill/>
                                <a:ln>
                                  <a:noFill/>
                                </a:ln>
                              </wps:spPr>
                              <wps:txbx>
                                <w:txbxContent>
                                  <w:p w14:paraId="0464E19E">
                                    <w:pPr>
                                      <w:rPr>
                                        <w:rFonts w:ascii="Times New Roman" w:hAnsi="Times New Roman" w:eastAsia="黑体" w:cs="Times New Roman"/>
                                        <w:sz w:val="18"/>
                                        <w:szCs w:val="18"/>
                                      </w:rPr>
                                    </w:pPr>
                                    <w:r>
                                      <w:rPr>
                                        <w:rFonts w:ascii="Times New Roman" w:hAnsi="Times New Roman" w:eastAsia="黑体" w:cs="Times New Roman"/>
                                        <w:sz w:val="18"/>
                                        <w:szCs w:val="18"/>
                                      </w:rPr>
                                      <w:t>0.008</w:t>
                                    </w:r>
                                  </w:p>
                                </w:txbxContent>
                              </wps:txbx>
                              <wps:bodyPr upright="1"/>
                            </wps:wsp>
                            <wps:wsp>
                              <wps:cNvPr id="32" name="AutoShape 3292_SpCnt_1"/>
                              <wps:cNvCnPr/>
                              <wps:spPr>
                                <a:xfrm rot="10800000">
                                  <a:off x="1068070" y="2882901"/>
                                  <a:ext cx="523875" cy="107950"/>
                                </a:xfrm>
                                <a:prstGeom prst="bentConnector4">
                                  <a:avLst>
                                    <a:gd name="adj1" fmla="val -85093"/>
                                    <a:gd name="adj2" fmla="val 311176"/>
                                  </a:avLst>
                                </a:prstGeom>
                                <a:ln w="9525" cap="flat" cmpd="sng">
                                  <a:solidFill>
                                    <a:srgbClr val="000000"/>
                                  </a:solidFill>
                                  <a:prstDash val="solid"/>
                                  <a:miter/>
                                  <a:headEnd type="none" w="med" len="med"/>
                                  <a:tailEnd type="triangle" w="sm" len="med"/>
                                </a:ln>
                              </wps:spPr>
                              <wps:bodyPr/>
                            </wps:wsp>
                            <wps:wsp>
                              <wps:cNvPr id="33" name="直线 599"/>
                              <wps:cNvCnPr/>
                              <wps:spPr>
                                <a:xfrm>
                                  <a:off x="203835" y="765175"/>
                                  <a:ext cx="9525" cy="4425951"/>
                                </a:xfrm>
                                <a:prstGeom prst="line">
                                  <a:avLst/>
                                </a:prstGeom>
                                <a:ln w="9525" cap="flat" cmpd="sng">
                                  <a:solidFill>
                                    <a:srgbClr val="000000"/>
                                  </a:solidFill>
                                  <a:prstDash val="solid"/>
                                  <a:headEnd type="none" w="med" len="med"/>
                                  <a:tailEnd type="none" w="med" len="med"/>
                                </a:ln>
                              </wps:spPr>
                              <wps:bodyPr upright="1"/>
                            </wps:wsp>
                            <wps:wsp>
                              <wps:cNvPr id="34" name="自选图形 1378_SpCnt_2"/>
                              <wps:cNvCnPr/>
                              <wps:spPr>
                                <a:xfrm flipV="1">
                                  <a:off x="212725" y="2988311"/>
                                  <a:ext cx="329565" cy="2540"/>
                                </a:xfrm>
                                <a:prstGeom prst="straightConnector1">
                                  <a:avLst/>
                                </a:prstGeom>
                                <a:ln w="9525" cap="flat" cmpd="sng">
                                  <a:solidFill>
                                    <a:srgbClr val="000000"/>
                                  </a:solidFill>
                                  <a:prstDash val="solid"/>
                                  <a:headEnd type="none" w="med" len="med"/>
                                  <a:tailEnd type="triangle" w="sm" len="med"/>
                                </a:ln>
                              </wps:spPr>
                              <wps:bodyPr/>
                            </wps:wsp>
                            <wps:wsp>
                              <wps:cNvPr id="35" name="自选图形 1378_SpCnt_3"/>
                              <wps:cNvCnPr/>
                              <wps:spPr>
                                <a:xfrm flipV="1">
                                  <a:off x="214630" y="4308477"/>
                                  <a:ext cx="329565" cy="2540"/>
                                </a:xfrm>
                                <a:prstGeom prst="straightConnector1">
                                  <a:avLst/>
                                </a:prstGeom>
                                <a:ln w="9525" cap="flat" cmpd="sng">
                                  <a:solidFill>
                                    <a:srgbClr val="000000"/>
                                  </a:solidFill>
                                  <a:prstDash val="solid"/>
                                  <a:headEnd type="none" w="med" len="med"/>
                                  <a:tailEnd type="triangle" w="sm" len="med"/>
                                </a:ln>
                              </wps:spPr>
                              <wps:bodyPr/>
                            </wps:wsp>
                            <wps:wsp>
                              <wps:cNvPr id="36" name="矩形 2156_SpCnt_5"/>
                              <wps:cNvSpPr/>
                              <wps:spPr>
                                <a:xfrm>
                                  <a:off x="136525" y="4093845"/>
                                  <a:ext cx="981710" cy="310515"/>
                                </a:xfrm>
                                <a:prstGeom prst="rect">
                                  <a:avLst/>
                                </a:prstGeom>
                                <a:noFill/>
                                <a:ln>
                                  <a:noFill/>
                                </a:ln>
                              </wps:spPr>
                              <wps:txbx>
                                <w:txbxContent>
                                  <w:p w14:paraId="2B2255E7">
                                    <w:pPr>
                                      <w:rPr>
                                        <w:rFonts w:ascii="Times New Roman" w:hAnsi="Times New Roman" w:eastAsia="黑体" w:cs="Times New Roman"/>
                                        <w:sz w:val="18"/>
                                        <w:szCs w:val="18"/>
                                      </w:rPr>
                                    </w:pPr>
                                    <w:r>
                                      <w:rPr>
                                        <w:rFonts w:ascii="Times New Roman" w:hAnsi="Times New Roman" w:eastAsia="黑体" w:cs="Times New Roman"/>
                                        <w:sz w:val="18"/>
                                        <w:szCs w:val="18"/>
                                      </w:rPr>
                                      <w:t>0.008</w:t>
                                    </w:r>
                                  </w:p>
                                </w:txbxContent>
                              </wps:txbx>
                              <wps:bodyPr upright="1"/>
                            </wps:wsp>
                            <wps:wsp>
                              <wps:cNvPr id="37" name="自选图形 1378_SpCnt_4"/>
                              <wps:cNvCnPr/>
                              <wps:spPr>
                                <a:xfrm rot="5400000" flipV="1">
                                  <a:off x="835025" y="3311526"/>
                                  <a:ext cx="329565" cy="2540"/>
                                </a:xfrm>
                                <a:prstGeom prst="straightConnector1">
                                  <a:avLst/>
                                </a:prstGeom>
                                <a:ln w="9525" cap="flat" cmpd="sng">
                                  <a:solidFill>
                                    <a:srgbClr val="000000"/>
                                  </a:solidFill>
                                  <a:prstDash val="solid"/>
                                  <a:headEnd type="none" w="med" len="med"/>
                                  <a:tailEnd type="triangle" w="sm" len="med"/>
                                </a:ln>
                              </wps:spPr>
                              <wps:bodyPr/>
                            </wps:wsp>
                            <wps:wsp>
                              <wps:cNvPr id="38" name="矩形 2156_SpCnt_7"/>
                              <wps:cNvSpPr/>
                              <wps:spPr>
                                <a:xfrm>
                                  <a:off x="514350" y="3147696"/>
                                  <a:ext cx="981710" cy="310515"/>
                                </a:xfrm>
                                <a:prstGeom prst="rect">
                                  <a:avLst/>
                                </a:prstGeom>
                                <a:noFill/>
                                <a:ln>
                                  <a:noFill/>
                                </a:ln>
                              </wps:spPr>
                              <wps:txbx>
                                <w:txbxContent>
                                  <w:p w14:paraId="7D1A5E82">
                                    <w:pPr>
                                      <w:rPr>
                                        <w:rFonts w:hint="default" w:ascii="Times New Roman" w:hAnsi="Times New Roman" w:eastAsia="黑体" w:cs="Times New Roman"/>
                                        <w:sz w:val="18"/>
                                        <w:szCs w:val="18"/>
                                        <w:lang w:val="en-US" w:eastAsia="zh-CN"/>
                                      </w:rPr>
                                    </w:pPr>
                                    <w:r>
                                      <w:rPr>
                                        <w:rFonts w:ascii="Times New Roman" w:hAnsi="Times New Roman" w:eastAsia="黑体" w:cs="Times New Roman"/>
                                        <w:sz w:val="18"/>
                                        <w:szCs w:val="18"/>
                                      </w:rPr>
                                      <w:t>0.0</w:t>
                                    </w:r>
                                    <w:r>
                                      <w:rPr>
                                        <w:rFonts w:hint="eastAsia" w:ascii="Times New Roman" w:hAnsi="Times New Roman" w:eastAsia="黑体" w:cs="Times New Roman"/>
                                        <w:sz w:val="18"/>
                                        <w:szCs w:val="18"/>
                                        <w:lang w:val="en-US" w:eastAsia="zh-CN"/>
                                      </w:rPr>
                                      <w:t>4</w:t>
                                    </w:r>
                                  </w:p>
                                </w:txbxContent>
                              </wps:txbx>
                              <wps:bodyPr upright="1"/>
                            </wps:wsp>
                            <wps:wsp>
                              <wps:cNvPr id="39" name="矩形 2156_SpCnt_8"/>
                              <wps:cNvSpPr/>
                              <wps:spPr>
                                <a:xfrm>
                                  <a:off x="138430" y="2730501"/>
                                  <a:ext cx="981710" cy="310515"/>
                                </a:xfrm>
                                <a:prstGeom prst="rect">
                                  <a:avLst/>
                                </a:prstGeom>
                                <a:noFill/>
                                <a:ln>
                                  <a:noFill/>
                                </a:ln>
                              </wps:spPr>
                              <wps:txbx>
                                <w:txbxContent>
                                  <w:p w14:paraId="274F97D5">
                                    <w:pPr>
                                      <w:rPr>
                                        <w:rFonts w:hint="default" w:ascii="Times New Roman" w:hAnsi="Times New Roman" w:eastAsia="黑体" w:cs="Times New Roman"/>
                                        <w:sz w:val="18"/>
                                        <w:szCs w:val="18"/>
                                        <w:lang w:val="en-US" w:eastAsia="zh-CN"/>
                                      </w:rPr>
                                    </w:pPr>
                                    <w:r>
                                      <w:rPr>
                                        <w:rFonts w:ascii="Times New Roman" w:hAnsi="Times New Roman" w:eastAsia="黑体" w:cs="Times New Roman"/>
                                        <w:sz w:val="18"/>
                                        <w:szCs w:val="18"/>
                                      </w:rPr>
                                      <w:t>0.</w:t>
                                    </w:r>
                                    <w:r>
                                      <w:rPr>
                                        <w:rFonts w:hint="eastAsia" w:ascii="Times New Roman" w:hAnsi="Times New Roman" w:eastAsia="黑体" w:cs="Times New Roman"/>
                                        <w:sz w:val="18"/>
                                        <w:szCs w:val="18"/>
                                        <w:lang w:val="en-US" w:eastAsia="zh-CN"/>
                                      </w:rPr>
                                      <w:t>616</w:t>
                                    </w:r>
                                  </w:p>
                                </w:txbxContent>
                              </wps:txbx>
                              <wps:bodyPr upright="1"/>
                            </wps:wsp>
                            <wps:wsp>
                              <wps:cNvPr id="40" name="矩形 2156_SpCnt_9"/>
                              <wps:cNvSpPr/>
                              <wps:spPr>
                                <a:xfrm>
                                  <a:off x="542925" y="3477261"/>
                                  <a:ext cx="1506855" cy="310515"/>
                                </a:xfrm>
                                <a:prstGeom prst="rect">
                                  <a:avLst/>
                                </a:prstGeom>
                                <a:noFill/>
                                <a:ln>
                                  <a:noFill/>
                                </a:ln>
                              </wps:spPr>
                              <wps:txbx>
                                <w:txbxContent>
                                  <w:p w14:paraId="1E5BECCD">
                                    <w:pPr>
                                      <w:rPr>
                                        <w:rFonts w:ascii="Times New Roman" w:hAnsi="Times New Roman" w:eastAsia="黑体" w:cs="Times New Roman"/>
                                        <w:sz w:val="18"/>
                                        <w:szCs w:val="18"/>
                                      </w:rPr>
                                    </w:pPr>
                                    <w:r>
                                      <w:rPr>
                                        <w:rFonts w:hint="eastAsia" w:ascii="Times New Roman" w:hAnsi="Times New Roman" w:eastAsia="黑体" w:cs="Times New Roman"/>
                                        <w:sz w:val="18"/>
                                        <w:szCs w:val="18"/>
                                      </w:rPr>
                                      <w:t>委托有资质单位处理</w:t>
                                    </w:r>
                                  </w:p>
                                </w:txbxContent>
                              </wps:txbx>
                              <wps:bodyPr upright="1"/>
                            </wps:wsp>
                            <wps:wsp>
                              <wps:cNvPr id="41" name="矩形 2156_SpCnt_9"/>
                              <wps:cNvSpPr/>
                              <wps:spPr>
                                <a:xfrm>
                                  <a:off x="2057400" y="2677161"/>
                                  <a:ext cx="441960" cy="304800"/>
                                </a:xfrm>
                                <a:prstGeom prst="rect">
                                  <a:avLst/>
                                </a:prstGeom>
                                <a:noFill/>
                                <a:ln>
                                  <a:noFill/>
                                </a:ln>
                              </wps:spPr>
                              <wps:txbx>
                                <w:txbxContent>
                                  <w:p w14:paraId="3F07CDDB">
                                    <w:pPr>
                                      <w:rPr>
                                        <w:rFonts w:hint="default" w:ascii="Times New Roman" w:hAnsi="Times New Roman" w:eastAsia="黑体" w:cs="Times New Roman"/>
                                        <w:sz w:val="18"/>
                                        <w:szCs w:val="18"/>
                                        <w:lang w:val="en-US" w:eastAsia="zh-CN"/>
                                      </w:rPr>
                                    </w:pPr>
                                    <w:r>
                                      <w:rPr>
                                        <w:rFonts w:hint="eastAsia" w:ascii="Times New Roman" w:hAnsi="Times New Roman" w:eastAsia="黑体" w:cs="Times New Roman"/>
                                        <w:sz w:val="18"/>
                                        <w:szCs w:val="18"/>
                                        <w:lang w:val="en-US" w:eastAsia="zh-CN"/>
                                      </w:rPr>
                                      <w:t>28.8</w:t>
                                    </w:r>
                                  </w:p>
                                </w:txbxContent>
                              </wps:txbx>
                              <wps:bodyPr upright="1"/>
                            </wps:wsp>
                            <wps:wsp>
                              <wps:cNvPr id="42" name="矩形 1274_SpCnt_3"/>
                              <wps:cNvSpPr/>
                              <wps:spPr>
                                <a:xfrm>
                                  <a:off x="572135" y="1928495"/>
                                  <a:ext cx="1041400"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4836BD">
                                    <w:pPr>
                                      <w:jc w:val="center"/>
                                      <w:rPr>
                                        <w:rFonts w:hint="default" w:ascii="黑体" w:hAnsi="宋体" w:eastAsia="黑体" w:cs="黑体"/>
                                        <w:sz w:val="18"/>
                                        <w:szCs w:val="18"/>
                                        <w:lang w:val="en-US"/>
                                      </w:rPr>
                                    </w:pPr>
                                    <w:r>
                                      <w:rPr>
                                        <w:rFonts w:hint="eastAsia" w:ascii="黑体" w:hAnsi="宋体" w:eastAsia="黑体" w:cs="黑体"/>
                                        <w:sz w:val="18"/>
                                        <w:szCs w:val="18"/>
                                        <w:lang w:val="en-US" w:eastAsia="zh-CN"/>
                                      </w:rPr>
                                      <w:t>调漆用水</w:t>
                                    </w:r>
                                  </w:p>
                                </w:txbxContent>
                              </wps:txbx>
                              <wps:bodyPr upright="1">
                                <a:spAutoFit/>
                              </wps:bodyPr>
                            </wps:wsp>
                            <wps:wsp>
                              <wps:cNvPr id="43" name="矩形 2156_SpCnt_5"/>
                              <wps:cNvSpPr/>
                              <wps:spPr>
                                <a:xfrm>
                                  <a:off x="189230" y="1722121"/>
                                  <a:ext cx="977900" cy="304799"/>
                                </a:xfrm>
                                <a:prstGeom prst="rect">
                                  <a:avLst/>
                                </a:prstGeom>
                                <a:noFill/>
                                <a:ln>
                                  <a:noFill/>
                                </a:ln>
                              </wps:spPr>
                              <wps:txbx>
                                <w:txbxContent>
                                  <w:p w14:paraId="1AA8F390">
                                    <w:pPr>
                                      <w:rPr>
                                        <w:rFonts w:hint="default" w:ascii="Times New Roman" w:hAnsi="Times New Roman" w:eastAsia="黑体" w:cs="Times New Roman"/>
                                        <w:sz w:val="18"/>
                                        <w:szCs w:val="18"/>
                                        <w:lang w:val="en-US"/>
                                      </w:rPr>
                                    </w:pPr>
                                    <w:r>
                                      <w:rPr>
                                        <w:rFonts w:hint="eastAsia" w:ascii="Times New Roman" w:hAnsi="Times New Roman" w:eastAsia="黑体" w:cs="Times New Roman"/>
                                        <w:sz w:val="18"/>
                                        <w:szCs w:val="18"/>
                                        <w:lang w:val="en-US" w:eastAsia="zh-CN"/>
                                      </w:rPr>
                                      <w:t>0.0282</w:t>
                                    </w:r>
                                  </w:p>
                                </w:txbxContent>
                              </wps:txbx>
                              <wps:bodyPr upright="1"/>
                            </wps:wsp>
                            <wps:wsp>
                              <wps:cNvPr id="44" name="任意多边形 2165_SpCnt_3"/>
                              <wps:cNvSpPr/>
                              <wps:spPr>
                                <a:xfrm>
                                  <a:off x="1407795" y="1621156"/>
                                  <a:ext cx="139700" cy="317499"/>
                                </a:xfrm>
                                <a:custGeom>
                                  <a:avLst/>
                                  <a:gdLst/>
                                  <a:ahLst/>
                                  <a:cxnLst/>
                                  <a:pathLst>
                                    <a:path w="231" h="508">
                                      <a:moveTo>
                                        <a:pt x="0" y="508"/>
                                      </a:moveTo>
                                      <a:cubicBezTo>
                                        <a:pt x="34" y="315"/>
                                        <a:pt x="68" y="123"/>
                                        <a:pt x="95" y="102"/>
                                      </a:cubicBezTo>
                                      <a:cubicBezTo>
                                        <a:pt x="122" y="81"/>
                                        <a:pt x="140" y="397"/>
                                        <a:pt x="163" y="380"/>
                                      </a:cubicBezTo>
                                      <a:cubicBezTo>
                                        <a:pt x="186" y="363"/>
                                        <a:pt x="208" y="181"/>
                                        <a:pt x="231" y="0"/>
                                      </a:cubicBezTo>
                                    </a:path>
                                  </a:pathLst>
                                </a:custGeom>
                                <a:noFill/>
                                <a:ln w="9525" cap="flat" cmpd="sng">
                                  <a:solidFill>
                                    <a:srgbClr val="000000"/>
                                  </a:solidFill>
                                  <a:prstDash val="dash"/>
                                  <a:round/>
                                  <a:headEnd type="none" w="med" len="med"/>
                                  <a:tailEnd type="triangle" w="sm" len="med"/>
                                </a:ln>
                              </wps:spPr>
                              <wps:bodyPr upright="1"/>
                            </wps:wsp>
                            <wps:wsp>
                              <wps:cNvPr id="45" name="矩形 2156_SpCnt_5"/>
                              <wps:cNvSpPr/>
                              <wps:spPr>
                                <a:xfrm>
                                  <a:off x="1150620" y="1384936"/>
                                  <a:ext cx="977900" cy="304800"/>
                                </a:xfrm>
                                <a:prstGeom prst="rect">
                                  <a:avLst/>
                                </a:prstGeom>
                                <a:noFill/>
                                <a:ln>
                                  <a:noFill/>
                                </a:ln>
                              </wps:spPr>
                              <wps:txbx>
                                <w:txbxContent>
                                  <w:p w14:paraId="5E40105F">
                                    <w:pPr>
                                      <w:rPr>
                                        <w:rFonts w:hint="default" w:ascii="Times New Roman" w:hAnsi="Times New Roman" w:eastAsia="黑体" w:cs="Times New Roman"/>
                                        <w:sz w:val="18"/>
                                        <w:szCs w:val="18"/>
                                        <w:lang w:val="en-US"/>
                                      </w:rPr>
                                    </w:pPr>
                                    <w:r>
                                      <w:rPr>
                                        <w:rFonts w:hint="eastAsia" w:ascii="Times New Roman" w:hAnsi="Times New Roman" w:eastAsia="黑体" w:cs="Times New Roman"/>
                                        <w:sz w:val="18"/>
                                        <w:szCs w:val="18"/>
                                        <w:lang w:val="en-US" w:eastAsia="zh-CN"/>
                                      </w:rPr>
                                      <w:t>0.0362</w:t>
                                    </w:r>
                                  </w:p>
                                </w:txbxContent>
                              </wps:txbx>
                              <wps:bodyPr upright="1"/>
                            </wps:wsp>
                            <wps:wsp>
                              <wps:cNvPr id="55" name="矩形 1274_SpCnt_3"/>
                              <wps:cNvSpPr/>
                              <wps:spPr>
                                <a:xfrm>
                                  <a:off x="580390" y="5033646"/>
                                  <a:ext cx="1041400" cy="2997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00684C">
                                    <w:pPr>
                                      <w:jc w:val="center"/>
                                      <w:rPr>
                                        <w:rFonts w:hint="default" w:ascii="黑体" w:hAnsi="宋体" w:eastAsia="黑体" w:cs="黑体"/>
                                        <w:sz w:val="18"/>
                                        <w:szCs w:val="18"/>
                                        <w:lang w:val="en-US"/>
                                      </w:rPr>
                                    </w:pPr>
                                    <w:r>
                                      <w:rPr>
                                        <w:rFonts w:hint="eastAsia" w:ascii="黑体" w:hAnsi="宋体" w:eastAsia="黑体" w:cs="黑体"/>
                                        <w:sz w:val="18"/>
                                        <w:szCs w:val="18"/>
                                        <w:lang w:val="en-US" w:eastAsia="zh-CN"/>
                                      </w:rPr>
                                      <w:t>打磨用水</w:t>
                                    </w:r>
                                  </w:p>
                                </w:txbxContent>
                              </wps:txbx>
                              <wps:bodyPr upright="1">
                                <a:spAutoFit/>
                              </wps:bodyPr>
                            </wps:wsp>
                            <wps:wsp>
                              <wps:cNvPr id="56" name="任意多边形 2165_SpCnt_3"/>
                              <wps:cNvSpPr/>
                              <wps:spPr>
                                <a:xfrm>
                                  <a:off x="1303655" y="4712971"/>
                                  <a:ext cx="139700" cy="317500"/>
                                </a:xfrm>
                                <a:custGeom>
                                  <a:avLst/>
                                  <a:gdLst/>
                                  <a:ahLst/>
                                  <a:cxnLst/>
                                  <a:pathLst>
                                    <a:path w="231" h="508">
                                      <a:moveTo>
                                        <a:pt x="0" y="508"/>
                                      </a:moveTo>
                                      <a:cubicBezTo>
                                        <a:pt x="34" y="315"/>
                                        <a:pt x="68" y="123"/>
                                        <a:pt x="95" y="102"/>
                                      </a:cubicBezTo>
                                      <a:cubicBezTo>
                                        <a:pt x="122" y="81"/>
                                        <a:pt x="140" y="397"/>
                                        <a:pt x="163" y="380"/>
                                      </a:cubicBezTo>
                                      <a:cubicBezTo>
                                        <a:pt x="186" y="363"/>
                                        <a:pt x="208" y="181"/>
                                        <a:pt x="231" y="0"/>
                                      </a:cubicBezTo>
                                    </a:path>
                                  </a:pathLst>
                                </a:custGeom>
                                <a:noFill/>
                                <a:ln w="9525" cap="flat" cmpd="sng">
                                  <a:solidFill>
                                    <a:srgbClr val="000000"/>
                                  </a:solidFill>
                                  <a:prstDash val="dash"/>
                                  <a:round/>
                                  <a:headEnd type="none" w="med" len="med"/>
                                  <a:tailEnd type="triangle" w="sm" len="med"/>
                                </a:ln>
                              </wps:spPr>
                              <wps:bodyPr upright="1"/>
                            </wps:wsp>
                            <wps:wsp>
                              <wps:cNvPr id="57" name="矩形 2156_SpCnt_3"/>
                              <wps:cNvSpPr/>
                              <wps:spPr>
                                <a:xfrm>
                                  <a:off x="1324610" y="4470401"/>
                                  <a:ext cx="977900" cy="304800"/>
                                </a:xfrm>
                                <a:prstGeom prst="rect">
                                  <a:avLst/>
                                </a:prstGeom>
                                <a:noFill/>
                                <a:ln>
                                  <a:noFill/>
                                </a:ln>
                              </wps:spPr>
                              <wps:txbx>
                                <w:txbxContent>
                                  <w:p w14:paraId="639B768D">
                                    <w:pPr>
                                      <w:rPr>
                                        <w:rFonts w:ascii="Times New Roman" w:hAnsi="Times New Roman" w:eastAsia="黑体" w:cs="Times New Roman"/>
                                        <w:sz w:val="18"/>
                                        <w:szCs w:val="18"/>
                                      </w:rPr>
                                    </w:pPr>
                                    <w:r>
                                      <w:rPr>
                                        <w:rFonts w:hint="eastAsia" w:ascii="Times New Roman" w:hAnsi="Times New Roman" w:eastAsia="黑体" w:cs="Times New Roman"/>
                                        <w:sz w:val="18"/>
                                        <w:szCs w:val="18"/>
                                        <w:lang w:val="en-US" w:eastAsia="zh-CN"/>
                                      </w:rPr>
                                      <w:t>0.001</w:t>
                                    </w:r>
                                  </w:p>
                                </w:txbxContent>
                              </wps:txbx>
                              <wps:bodyPr upright="1"/>
                            </wps:wsp>
                            <wps:wsp>
                              <wps:cNvPr id="58" name="直线 949"/>
                              <wps:cNvCnPr/>
                              <wps:spPr>
                                <a:xfrm flipV="1">
                                  <a:off x="213995" y="5174616"/>
                                  <a:ext cx="363855" cy="3600"/>
                                </a:xfrm>
                                <a:prstGeom prst="line">
                                  <a:avLst/>
                                </a:prstGeom>
                                <a:ln w="9525" cap="flat" cmpd="sng">
                                  <a:solidFill>
                                    <a:srgbClr val="000000"/>
                                  </a:solidFill>
                                  <a:prstDash val="solid"/>
                                  <a:headEnd type="none" w="med" len="med"/>
                                  <a:tailEnd type="arrow" w="med" len="med"/>
                                </a:ln>
                              </wps:spPr>
                              <wps:bodyPr upright="1"/>
                            </wps:wsp>
                            <wps:wsp>
                              <wps:cNvPr id="59" name="矩形 2156_SpCnt_5"/>
                              <wps:cNvSpPr/>
                              <wps:spPr>
                                <a:xfrm>
                                  <a:off x="214630" y="4882516"/>
                                  <a:ext cx="977900" cy="304800"/>
                                </a:xfrm>
                                <a:prstGeom prst="rect">
                                  <a:avLst/>
                                </a:prstGeom>
                                <a:noFill/>
                                <a:ln>
                                  <a:noFill/>
                                </a:ln>
                              </wps:spPr>
                              <wps:txbx>
                                <w:txbxContent>
                                  <w:p w14:paraId="1A35DD54">
                                    <w:pPr>
                                      <w:rPr>
                                        <w:rFonts w:ascii="Times New Roman" w:hAnsi="Times New Roman" w:eastAsia="黑体" w:cs="Times New Roman"/>
                                        <w:sz w:val="18"/>
                                        <w:szCs w:val="18"/>
                                      </w:rPr>
                                    </w:pPr>
                                    <w:r>
                                      <w:rPr>
                                        <w:rFonts w:hint="eastAsia" w:ascii="Times New Roman" w:hAnsi="Times New Roman" w:eastAsia="黑体" w:cs="Times New Roman"/>
                                        <w:sz w:val="18"/>
                                        <w:szCs w:val="18"/>
                                        <w:lang w:val="en-US" w:eastAsia="zh-CN"/>
                                      </w:rPr>
                                      <w:t>0.001</w:t>
                                    </w:r>
                                  </w:p>
                                </w:txbxContent>
                              </wps:txbx>
                              <wps:bodyPr upright="1"/>
                            </wps:wsp>
                            <wps:wsp>
                              <wps:cNvPr id="242" name="肘形连接符 242"/>
                              <wps:cNvCnPr>
                                <a:stCxn id="27" idx="3"/>
                                <a:endCxn id="42" idx="3"/>
                              </wps:cNvCnPr>
                              <wps:spPr>
                                <a:xfrm flipV="1">
                                  <a:off x="1611630" y="2078355"/>
                                  <a:ext cx="3175" cy="2215515"/>
                                </a:xfrm>
                                <a:prstGeom prst="bentConnector3">
                                  <a:avLst>
                                    <a:gd name="adj1" fmla="val 30060000"/>
                                  </a:avLst>
                                </a:prstGeom>
                                <a:ln w="635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id="画布 1231" o:spid="_x0000_s1026" o:spt="203" style="height:434.75pt;width:418.75pt;" coordsize="5318125,5521325" editas="canvas"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">
                      <o:lock v:ext="edit" aspectratio="f"/>
                      <v:shape id="画布 1231" o:spid="_x0000_s1026" style="position:absolute;left:0;top:0;height:5521325;width:5318125;"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">
                        <v:fill on="f" focussize="0,0"/>
                        <v:stroke on="f"/>
                        <v:imagedata o:title=""/>
                        <o:lock v:ext="edit" aspectratio="t"/>
                      </v:shape>
                      <v:rect id="矩形 1274" o:spid="_x0000_s1026" o:spt="1" style="position:absolute;left:580390;top:1087755;height:299720;width:1048385;" fillcolor="#FFFFFF" filled="t" stroked="t" coordsize="21600,21600" o:gfxdata="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1eo7L1AAAAAUBAAAP&#10;AAAAAAAAAAEAIAAAACIAAABkcnMvZG93bnJldi54bWxQSwECFAAUAAAACACHTuJATEcdYxwCAABR&#10;BAAADgAAAAAAAAABACAAAAAjAQAAZHJzL2Uyb0RvYy54bWxQSwUGAAAAAAYABgBZAQAAsQUAAAAA&#10;">
                        <v:fill on="t" focussize="0,0"/>
                        <v:stroke color="#000000" joinstyle="miter"/>
                        <v:imagedata o:title=""/>
                        <o:lock v:ext="edit" aspectratio="f"/>
                        <v:textbox style="mso-fit-shape-to-text:t;">
                          <w:txbxContent>
                            <w:p w14:paraId="50183631">
                              <w:pPr>
                                <w:jc w:val="center"/>
                                <w:rPr>
                                  <w:rFonts w:ascii="黑体" w:hAnsi="宋体" w:eastAsia="黑体" w:cs="黑体"/>
                                  <w:sz w:val="18"/>
                                  <w:szCs w:val="18"/>
                                </w:rPr>
                              </w:pPr>
                              <w:r>
                                <w:rPr>
                                  <w:rFonts w:hint="eastAsia" w:ascii="黑体" w:hAnsi="宋体" w:eastAsia="黑体" w:cs="黑体"/>
                                  <w:sz w:val="18"/>
                                  <w:szCs w:val="18"/>
                                </w:rPr>
                                <w:t>生活用水</w:t>
                              </w:r>
                            </w:p>
                          </w:txbxContent>
                        </v:textbox>
                      </v:rect>
                      <v:rect id="矩形 1294" o:spid="_x0000_s1026" o:spt="1" style="position:absolute;left:28575;top:460375;height:526415;width:81153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UfoBVtcA&#10;AAAFAQAADwAAAAAAAAABACAAAAAiAAAAZHJzL2Rvd25yZXYueG1sUEsBAhQAFAAAAAgAh07iQNpg&#10;AiGuAQAATAMAAA4AAAAAAAAAAQAgAAAAJgEAAGRycy9lMm9Eb2MueG1sUEsFBgAAAAAGAAYAWQEA&#10;AEYFAAAAAA==&#10;">
                        <v:fill on="f" focussize="0,0"/>
                        <v:stroke on="f"/>
                        <v:imagedata o:title=""/>
                        <o:lock v:ext="edit" aspectratio="f"/>
                        <v:textbox>
                          <w:txbxContent>
                            <w:p w14:paraId="2FB3AAD2">
                              <w:pPr>
                                <w:jc w:val="center"/>
                                <w:rPr>
                                  <w:rFonts w:hint="default" w:ascii="Times New Roman" w:hAnsi="Times New Roman" w:eastAsia="黑体" w:cs="Times New Roman"/>
                                  <w:sz w:val="18"/>
                                  <w:szCs w:val="18"/>
                                  <w:lang w:val="en-US"/>
                                </w:rPr>
                              </w:pPr>
                              <w:r>
                                <w:rPr>
                                  <w:rFonts w:hint="eastAsia" w:ascii="Times New Roman" w:hAnsi="Times New Roman" w:eastAsia="黑体" w:cs="Times New Roman"/>
                                  <w:sz w:val="18"/>
                                  <w:szCs w:val="18"/>
                                  <w:lang w:val="en-US" w:eastAsia="zh-CN"/>
                                </w:rPr>
                                <w:t>新鲜水3.6532</w:t>
                              </w:r>
                            </w:p>
                          </w:txbxContent>
                        </v:textbox>
                      </v:rect>
                      <v:shape id="自选图形 1378" o:spid="_x0000_s1026" o:spt="32" type="#_x0000_t32" style="position:absolute;left:251460;top:1257444;flip:y;height:2540;width:329565;" filled="f" stroked="t" coordsize="21600,21600" o:gfxdata="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HyFgdYAAAAFAQAADwAA&#10;AAAAAAABACAAAAAiAAAAZHJzL2Rvd25yZXYueG1sUEsBAhQAFAAAAAgAh07iQIqLky8YAgAAAAQA&#10;AA4AAAAAAAAAAQAgAAAAJQEAAGRycy9lMm9Eb2MueG1sUEsFBgAAAAAGAAYAWQEAAK8FAAAAAA==&#10;">
                        <v:fill on="f" focussize="0,0"/>
                        <v:stroke color="#000000" joinstyle="round" endarrow="block" endarrowwidth="narrow"/>
                        <v:imagedata o:title=""/>
                        <o:lock v:ext="edit" aspectratio="f"/>
                      </v:shape>
                      <v:rect id="矩形 1382" o:spid="_x0000_s1026" o:spt="1" style="position:absolute;left:1962785;top:1101090;height:299720;width:1048385;" fillcolor="#FFFFFF" filled="t" stroked="t" coordsize="21600,21600" o:gfxdata="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eo7L1AAAAAUBAAAPAAAA&#10;AAAAAAEAIAAAACIAAABkcnMvZG93bnJldi54bWxQSwECFAAUAAAACACHTuJAk+iUIBkCAABSBAAA&#10;DgAAAAAAAAABACAAAAAjAQAAZHJzL2Uyb0RvYy54bWxQSwUGAAAAAAYABgBZAQAArgUAAAAA&#10;">
                        <v:fill on="t" focussize="0,0"/>
                        <v:stroke color="#000000" joinstyle="miter"/>
                        <v:imagedata o:title=""/>
                        <o:lock v:ext="edit" aspectratio="f"/>
                        <v:textbox style="mso-fit-shape-to-text:t;">
                          <w:txbxContent>
                            <w:p w14:paraId="52A31A60">
                              <w:pPr>
                                <w:jc w:val="center"/>
                                <w:rPr>
                                  <w:rFonts w:ascii="黑体" w:hAnsi="宋体" w:eastAsia="黑体" w:cs="黑体"/>
                                  <w:sz w:val="18"/>
                                  <w:szCs w:val="18"/>
                                </w:rPr>
                              </w:pPr>
                              <w:r>
                                <w:rPr>
                                  <w:rFonts w:hint="eastAsia" w:ascii="黑体" w:hAnsi="宋体" w:eastAsia="黑体" w:cs="黑体"/>
                                  <w:sz w:val="18"/>
                                  <w:szCs w:val="18"/>
                                </w:rPr>
                                <w:t>化粪池</w:t>
                              </w:r>
                            </w:p>
                          </w:txbxContent>
                        </v:textbox>
                      </v:rect>
                      <v:shape id="自选图形 1383" o:spid="_x0000_s1026" o:spt="32" type="#_x0000_t32" style="position:absolute;left:1633855;top:1242837;flip:y;height:2540;width:329565;" filled="f" stroked="t" coordsize="21600,21600" o:gfxdata="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HyFgdYAAAAFAQAADwAA&#10;AAAAAAABACAAAAAiAAAAZHJzL2Rvd25yZXYueG1sUEsBAhQAFAAAAAgAh07iQHyucNYYAgAAAgQA&#10;AA4AAAAAAAAAAQAgAAAAJQEAAGRycy9lMm9Eb2MueG1sUEsFBgAAAAAGAAYAWQEAAK8FAAAAAA==&#10;">
                        <v:fill on="f" focussize="0,0"/>
                        <v:stroke color="#000000" joinstyle="round" endarrow="block" endarrowwidth="narrow"/>
                        <v:imagedata o:title=""/>
                        <o:lock v:ext="edit" aspectratio="f"/>
                      </v:shape>
                      <v:rect id="矩形 1384" o:spid="_x0000_s1026" o:spt="1" style="position:absolute;left:3348355;top:1101090;height:299720;width:1595120;" fillcolor="#FFFFFF" filled="t" stroked="t" coordsize="21600,21600" o:gfxdata="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eo7L1AAAAAUBAAAPAAAA&#10;AAAAAAEAIAAAACIAAABkcnMvZG93bnJldi54bWxQSwECFAAUAAAACACHTuJA1uAeJBkCAABTBAAA&#10;DgAAAAAAAAABACAAAAAjAQAAZHJzL2Uyb0RvYy54bWxQSwUGAAAAAAYABgBZAQAArgUAAAAA&#10;">
                        <v:fill on="t" focussize="0,0"/>
                        <v:stroke color="#000000" joinstyle="miter"/>
                        <v:imagedata o:title=""/>
                        <o:lock v:ext="edit" aspectratio="f"/>
                        <v:textbox style="mso-fit-shape-to-text:t;">
                          <w:txbxContent>
                            <w:p w14:paraId="193C7EDC">
                              <w:pPr>
                                <w:jc w:val="center"/>
                                <w:rPr>
                                  <w:rFonts w:ascii="黑体" w:hAnsi="宋体" w:eastAsia="黑体" w:cs="黑体"/>
                                  <w:sz w:val="18"/>
                                  <w:szCs w:val="18"/>
                                </w:rPr>
                              </w:pPr>
                              <w:r>
                                <w:rPr>
                                  <w:rFonts w:hint="eastAsia" w:ascii="黑体" w:hAnsi="宋体" w:eastAsia="黑体" w:cs="黑体"/>
                                  <w:sz w:val="18"/>
                                  <w:szCs w:val="18"/>
                                </w:rPr>
                                <w:t>八公山污水处理厂</w:t>
                              </w:r>
                            </w:p>
                          </w:txbxContent>
                        </v:textbox>
                      </v:rect>
                      <v:shape id="自选图形 1385" o:spid="_x0000_s1026" o:spt="32" type="#_x0000_t32" style="position:absolute;left:3019424;top:1242837;flip:y;height:635;width:329565;" filled="f" stroked="t" coordsize="21600,21600" o:gfxdata="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8fIWB1gAAAAUBAAAPAAAA&#10;AAAAAAEAIAAAACIAAABkcnMvZG93bnJldi54bWxQSwECFAAUAAAACACHTuJA09fQuBcCAAABBAAA&#10;DgAAAAAAAAABACAAAAAlAQAAZHJzL2Uyb0RvYy54bWxQSwUGAAAAAAYABgBZAQAArgUAAAAA&#10;">
                        <v:fill on="f" focussize="0,0"/>
                        <v:stroke color="#000000" joinstyle="round" endarrow="block" endarrowwidth="narrow"/>
                        <v:imagedata o:title=""/>
                        <o:lock v:ext="edit" aspectratio="f"/>
                      </v:shape>
                      <v:shape id="自选图形 1387" o:spid="_x0000_s1026" o:spt="32" type="#_x0000_t32" style="position:absolute;left:4249420;top:1402242;height:358816;width:3175;" filled="f" stroked="t" coordsize="21600,21600" o:gfxdata="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0vRkNcAAAAFAQAADwAAAAAAAAAB&#10;ACAAAAAiAAAAZHJzL2Rvd25yZXYueG1sUEsBAhQAFAAAAAgAh07iQArOayQRAgAA+AMAAA4AAAAA&#10;AAAAAQAgAAAAJgEAAGRycy9lMm9Eb2MueG1sUEsFBgAAAAAGAAYAWQEAAKkFAAAAAA==&#10;">
                        <v:fill on="f" focussize="0,0"/>
                        <v:stroke color="#000000" joinstyle="round" endarrow="block" endarrowwidth="narrow"/>
                        <v:imagedata o:title=""/>
                        <o:lock v:ext="edit" aspectratio="f"/>
                      </v:shape>
                      <v:rect id="矩形 1388" o:spid="_x0000_s1026" o:spt="1" style="position:absolute;left:3674745;top:1760856;height:289560;width:1150620;" filled="f" stroked="f" coordsize="21600,21600" o:gfxdata="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VQo3u1gAAAAUBAAAPAAAAAAAAAAEAIAAAACIAAABkcnMvZG93bnJldi54bWxQ&#10;SwECFAAUAAAACACHTuJA/92WjsABAABrAwAADgAAAAAAAAABACAAAAAlAQAAZHJzL2Uyb0RvYy54&#10;bWxQSwUGAAAAAAYABgBZAQAAVwUAAAAA&#10;">
                        <v:fill on="f" focussize="0,0"/>
                        <v:stroke on="f"/>
                        <v:imagedata o:title=""/>
                        <o:lock v:ext="edit" aspectratio="f"/>
                        <v:textbox style="mso-fit-shape-to-text:t;">
                          <w:txbxContent>
                            <w:p w14:paraId="0C7C410A">
                              <w:pPr>
                                <w:jc w:val="center"/>
                                <w:rPr>
                                  <w:rFonts w:ascii="黑体" w:hAnsi="宋体" w:eastAsia="黑体" w:cs="黑体"/>
                                  <w:sz w:val="18"/>
                                  <w:szCs w:val="18"/>
                                </w:rPr>
                              </w:pPr>
                              <w:r>
                                <w:rPr>
                                  <w:rFonts w:hint="eastAsia" w:ascii="黑体" w:hAnsi="宋体" w:eastAsia="黑体" w:cs="Times New Roman"/>
                                  <w:bCs/>
                                  <w:color w:val="000000"/>
                                  <w:sz w:val="18"/>
                                  <w:szCs w:val="18"/>
                                </w:rPr>
                                <w:t>淮河</w:t>
                              </w:r>
                            </w:p>
                          </w:txbxContent>
                        </v:textbox>
                      </v:rect>
                      <v:rect id="矩形 1389" o:spid="_x0000_s1026" o:spt="1" style="position:absolute;left:1573530;top:1021832;height:310550;width:507365;"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UfoB&#10;VtcAAAAFAQAADwAAAAAAAAABACAAAAAiAAAAZHJzL2Rvd25yZXYueG1sUEsBAhQAFAAAAAgAh07i&#10;QJrzziixAQAAUAMAAA4AAAAAAAAAAQAgAAAAJgEAAGRycy9lMm9Eb2MueG1sUEsFBgAAAAAGAAYA&#10;WQEAAEkFAAAAAA==&#10;">
                        <v:fill on="f" focussize="0,0"/>
                        <v:stroke on="f"/>
                        <v:imagedata o:title=""/>
                        <o:lock v:ext="edit" aspectratio="f"/>
                        <v:textbox>
                          <w:txbxContent>
                            <w:p w14:paraId="09A1BCD2">
                              <w:pPr>
                                <w:rPr>
                                  <w:rFonts w:ascii="Times New Roman" w:hAnsi="Times New Roman" w:eastAsia="黑体" w:cs="Times New Roman"/>
                                  <w:sz w:val="18"/>
                                  <w:szCs w:val="18"/>
                                </w:rPr>
                              </w:pPr>
                              <w:r>
                                <w:rPr>
                                  <w:rFonts w:ascii="Times New Roman" w:hAnsi="Times New Roman" w:eastAsia="黑体" w:cs="Times New Roman"/>
                                  <w:sz w:val="18"/>
                                  <w:szCs w:val="18"/>
                                </w:rPr>
                                <w:t>2.55</w:t>
                              </w:r>
                            </w:p>
                          </w:txbxContent>
                        </v:textbox>
                      </v:rect>
                      <v:shape id="文本框 1391" o:spid="_x0000_s1026" o:spt="202" type="#_x0000_t202" style="position:absolute;left:892810;top:544257;height:257839;width:429260;" filled="f" stroked="f" coordsize="21600,21600" o:gfxdata="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vSV4lNMAAAAFAQAADwAAAAAAAAABACAAAAAiAAAAZHJzL2Rvd25yZXYueG1sUEsBAhQAFAAAAAgA&#10;h07iQEEVIya4AQAAWwMAAA4AAAAAAAAAAQAgAAAAIgEAAGRycy9lMm9Eb2MueG1sUEsFBgAAAAAG&#10;AAYAWQEAAEwFAAAAAA==&#10;">
                        <v:fill on="f" focussize="0,0"/>
                        <v:stroke on="f"/>
                        <v:imagedata o:title=""/>
                        <o:lock v:ext="edit" aspectratio="f"/>
                        <v:textbox>
                          <w:txbxContent>
                            <w:p w14:paraId="575AEB3B">
                              <w:pPr>
                                <w:rPr>
                                  <w:rFonts w:ascii="Times New Roman" w:hAnsi="Times New Roman" w:cs="Times New Roman"/>
                                  <w:sz w:val="18"/>
                                  <w:szCs w:val="18"/>
                                </w:rPr>
                              </w:pPr>
                              <w:r>
                                <w:rPr>
                                  <w:rFonts w:ascii="Times New Roman" w:hAnsi="Times New Roman" w:eastAsia="宋体" w:cs="Times New Roman"/>
                                  <w:sz w:val="18"/>
                                  <w:szCs w:val="18"/>
                                </w:rPr>
                                <w:t>0.45</w:t>
                              </w:r>
                            </w:p>
                          </w:txbxContent>
                        </v:textbox>
                      </v:shape>
                      <v:rect id="矩形 1392" o:spid="_x0000_s1026" o:spt="1" style="position:absolute;left:2940050;top:1016751;height:310550;width:507365;"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UfoB&#10;VtcAAAAFAQAADwAAAAAAAAABACAAAAAiAAAAZHJzL2Rvd25yZXYueG1sUEsBAhQAFAAAAAgAh07i&#10;QJXHYzKxAQAAUAMAAA4AAAAAAAAAAQAgAAAAJgEAAGRycy9lMm9Eb2MueG1sUEsFBgAAAAAGAAYA&#10;WQEAAEkFAAAAAA==&#10;">
                        <v:fill on="f" focussize="0,0"/>
                        <v:stroke on="f"/>
                        <v:imagedata o:title=""/>
                        <o:lock v:ext="edit" aspectratio="f"/>
                        <v:textbox>
                          <w:txbxContent>
                            <w:p w14:paraId="7A9BFE38">
                              <w:pPr>
                                <w:rPr>
                                  <w:rFonts w:ascii="Times New Roman" w:hAnsi="Times New Roman" w:eastAsia="黑体" w:cs="Times New Roman"/>
                                  <w:sz w:val="18"/>
                                  <w:szCs w:val="18"/>
                                </w:rPr>
                              </w:pPr>
                              <w:r>
                                <w:rPr>
                                  <w:rFonts w:ascii="Times New Roman" w:hAnsi="Times New Roman" w:eastAsia="黑体" w:cs="Times New Roman"/>
                                  <w:sz w:val="18"/>
                                  <w:szCs w:val="18"/>
                                </w:rPr>
                                <w:t>2.55</w:t>
                              </w:r>
                            </w:p>
                          </w:txbxContent>
                        </v:textbox>
                      </v:rect>
                      <v:rect id="矩形 1394" o:spid="_x0000_s1026" o:spt="1" style="position:absolute;left:4262755;top:1427009;height:310550;width:507365;"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R&#10;+gFW1wAAAAUBAAAPAAAAAAAAAAEAIAAAACIAAABkcnMvZG93bnJldi54bWxQSwECFAAUAAAACACH&#10;TuJAOSPA7rMBAABQAwAADgAAAAAAAAABACAAAAAmAQAAZHJzL2Uyb0RvYy54bWxQSwUGAAAAAAYA&#10;BgBZAQAASwUAAAAA&#10;">
                        <v:fill on="f" focussize="0,0"/>
                        <v:stroke on="f"/>
                        <v:imagedata o:title=""/>
                        <o:lock v:ext="edit" aspectratio="f"/>
                        <v:textbox>
                          <w:txbxContent>
                            <w:p w14:paraId="30AE89ED">
                              <w:pPr>
                                <w:rPr>
                                  <w:rFonts w:ascii="Times New Roman" w:hAnsi="Times New Roman" w:eastAsia="黑体" w:cs="Times New Roman"/>
                                  <w:sz w:val="18"/>
                                  <w:szCs w:val="18"/>
                                </w:rPr>
                              </w:pPr>
                              <w:r>
                                <w:rPr>
                                  <w:rFonts w:ascii="Times New Roman" w:hAnsi="Times New Roman" w:eastAsia="黑体" w:cs="Times New Roman"/>
                                  <w:sz w:val="18"/>
                                  <w:szCs w:val="18"/>
                                </w:rPr>
                                <w:t>2.55</w:t>
                              </w:r>
                            </w:p>
                          </w:txbxContent>
                        </v:textbox>
                      </v:rect>
                      <v:shape id="任意多边形 1865" o:spid="_x0000_s1026" o:spt="100" style="position:absolute;left:945515;top:765262;height:322617;width:146685;" filled="f" stroked="t" coordsize="231,508" o:gfxdata="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Wi/NDtYAAAAFAQAADwAAAAAAAAABACAAAAAiAAAAZHJzL2Rvd25y&#10;ZXYueG1sUEsBAhQAFAAAAAgAh07iQF5BCtqrAgAAogUAAA4AAAAAAAAAAQAgAAAAJQEAAGRycy9l&#10;Mm9Eb2MueG1sUEsFBgAAAAAGAAYAWQEAAEIGAAAAAA==&#10;" path="m0,508c34,315,68,123,95,102c122,81,140,397,163,380c186,363,208,181,231,0e">
                        <v:fill on="f" focussize="0,0"/>
                        <v:stroke color="#000000" joinstyle="round" dashstyle="dash" endarrow="block" endarrowwidth="narrow"/>
                        <v:imagedata o:title=""/>
                        <o:lock v:ext="edit" aspectratio="f"/>
                      </v:shape>
                      <v:rect id="矩形 1912" o:spid="_x0000_s1026" o:spt="1" style="position:absolute;left:266065;top:957690;height:310550;width:507365;"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H6AVbX&#10;AAAABQEAAA8AAAAAAAAAAQAgAAAAIgAAAGRycy9kb3ducmV2LnhtbFBLAQIUABQAAAAIAIdO4kBf&#10;OtbJrwEAAE4DAAAOAAAAAAAAAAEAIAAAACYBAABkcnMvZTJvRG9jLnhtbFBLBQYAAAAABgAGAFkB&#10;AABHBQAAAAA=&#10;">
                        <v:fill on="f" focussize="0,0"/>
                        <v:stroke on="f"/>
                        <v:imagedata o:title=""/>
                        <o:lock v:ext="edit" aspectratio="f"/>
                        <v:textbox>
                          <w:txbxContent>
                            <w:p w14:paraId="6DB39C15">
                              <w:pPr>
                                <w:rPr>
                                  <w:rFonts w:ascii="Times New Roman" w:hAnsi="Times New Roman" w:eastAsia="黑体" w:cs="Times New Roman"/>
                                  <w:sz w:val="18"/>
                                  <w:szCs w:val="18"/>
                                </w:rPr>
                              </w:pPr>
                              <w:r>
                                <w:rPr>
                                  <w:rFonts w:ascii="Times New Roman" w:hAnsi="Times New Roman" w:eastAsia="黑体" w:cs="Times New Roman"/>
                                  <w:sz w:val="18"/>
                                  <w:szCs w:val="18"/>
                                </w:rPr>
                                <w:t>3</w:t>
                              </w:r>
                            </w:p>
                          </w:txbxContent>
                        </v:textbox>
                      </v:rect>
                      <v:shape id="自选图形 2152" o:spid="_x0000_s1026" o:spt="32" type="#_x0000_t32" style="position:absolute;left:241935;top:2048111;flip:y;height:2540;width:329565;" filled="f" stroked="t" coordsize="21600,21600" o:gfxdata="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8hYHWAAAABQEAAA8AAAAA&#10;AAAAAQAgAAAAIgAAAGRycy9kb3ducmV2LnhtbFBLAQIUABQAAAAIAIdO4kAYXneLFgIAAAEEAAAO&#10;AAAAAAAAAAEAIAAAACUBAABkcnMvZTJvRG9jLnhtbFBLBQYAAAAABgAGAFkBAACtBQAAAAA=&#10;">
                        <v:fill on="f" focussize="0,0"/>
                        <v:stroke color="#000000" joinstyle="round" endarrow="block" endarrowwidth="narrow"/>
                        <v:imagedata o:title=""/>
                        <o:lock v:ext="edit" aspectratio="f"/>
                      </v:shape>
                      <v:rect id="矩形 1274_SpCnt_2" o:spid="_x0000_s1026" o:spt="1" style="position:absolute;left:525145;top:2848611;height:299720;width:1048385;" fillcolor="#FFFFFF" filled="t" stroked="t" coordsize="21600,21600" o:gfxdata="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V6jsvU&#10;AAAABQEAAA8AAAAAAAAAAQAgAAAAIgAAAGRycy9kb3ducmV2LnhtbFBLAQIUABQAAAAIAIdO4kBM&#10;dmL9JAIAAFoEAAAOAAAAAAAAAAEAIAAAACMBAABkcnMvZTJvRG9jLnhtbFBLBQYAAAAABgAGAFkB&#10;AAC5BQAAAAA=&#10;">
                        <v:fill on="t" focussize="0,0"/>
                        <v:stroke color="#000000" joinstyle="miter"/>
                        <v:imagedata o:title=""/>
                        <o:lock v:ext="edit" aspectratio="f"/>
                        <v:textbox style="mso-fit-shape-to-text:t;">
                          <w:txbxContent>
                            <w:p w14:paraId="109AACDB">
                              <w:pPr>
                                <w:jc w:val="center"/>
                                <w:rPr>
                                  <w:rFonts w:ascii="黑体" w:hAnsi="宋体" w:eastAsia="黑体" w:cs="黑体"/>
                                  <w:sz w:val="18"/>
                                  <w:szCs w:val="18"/>
                                </w:rPr>
                              </w:pPr>
                              <w:r>
                                <w:rPr>
                                  <w:rFonts w:hint="eastAsia" w:ascii="黑体" w:hAnsi="宋体" w:eastAsia="黑体" w:cs="黑体"/>
                                  <w:sz w:val="18"/>
                                  <w:szCs w:val="18"/>
                                </w:rPr>
                                <w:t>水帘除漆雾用水</w:t>
                              </w:r>
                            </w:p>
                          </w:txbxContent>
                        </v:textbox>
                      </v:rect>
                      <v:rect id="矩形 1274_SpCnt_3" o:spid="_x0000_s1026" o:spt="1" style="position:absolute;left:563245;top:4144012;height:299720;width:1048385;" fillcolor="#FFFFFF" filled="t" stroked="t" coordsize="21600,21600" o:gfxdata="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1eo7L&#10;1AAAAAUBAAAPAAAAAAAAAAEAIAAAACIAAABkcnMvZG93bnJldi54bWxQSwECFAAUAAAACACHTuJA&#10;m4SU3iUCAABaBAAADgAAAAAAAAABACAAAAAjAQAAZHJzL2Uyb0RvYy54bWxQSwUGAAAAAAYABgBZ&#10;AQAAugUAAAAA&#10;">
                        <v:fill on="t" focussize="0,0"/>
                        <v:stroke color="#000000" joinstyle="miter"/>
                        <v:imagedata o:title=""/>
                        <o:lock v:ext="edit" aspectratio="f"/>
                        <v:textbox style="mso-fit-shape-to-text:t;">
                          <w:txbxContent>
                            <w:p w14:paraId="4630C168">
                              <w:pPr>
                                <w:jc w:val="center"/>
                                <w:rPr>
                                  <w:rFonts w:ascii="黑体" w:hAnsi="宋体" w:eastAsia="黑体" w:cs="黑体"/>
                                  <w:sz w:val="18"/>
                                  <w:szCs w:val="18"/>
                                </w:rPr>
                              </w:pPr>
                              <w:r>
                                <w:rPr>
                                  <w:rFonts w:hint="eastAsia" w:ascii="黑体" w:hAnsi="宋体" w:eastAsia="黑体" w:cs="黑体"/>
                                  <w:sz w:val="18"/>
                                  <w:szCs w:val="18"/>
                                </w:rPr>
                                <w:t>喷枪清洗用水</w:t>
                              </w:r>
                            </w:p>
                          </w:txbxContent>
                        </v:textbox>
                      </v:rect>
                      <v:shape id="任意多边形 2165_SpCnt_2" o:spid="_x0000_s1026" o:spt="100" style="position:absolute;left:715645;top:2516506;height:322580;width:146685;" filled="f" stroked="t" coordsize="231,508" o:gfxdata="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&#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BaL80O1gAAAAUBAAAPAAAAAAAAAAEAIAAAACIAAABk&#10;cnMvZG93bnJldi54bWxQSwECFAAUAAAACACHTuJAkcrkj7MCAACrBQAADgAAAAAAAAABACAAAAAl&#10;AQAAZHJzL2Uyb0RvYy54bWxQSwUGAAAAAAYABgBZAQAASgYAAAAA&#10;" path="m0,508c34,315,68,123,95,102c122,81,140,397,163,380c186,363,208,181,231,0e">
                        <v:fill on="f" focussize="0,0"/>
                        <v:stroke color="#000000" joinstyle="round" dashstyle="dash" endarrow="block" endarrowwidth="narrow"/>
                        <v:imagedata o:title=""/>
                        <o:lock v:ext="edit" aspectratio="f"/>
                      </v:shape>
                      <v:rect id="矩形 2156_SpCnt_2" o:spid="_x0000_s1026" o:spt="1" style="position:absolute;left:639445;top:2277111;height:310515;width:98171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R+gFW1wAAAAUBAAAPAAAAAAAAAAEAIAAAACIAAABkcnMvZG93bnJldi54bWxQSwECFAAU&#10;AAAACACHTuJAmY75+bkBAABXAwAADgAAAAAAAAABACAAAAAmAQAAZHJzL2Uyb0RvYy54bWxQSwUG&#10;AAAAAAYABgBZAQAAUQUAAAAA&#10;">
                        <v:fill on="f" focussize="0,0"/>
                        <v:stroke on="f"/>
                        <v:imagedata o:title=""/>
                        <o:lock v:ext="edit" aspectratio="f"/>
                        <v:textbox>
                          <w:txbxContent>
                            <w:p w14:paraId="451AB2D2">
                              <w:pPr>
                                <w:rPr>
                                  <w:rFonts w:hint="default" w:ascii="Times New Roman" w:hAnsi="Times New Roman" w:eastAsia="黑体" w:cs="Times New Roman"/>
                                  <w:sz w:val="18"/>
                                  <w:szCs w:val="18"/>
                                  <w:lang w:val="en-US" w:eastAsia="zh-CN"/>
                                </w:rPr>
                              </w:pPr>
                              <w:r>
                                <w:rPr>
                                  <w:rFonts w:ascii="Times New Roman" w:hAnsi="Times New Roman" w:eastAsia="黑体" w:cs="Times New Roman"/>
                                  <w:sz w:val="18"/>
                                  <w:szCs w:val="18"/>
                                </w:rPr>
                                <w:t>0.</w:t>
                              </w:r>
                              <w:r>
                                <w:rPr>
                                  <w:rFonts w:hint="eastAsia" w:ascii="Times New Roman" w:hAnsi="Times New Roman" w:eastAsia="黑体" w:cs="Times New Roman"/>
                                  <w:sz w:val="18"/>
                                  <w:szCs w:val="18"/>
                                  <w:lang w:val="en-US" w:eastAsia="zh-CN"/>
                                </w:rPr>
                                <w:t>576</w:t>
                              </w:r>
                            </w:p>
                          </w:txbxContent>
                        </v:textbox>
                      </v:rect>
                      <v:rect id="矩形 2156_SpCnt_3" o:spid="_x0000_s1026" o:spt="1" style="position:absolute;left:1809750;top:1795145;height:310515;width:98171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foBVtcAAAAFAQAADwAAAAAAAAABACAAAAAiAAAAZHJzL2Rvd25yZXYueG1sUEsBAhQA&#10;FAAAAAgAh07iQIbtHBS6AQAAWAMAAA4AAAAAAAAAAQAgAAAAJgEAAGRycy9lMm9Eb2MueG1sUEsF&#10;BgAAAAAGAAYAWQEAAFIFAAAAAA==&#10;">
                        <v:fill on="f" focussize="0,0"/>
                        <v:stroke on="f"/>
                        <v:imagedata o:title=""/>
                        <o:lock v:ext="edit" aspectratio="f"/>
                        <v:textbox>
                          <w:txbxContent>
                            <w:p w14:paraId="0464E19E">
                              <w:pPr>
                                <w:rPr>
                                  <w:rFonts w:ascii="Times New Roman" w:hAnsi="Times New Roman" w:eastAsia="黑体" w:cs="Times New Roman"/>
                                  <w:sz w:val="18"/>
                                  <w:szCs w:val="18"/>
                                </w:rPr>
                              </w:pPr>
                              <w:r>
                                <w:rPr>
                                  <w:rFonts w:ascii="Times New Roman" w:hAnsi="Times New Roman" w:eastAsia="黑体" w:cs="Times New Roman"/>
                                  <w:sz w:val="18"/>
                                  <w:szCs w:val="18"/>
                                </w:rPr>
                                <w:t>0.008</w:t>
                              </w:r>
                            </w:p>
                          </w:txbxContent>
                        </v:textbox>
                      </v:rect>
                      <v:shape id="AutoShape 3292_SpCnt_1" o:spid="_x0000_s1026" o:spt="35" type="#_x0000_t35" style="position:absolute;left:1068070;top:2882901;height:107950;width:523875;rotation:11796480f;" filled="f" stroked="t" coordsize="21600,21600" o:gfxdata="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rp5RfVAAAABQEAAA8AAAAAAAAAAQAgAAAAIgAAAGRycy9kb3ducmV2Lnht&#10;bFBLAQIUABQAAAAIAIdO4kBICXN9NQIAAGcEAAAOAAAAAAAAAAEAIAAAACQBAABkcnMvZTJvRG9j&#10;LnhtbFBLBQYAAAAABgAGAFkBAADLBQAAAAA=&#10;" adj="-18380,67214">
                        <v:fill on="f" focussize="0,0"/>
                        <v:stroke color="#000000" joinstyle="miter" endarrow="block" endarrowwidth="narrow"/>
                        <v:imagedata o:title=""/>
                        <o:lock v:ext="edit" aspectratio="f"/>
                      </v:shape>
                      <v:line id="直线 599" o:spid="_x0000_s1026" o:spt="20" style="position:absolute;left:203835;top:765175;height:4425951;width:9525;" filled="f" stroked="t" coordsize="21600,21600" o:gfxdata="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v/j8p1QAAAAUBAAAPAAAAAAAAAAEAIAAAACIAAABkcnMvZG93bnJldi54bWxQSwECFAAU&#10;AAAACACHTuJA7L+G5/QBAADrAwAADgAAAAAAAAABACAAAAAkAQAAZHJzL2Uyb0RvYy54bWxQSwUG&#10;AAAAAAYABgBZAQAAigUAAAAA&#10;">
                        <v:fill on="f" focussize="0,0"/>
                        <v:stroke color="#000000" joinstyle="round"/>
                        <v:imagedata o:title=""/>
                        <o:lock v:ext="edit" aspectratio="f"/>
                      </v:line>
                      <v:shape id="自选图形 1378_SpCnt_2" o:spid="_x0000_s1026" o:spt="32" type="#_x0000_t32" style="position:absolute;left:212725;top:2988311;flip:y;height:2540;width:329565;" filled="f" stroked="t" coordsize="21600,21600" o:gfxdata="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8fIWB1gAA&#10;AAUBAAAPAAAAAAAAAAEAIAAAACIAAABkcnMvZG93bnJldi54bWxQSwECFAAUAAAACACHTuJApDtA&#10;ciACAAAJBAAADgAAAAAAAAABACAAAAAlAQAAZHJzL2Uyb0RvYy54bWxQSwUGAAAAAAYABgBZAQAA&#10;twUAAAAA&#10;">
                        <v:fill on="f" focussize="0,0"/>
                        <v:stroke color="#000000" joinstyle="round" endarrow="block" endarrowwidth="narrow"/>
                        <v:imagedata o:title=""/>
                        <o:lock v:ext="edit" aspectratio="f"/>
                      </v:shape>
                      <v:shape id="自选图形 1378_SpCnt_3" o:spid="_x0000_s1026" o:spt="32" type="#_x0000_t32" style="position:absolute;left:214630;top:4308477;flip:y;height:2540;width:329565;" filled="f" stroked="t" coordsize="21600,21600" o:gfxdata="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PHyFgdYA&#10;AAAFAQAADwAAAAAAAAABACAAAAAiAAAAZHJzL2Rvd25yZXYueG1sUEsBAhQAFAAAAAgAh07iQIH9&#10;jKshAgAACQQAAA4AAAAAAAAAAQAgAAAAJQEAAGRycy9lMm9Eb2MueG1sUEsFBgAAAAAGAAYAWQEA&#10;ALgFAAAAAA==&#10;">
                        <v:fill on="f" focussize="0,0"/>
                        <v:stroke color="#000000" joinstyle="round" endarrow="block" endarrowwidth="narrow"/>
                        <v:imagedata o:title=""/>
                        <o:lock v:ext="edit" aspectratio="f"/>
                      </v:shape>
                      <v:rect id="矩形 2156_SpCnt_5" o:spid="_x0000_s1026" o:spt="1" style="position:absolute;left:136525;top:4093845;height:310515;width:98171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H6AVbXAAAABQEAAA8AAAAAAAAAAQAgAAAAIgAAAGRycy9kb3ducmV2LnhtbFBLAQIU&#10;ABQAAAAIAIdO4kBGeYDduwEAAFcDAAAOAAAAAAAAAAEAIAAAACYBAABkcnMvZTJvRG9jLnhtbFBL&#10;BQYAAAAABgAGAFkBAABTBQAAAAA=&#10;">
                        <v:fill on="f" focussize="0,0"/>
                        <v:stroke on="f"/>
                        <v:imagedata o:title=""/>
                        <o:lock v:ext="edit" aspectratio="f"/>
                        <v:textbox>
                          <w:txbxContent>
                            <w:p w14:paraId="2B2255E7">
                              <w:pPr>
                                <w:rPr>
                                  <w:rFonts w:ascii="Times New Roman" w:hAnsi="Times New Roman" w:eastAsia="黑体" w:cs="Times New Roman"/>
                                  <w:sz w:val="18"/>
                                  <w:szCs w:val="18"/>
                                </w:rPr>
                              </w:pPr>
                              <w:r>
                                <w:rPr>
                                  <w:rFonts w:ascii="Times New Roman" w:hAnsi="Times New Roman" w:eastAsia="黑体" w:cs="Times New Roman"/>
                                  <w:sz w:val="18"/>
                                  <w:szCs w:val="18"/>
                                </w:rPr>
                                <w:t>0.008</w:t>
                              </w:r>
                            </w:p>
                          </w:txbxContent>
                        </v:textbox>
                      </v:rect>
                      <v:shape id="自选图形 1378_SpCnt_4" o:spid="_x0000_s1026" o:spt="32" type="#_x0000_t32" style="position:absolute;left:835025;top:3311526;flip:y;height:2540;width:329565;rotation:-5898240f;" filled="f" stroked="t" coordsize="21600,21600" o:gfxdata="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0A&#10;KQ7VAAAABQEAAA8AAAAAAAAAAQAgAAAAIgAAAGRycy9kb3ducmV2LnhtbFBLAQIUABQAAAAIAIdO&#10;4kAXP8D+JgIAABcEAAAOAAAAAAAAAAEAIAAAACQBAABkcnMvZTJvRG9jLnhtbFBLBQYAAAAABgAG&#10;AFkBAAC8BQAAAAA=&#10;">
                        <v:fill on="f" focussize="0,0"/>
                        <v:stroke color="#000000" joinstyle="round" endarrow="block" endarrowwidth="narrow"/>
                        <v:imagedata o:title=""/>
                        <o:lock v:ext="edit" aspectratio="f"/>
                      </v:shape>
                      <v:rect id="矩形 2156_SpCnt_7" o:spid="_x0000_s1026" o:spt="1" style="position:absolute;left:514350;top:3147696;height:310515;width:98171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H6AVbXAAAABQEAAA8AAAAAAAAAAQAgAAAAIgAAAGRycy9kb3ducmV2LnhtbFBLAQIUABQA&#10;AAAIAIdO4kB2gWu6uAEAAFcDAAAOAAAAAAAAAAEAIAAAACYBAABkcnMvZTJvRG9jLnhtbFBLBQYA&#10;AAAABgAGAFkBAABQBQAAAAA=&#10;">
                        <v:fill on="f" focussize="0,0"/>
                        <v:stroke on="f"/>
                        <v:imagedata o:title=""/>
                        <o:lock v:ext="edit" aspectratio="f"/>
                        <v:textbox>
                          <w:txbxContent>
                            <w:p w14:paraId="7D1A5E82">
                              <w:pPr>
                                <w:rPr>
                                  <w:rFonts w:hint="default" w:ascii="Times New Roman" w:hAnsi="Times New Roman" w:eastAsia="黑体" w:cs="Times New Roman"/>
                                  <w:sz w:val="18"/>
                                  <w:szCs w:val="18"/>
                                  <w:lang w:val="en-US" w:eastAsia="zh-CN"/>
                                </w:rPr>
                              </w:pPr>
                              <w:r>
                                <w:rPr>
                                  <w:rFonts w:ascii="Times New Roman" w:hAnsi="Times New Roman" w:eastAsia="黑体" w:cs="Times New Roman"/>
                                  <w:sz w:val="18"/>
                                  <w:szCs w:val="18"/>
                                </w:rPr>
                                <w:t>0.0</w:t>
                              </w:r>
                              <w:r>
                                <w:rPr>
                                  <w:rFonts w:hint="eastAsia" w:ascii="Times New Roman" w:hAnsi="Times New Roman" w:eastAsia="黑体" w:cs="Times New Roman"/>
                                  <w:sz w:val="18"/>
                                  <w:szCs w:val="18"/>
                                  <w:lang w:val="en-US" w:eastAsia="zh-CN"/>
                                </w:rPr>
                                <w:t>4</w:t>
                              </w:r>
                            </w:p>
                          </w:txbxContent>
                        </v:textbox>
                      </v:rect>
                      <v:rect id="矩形 2156_SpCnt_8" o:spid="_x0000_s1026" o:spt="1" style="position:absolute;left:138430;top:2730501;height:310515;width:98171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foBVtcAAAAFAQAADwAAAAAAAAABACAAAAAiAAAAZHJzL2Rvd25yZXYueG1sUEsBAhQAFAAA&#10;AAgAh07iQM8Xl4C3AQAAVwMAAA4AAAAAAAAAAQAgAAAAJgEAAGRycy9lMm9Eb2MueG1sUEsFBgAA&#10;AAAGAAYAWQEAAE8FAAAAAA==&#10;">
                        <v:fill on="f" focussize="0,0"/>
                        <v:stroke on="f"/>
                        <v:imagedata o:title=""/>
                        <o:lock v:ext="edit" aspectratio="f"/>
                        <v:textbox>
                          <w:txbxContent>
                            <w:p w14:paraId="274F97D5">
                              <w:pPr>
                                <w:rPr>
                                  <w:rFonts w:hint="default" w:ascii="Times New Roman" w:hAnsi="Times New Roman" w:eastAsia="黑体" w:cs="Times New Roman"/>
                                  <w:sz w:val="18"/>
                                  <w:szCs w:val="18"/>
                                  <w:lang w:val="en-US" w:eastAsia="zh-CN"/>
                                </w:rPr>
                              </w:pPr>
                              <w:r>
                                <w:rPr>
                                  <w:rFonts w:ascii="Times New Roman" w:hAnsi="Times New Roman" w:eastAsia="黑体" w:cs="Times New Roman"/>
                                  <w:sz w:val="18"/>
                                  <w:szCs w:val="18"/>
                                </w:rPr>
                                <w:t>0.</w:t>
                              </w:r>
                              <w:r>
                                <w:rPr>
                                  <w:rFonts w:hint="eastAsia" w:ascii="Times New Roman" w:hAnsi="Times New Roman" w:eastAsia="黑体" w:cs="Times New Roman"/>
                                  <w:sz w:val="18"/>
                                  <w:szCs w:val="18"/>
                                  <w:lang w:val="en-US" w:eastAsia="zh-CN"/>
                                </w:rPr>
                                <w:t>616</w:t>
                              </w:r>
                            </w:p>
                          </w:txbxContent>
                        </v:textbox>
                      </v:rect>
                      <v:rect id="矩形 2156_SpCnt_9" o:spid="_x0000_s1026" o:spt="1" style="position:absolute;left:542925;top:3477261;height:310515;width:1506855;"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R+gFW1wAAAAUBAAAPAAAAAAAAAAEAIAAAACIAAABkcnMvZG93bnJldi54bWxQSwECFAAU&#10;AAAACACHTuJA5+pue7kBAABYAwAADgAAAAAAAAABACAAAAAmAQAAZHJzL2Uyb0RvYy54bWxQSwUG&#10;AAAAAAYABgBZAQAAUQUAAAAA&#10;">
                        <v:fill on="f" focussize="0,0"/>
                        <v:stroke on="f"/>
                        <v:imagedata o:title=""/>
                        <o:lock v:ext="edit" aspectratio="f"/>
                        <v:textbox>
                          <w:txbxContent>
                            <w:p w14:paraId="1E5BECCD">
                              <w:pPr>
                                <w:rPr>
                                  <w:rFonts w:ascii="Times New Roman" w:hAnsi="Times New Roman" w:eastAsia="黑体" w:cs="Times New Roman"/>
                                  <w:sz w:val="18"/>
                                  <w:szCs w:val="18"/>
                                </w:rPr>
                              </w:pPr>
                              <w:r>
                                <w:rPr>
                                  <w:rFonts w:hint="eastAsia" w:ascii="Times New Roman" w:hAnsi="Times New Roman" w:eastAsia="黑体" w:cs="Times New Roman"/>
                                  <w:sz w:val="18"/>
                                  <w:szCs w:val="18"/>
                                </w:rPr>
                                <w:t>委托有资质单位处理</w:t>
                              </w:r>
                            </w:p>
                          </w:txbxContent>
                        </v:textbox>
                      </v:rect>
                      <v:rect id="矩形 2156_SpCnt_9" o:spid="_x0000_s1026" o:spt="1" style="position:absolute;left:2057400;top:2677161;height:304800;width:44196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R+gFW1wAAAAUBAAAPAAAAAAAAAAEAIAAAACIAAABkcnMvZG93bnJldi54bWxQSwECFAAU&#10;AAAACACHTuJAqOQr57kBAABYAwAADgAAAAAAAAABACAAAAAmAQAAZHJzL2Uyb0RvYy54bWxQSwUG&#10;AAAAAAYABgBZAQAAUQUAAAAA&#10;">
                        <v:fill on="f" focussize="0,0"/>
                        <v:stroke on="f"/>
                        <v:imagedata o:title=""/>
                        <o:lock v:ext="edit" aspectratio="f"/>
                        <v:textbox>
                          <w:txbxContent>
                            <w:p w14:paraId="3F07CDDB">
                              <w:pPr>
                                <w:rPr>
                                  <w:rFonts w:hint="default" w:ascii="Times New Roman" w:hAnsi="Times New Roman" w:eastAsia="黑体" w:cs="Times New Roman"/>
                                  <w:sz w:val="18"/>
                                  <w:szCs w:val="18"/>
                                  <w:lang w:val="en-US" w:eastAsia="zh-CN"/>
                                </w:rPr>
                              </w:pPr>
                              <w:r>
                                <w:rPr>
                                  <w:rFonts w:hint="eastAsia" w:ascii="Times New Roman" w:hAnsi="Times New Roman" w:eastAsia="黑体" w:cs="Times New Roman"/>
                                  <w:sz w:val="18"/>
                                  <w:szCs w:val="18"/>
                                  <w:lang w:val="en-US" w:eastAsia="zh-CN"/>
                                </w:rPr>
                                <w:t>28.8</w:t>
                              </w:r>
                            </w:p>
                          </w:txbxContent>
                        </v:textbox>
                      </v:rect>
                      <v:rect id="矩形 1274_SpCnt_3" o:spid="_x0000_s1026" o:spt="1" style="position:absolute;left:572135;top:1928495;height:299720;width:1041400;" fillcolor="#FFFFFF" filled="t" stroked="t" coordsize="21600,21600" o:gfxdata="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9XqO&#10;y9QAAAAFAQAADwAAAAAAAAABACAAAAAiAAAAZHJzL2Rvd25yZXYueG1sUEsBAhQAFAAAAAgAh07i&#10;QCq8cTwmAgAAWgQAAA4AAAAAAAAAAQAgAAAAIwEAAGRycy9lMm9Eb2MueG1sUEsFBgAAAAAGAAYA&#10;WQEAALsFAAAAAA==&#10;">
                        <v:fill on="t" focussize="0,0"/>
                        <v:stroke color="#000000" joinstyle="miter"/>
                        <v:imagedata o:title=""/>
                        <o:lock v:ext="edit" aspectratio="f"/>
                        <v:textbox style="mso-fit-shape-to-text:t;">
                          <w:txbxContent>
                            <w:p w14:paraId="254836BD">
                              <w:pPr>
                                <w:jc w:val="center"/>
                                <w:rPr>
                                  <w:rFonts w:hint="default" w:ascii="黑体" w:hAnsi="宋体" w:eastAsia="黑体" w:cs="黑体"/>
                                  <w:sz w:val="18"/>
                                  <w:szCs w:val="18"/>
                                  <w:lang w:val="en-US"/>
                                </w:rPr>
                              </w:pPr>
                              <w:r>
                                <w:rPr>
                                  <w:rFonts w:hint="eastAsia" w:ascii="黑体" w:hAnsi="宋体" w:eastAsia="黑体" w:cs="黑体"/>
                                  <w:sz w:val="18"/>
                                  <w:szCs w:val="18"/>
                                  <w:lang w:val="en-US" w:eastAsia="zh-CN"/>
                                </w:rPr>
                                <w:t>调漆用水</w:t>
                              </w:r>
                            </w:p>
                          </w:txbxContent>
                        </v:textbox>
                      </v:rect>
                      <v:rect id="矩形 2156_SpCnt_5" o:spid="_x0000_s1026" o:spt="1" style="position:absolute;left:189230;top:1722121;height:304799;width:97790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foBVtcAAAAFAQAADwAAAAAAAAABACAAAAAiAAAAZHJzL2Rvd25yZXYueG1sUEsBAhQAFAAA&#10;AAgAh07iQGGHhJm3AQAAVwMAAA4AAAAAAAAAAQAgAAAAJgEAAGRycy9lMm9Eb2MueG1sUEsFBgAA&#10;AAAGAAYAWQEAAE8FAAAAAA==&#10;">
                        <v:fill on="f" focussize="0,0"/>
                        <v:stroke on="f"/>
                        <v:imagedata o:title=""/>
                        <o:lock v:ext="edit" aspectratio="f"/>
                        <v:textbox>
                          <w:txbxContent>
                            <w:p w14:paraId="1AA8F390">
                              <w:pPr>
                                <w:rPr>
                                  <w:rFonts w:hint="default" w:ascii="Times New Roman" w:hAnsi="Times New Roman" w:eastAsia="黑体" w:cs="Times New Roman"/>
                                  <w:sz w:val="18"/>
                                  <w:szCs w:val="18"/>
                                  <w:lang w:val="en-US"/>
                                </w:rPr>
                              </w:pPr>
                              <w:r>
                                <w:rPr>
                                  <w:rFonts w:hint="eastAsia" w:ascii="Times New Roman" w:hAnsi="Times New Roman" w:eastAsia="黑体" w:cs="Times New Roman"/>
                                  <w:sz w:val="18"/>
                                  <w:szCs w:val="18"/>
                                  <w:lang w:val="en-US" w:eastAsia="zh-CN"/>
                                </w:rPr>
                                <w:t>0.0282</w:t>
                              </w:r>
                            </w:p>
                          </w:txbxContent>
                        </v:textbox>
                      </v:rect>
                      <v:shape id="任意多边形 2165_SpCnt_3" o:spid="_x0000_s1026" o:spt="100" style="position:absolute;left:1407795;top:1621156;height:317499;width:139700;" filled="f" stroked="t" coordsize="231,508" o:gfxdata="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FovzQ7WAAAABQEAAA8AAAAAAAAAAQAgAAAAIgAAAGRy&#10;cy9kb3ducmV2LnhtbFBLAQIUABQAAAAIAIdO4kDcFSkEsgIAAKwFAAAOAAAAAAAAAAEAIAAAACUB&#10;AABkcnMvZTJvRG9jLnhtbFBLBQYAAAAABgAGAFkBAABJBgAAAAA=&#10;" path="m0,508c34,315,68,123,95,102c122,81,140,397,163,380c186,363,208,181,231,0e">
                        <v:fill on="f" focussize="0,0"/>
                        <v:stroke color="#000000" joinstyle="round" dashstyle="dash" endarrow="block" endarrowwidth="narrow"/>
                        <v:imagedata o:title=""/>
                        <o:lock v:ext="edit" aspectratio="f"/>
                      </v:shape>
                      <v:rect id="矩形 2156_SpCnt_5" o:spid="_x0000_s1026" o:spt="1" style="position:absolute;left:1150620;top:1384936;height:304800;width:97790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foBVtcAAAAFAQAADwAAAAAAAAABACAAAAAiAAAAZHJzL2Rvd25yZXYueG1sUEsBAhQA&#10;FAAAAAgAh07iQPdAt5y6AQAAWAMAAA4AAAAAAAAAAQAgAAAAJgEAAGRycy9lMm9Eb2MueG1sUEsF&#10;BgAAAAAGAAYAWQEAAFIFAAAAAA==&#10;">
                        <v:fill on="f" focussize="0,0"/>
                        <v:stroke on="f"/>
                        <v:imagedata o:title=""/>
                        <o:lock v:ext="edit" aspectratio="f"/>
                        <v:textbox>
                          <w:txbxContent>
                            <w:p w14:paraId="5E40105F">
                              <w:pPr>
                                <w:rPr>
                                  <w:rFonts w:hint="default" w:ascii="Times New Roman" w:hAnsi="Times New Roman" w:eastAsia="黑体" w:cs="Times New Roman"/>
                                  <w:sz w:val="18"/>
                                  <w:szCs w:val="18"/>
                                  <w:lang w:val="en-US"/>
                                </w:rPr>
                              </w:pPr>
                              <w:r>
                                <w:rPr>
                                  <w:rFonts w:hint="eastAsia" w:ascii="Times New Roman" w:hAnsi="Times New Roman" w:eastAsia="黑体" w:cs="Times New Roman"/>
                                  <w:sz w:val="18"/>
                                  <w:szCs w:val="18"/>
                                  <w:lang w:val="en-US" w:eastAsia="zh-CN"/>
                                </w:rPr>
                                <w:t>0.0362</w:t>
                              </w:r>
                            </w:p>
                          </w:txbxContent>
                        </v:textbox>
                      </v:rect>
                      <v:rect id="矩形 1274_SpCnt_3" o:spid="_x0000_s1026" o:spt="1" style="position:absolute;left:580390;top:5033646;height:299720;width:1041400;" fillcolor="#FFFFFF" filled="t" stroked="t" coordsize="21600,21600" o:gfxdata="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V6jsvU&#10;AAAABQEAAA8AAAAAAAAAAQAgAAAAIgAAAGRycy9kb3ducmV2LnhtbFBLAQIUABQAAAAIAIdO4kAz&#10;lt5VJAIAAFoEAAAOAAAAAAAAAAEAIAAAACMBAABkcnMvZTJvRG9jLnhtbFBLBQYAAAAABgAGAFkB&#10;AAC5BQAAAAA=&#10;">
                        <v:fill on="t" focussize="0,0"/>
                        <v:stroke color="#000000" joinstyle="miter"/>
                        <v:imagedata o:title=""/>
                        <o:lock v:ext="edit" aspectratio="f"/>
                        <v:textbox style="mso-fit-shape-to-text:t;">
                          <w:txbxContent>
                            <w:p w14:paraId="4B00684C">
                              <w:pPr>
                                <w:jc w:val="center"/>
                                <w:rPr>
                                  <w:rFonts w:hint="default" w:ascii="黑体" w:hAnsi="宋体" w:eastAsia="黑体" w:cs="黑体"/>
                                  <w:sz w:val="18"/>
                                  <w:szCs w:val="18"/>
                                  <w:lang w:val="en-US"/>
                                </w:rPr>
                              </w:pPr>
                              <w:r>
                                <w:rPr>
                                  <w:rFonts w:hint="eastAsia" w:ascii="黑体" w:hAnsi="宋体" w:eastAsia="黑体" w:cs="黑体"/>
                                  <w:sz w:val="18"/>
                                  <w:szCs w:val="18"/>
                                  <w:lang w:val="en-US" w:eastAsia="zh-CN"/>
                                </w:rPr>
                                <w:t>打磨用水</w:t>
                              </w:r>
                            </w:p>
                          </w:txbxContent>
                        </v:textbox>
                      </v:rect>
                      <v:shape id="任意多边形 2165_SpCnt_3" o:spid="_x0000_s1026" o:spt="100" style="position:absolute;left:1303655;top:4712971;height:317500;width:139700;" filled="f" stroked="t" coordsize="231,508" o:gfxdata="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Wi/NDtYAAAAFAQAADwAAAAAAAAABACAAAAAiAAAA&#10;ZHJzL2Rvd25yZXYueG1sUEsBAhQAFAAAAAgAh07iQM1EGYq0AgAArAUAAA4AAAAAAAAAAQAgAAAA&#10;JQEAAGRycy9lMm9Eb2MueG1sUEsFBgAAAAAGAAYAWQEAAEsGAAAAAA==&#10;" path="m0,508c34,315,68,123,95,102c122,81,140,397,163,380c186,363,208,181,231,0e">
                        <v:fill on="f" focussize="0,0"/>
                        <v:stroke color="#000000" joinstyle="round" dashstyle="dash" endarrow="block" endarrowwidth="narrow"/>
                        <v:imagedata o:title=""/>
                        <o:lock v:ext="edit" aspectratio="f"/>
                      </v:shape>
                      <v:rect id="矩形 2156_SpCnt_3" o:spid="_x0000_s1026" o:spt="1" style="position:absolute;left:1324610;top:4470401;height:304800;width:97790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foBVtcAAAAFAQAADwAAAAAAAAABACAAAAAiAAAAZHJzL2Rvd25yZXYueG1sUEsBAhQA&#10;FAAAAAgAh07iQCaDKQC6AQAAWAMAAA4AAAAAAAAAAQAgAAAAJgEAAGRycy9lMm9Eb2MueG1sUEsF&#10;BgAAAAAGAAYAWQEAAFIFAAAAAA==&#10;">
                        <v:fill on="f" focussize="0,0"/>
                        <v:stroke on="f"/>
                        <v:imagedata o:title=""/>
                        <o:lock v:ext="edit" aspectratio="f"/>
                        <v:textbox>
                          <w:txbxContent>
                            <w:p w14:paraId="639B768D">
                              <w:pPr>
                                <w:rPr>
                                  <w:rFonts w:ascii="Times New Roman" w:hAnsi="Times New Roman" w:eastAsia="黑体" w:cs="Times New Roman"/>
                                  <w:sz w:val="18"/>
                                  <w:szCs w:val="18"/>
                                </w:rPr>
                              </w:pPr>
                              <w:r>
                                <w:rPr>
                                  <w:rFonts w:hint="eastAsia" w:ascii="Times New Roman" w:hAnsi="Times New Roman" w:eastAsia="黑体" w:cs="Times New Roman"/>
                                  <w:sz w:val="18"/>
                                  <w:szCs w:val="18"/>
                                  <w:lang w:val="en-US" w:eastAsia="zh-CN"/>
                                </w:rPr>
                                <w:t>0.001</w:t>
                              </w:r>
                            </w:p>
                          </w:txbxContent>
                        </v:textbox>
                      </v:rect>
                      <v:line id="直线 949" o:spid="_x0000_s1026" o:spt="20" style="position:absolute;left:213995;top:5174616;flip:y;height:3600;width:363855;" filled="f" stroked="t" coordsize="21600,21600" o:gfxdata="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Y1actUAAAAFAQAADwAAAAAAAAABACAAAAAiAAAAZHJz&#10;L2Rvd25yZXYueG1sUEsBAhQAFAAAAAgAh07iQKMaQfsHAgAA9gMAAA4AAAAAAAAAAQAgAAAAJAEA&#10;AGRycy9lMm9Eb2MueG1sUEsFBgAAAAAGAAYAWQEAAJ0FAAAAAA==&#10;">
                        <v:fill on="f" focussize="0,0"/>
                        <v:stroke color="#000000" joinstyle="round" endarrow="open"/>
                        <v:imagedata o:title=""/>
                        <o:lock v:ext="edit" aspectratio="f"/>
                      </v:line>
                      <v:rect id="矩形 2156_SpCnt_5" o:spid="_x0000_s1026" o:spt="1" style="position:absolute;left:214630;top:4882516;height:304800;width:977900;" filled="f" stroked="f" coordsize="21600,21600" o:gfxdata="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R+gFW1wAAAAUBAAAPAAAAAAAAAAEAIAAAACIAAABkcnMvZG93bnJldi54bWxQSwECFAAU&#10;AAAACACHTuJA1Gs/pLkBAABXAwAADgAAAAAAAAABACAAAAAmAQAAZHJzL2Uyb0RvYy54bWxQSwUG&#10;AAAAAAYABgBZAQAAUQUAAAAA&#10;">
                        <v:fill on="f" focussize="0,0"/>
                        <v:stroke on="f"/>
                        <v:imagedata o:title=""/>
                        <o:lock v:ext="edit" aspectratio="f"/>
                        <v:textbox>
                          <w:txbxContent>
                            <w:p w14:paraId="1A35DD54">
                              <w:pPr>
                                <w:rPr>
                                  <w:rFonts w:ascii="Times New Roman" w:hAnsi="Times New Roman" w:eastAsia="黑体" w:cs="Times New Roman"/>
                                  <w:sz w:val="18"/>
                                  <w:szCs w:val="18"/>
                                </w:rPr>
                              </w:pPr>
                              <w:r>
                                <w:rPr>
                                  <w:rFonts w:hint="eastAsia" w:ascii="Times New Roman" w:hAnsi="Times New Roman" w:eastAsia="黑体" w:cs="Times New Roman"/>
                                  <w:sz w:val="18"/>
                                  <w:szCs w:val="18"/>
                                  <w:lang w:val="en-US" w:eastAsia="zh-CN"/>
                                </w:rPr>
                                <w:t>0.001</w:t>
                              </w:r>
                            </w:p>
                          </w:txbxContent>
                        </v:textbox>
                      </v:rect>
                      <v:shape id="_x0000_s1026" o:spid="_x0000_s1026" o:spt="34" type="#_x0000_t34" style="position:absolute;left:1611630;top:2078355;flip:y;height:2215515;width:3175;" filled="f" stroked="t" coordsize="21600,21600" o:gfxdata="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W8vsZ1wAAAAUBAAAPAAAAAAAAAAEAIAAAACIAAABkcnMv&#10;ZG93bnJldi54bWxQSwECFAAUAAAACACHTuJAYfkKqT0CAABMBAAADgAAAAAAAAABACAAAAAmAQAA&#10;ZHJzL2Uyb0RvYy54bWxQSwUGAAAAAAYABgBZAQAA1QUAAAAA&#10;" adj="6492960">
                        <v:fill on="f" focussize="0,0"/>
                        <v:stroke weight="0.5pt" color="#000000 [3213]" joinstyle="round" endarrow="open"/>
                        <v:imagedata o:title=""/>
                        <o:lock v:ext="edit" aspectratio="f"/>
                      </v:shape>
                      <w10:wrap type="none"/>
                      <w10:anchorlock/>
                    </v:group>
                  </w:pict>
                </mc:Fallback>
              </mc:AlternateContent>
            </w:r>
          </w:p>
          <w:p w14:paraId="6B32171B">
            <w:pPr>
              <w:spacing w:line="360" w:lineRule="auto"/>
              <w:jc w:val="center"/>
              <w:rPr>
                <w:rFonts w:ascii="Times New Roman" w:hAnsi="Times New Roman" w:eastAsia="黑体" w:cs="Times New Roman"/>
                <w:bCs/>
                <w:color w:val="auto"/>
                <w:sz w:val="24"/>
                <w:szCs w:val="24"/>
                <w:highlight w:val="none"/>
              </w:rPr>
            </w:pPr>
            <w:r>
              <w:rPr>
                <w:rFonts w:ascii="Times New Roman" w:hAnsi="Times New Roman" w:eastAsia="黑体" w:cs="Times New Roman"/>
                <w:bCs/>
                <w:color w:val="auto"/>
                <w:sz w:val="24"/>
                <w:szCs w:val="24"/>
                <w:highlight w:val="none"/>
              </w:rPr>
              <w:t>图2</w:t>
            </w:r>
            <w:r>
              <w:rPr>
                <w:rFonts w:hint="eastAsia" w:ascii="Times New Roman" w:hAnsi="Times New Roman" w:eastAsia="黑体" w:cs="Times New Roman"/>
                <w:bCs/>
                <w:color w:val="auto"/>
                <w:sz w:val="24"/>
                <w:szCs w:val="24"/>
                <w:highlight w:val="none"/>
              </w:rPr>
              <w:t>-1  全厂供排水</w:t>
            </w:r>
            <w:r>
              <w:rPr>
                <w:rFonts w:ascii="Times New Roman" w:hAnsi="Times New Roman" w:eastAsia="黑体" w:cs="Times New Roman"/>
                <w:bCs/>
                <w:color w:val="auto"/>
                <w:sz w:val="24"/>
                <w:szCs w:val="24"/>
                <w:highlight w:val="none"/>
              </w:rPr>
              <w:t>平衡图</w:t>
            </w:r>
            <w:r>
              <w:rPr>
                <w:rFonts w:hint="eastAsia" w:ascii="Times New Roman" w:hAnsi="Times New Roman" w:eastAsia="黑体" w:cs="Times New Roman"/>
                <w:bCs/>
                <w:color w:val="auto"/>
                <w:sz w:val="24"/>
                <w:szCs w:val="24"/>
                <w:highlight w:val="none"/>
              </w:rPr>
              <w:t xml:space="preserve">  单位：m</w:t>
            </w:r>
            <w:r>
              <w:rPr>
                <w:rFonts w:hint="eastAsia" w:ascii="Times New Roman" w:hAnsi="Times New Roman" w:eastAsia="黑体" w:cs="Times New Roman"/>
                <w:bCs/>
                <w:color w:val="auto"/>
                <w:sz w:val="24"/>
                <w:szCs w:val="24"/>
                <w:highlight w:val="none"/>
                <w:vertAlign w:val="superscript"/>
              </w:rPr>
              <w:t>3</w:t>
            </w:r>
            <w:r>
              <w:rPr>
                <w:rFonts w:hint="eastAsia" w:ascii="Times New Roman" w:hAnsi="Times New Roman" w:eastAsia="黑体" w:cs="Times New Roman"/>
                <w:bCs/>
                <w:color w:val="auto"/>
                <w:sz w:val="24"/>
                <w:szCs w:val="24"/>
                <w:highlight w:val="none"/>
              </w:rPr>
              <w:t>/d</w:t>
            </w:r>
          </w:p>
          <w:p w14:paraId="029AAD4E">
            <w:pPr>
              <w:adjustRightInd w:val="0"/>
              <w:spacing w:line="360" w:lineRule="auto"/>
              <w:ind w:firstLine="480" w:firstLineChars="200"/>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（3）供电</w:t>
            </w:r>
          </w:p>
          <w:p w14:paraId="1AC4C795">
            <w:pPr>
              <w:spacing w:line="360" w:lineRule="auto"/>
              <w:ind w:firstLine="480" w:firstLineChars="200"/>
              <w:jc w:val="left"/>
              <w:rPr>
                <w:rFonts w:ascii="Times New Roman" w:hAnsi="Times New Roman" w:eastAsia="宋体" w:cs="Times New Roman"/>
                <w:bCs/>
                <w:sz w:val="24"/>
                <w:szCs w:val="24"/>
                <w:highlight w:val="none"/>
              </w:rPr>
            </w:pPr>
            <w:r>
              <w:rPr>
                <w:rFonts w:ascii="Times New Roman" w:hAnsi="Times New Roman" w:eastAsia="宋体" w:cs="Times New Roman"/>
                <w:bCs/>
                <w:sz w:val="24"/>
                <w:szCs w:val="24"/>
                <w:highlight w:val="none"/>
              </w:rPr>
              <w:t>本项目用电由市政电网供电，</w:t>
            </w:r>
            <w:r>
              <w:rPr>
                <w:rFonts w:hint="eastAsia" w:ascii="Times New Roman" w:hAnsi="Times New Roman" w:eastAsia="宋体" w:cs="Times New Roman"/>
                <w:bCs/>
                <w:sz w:val="24"/>
                <w:szCs w:val="24"/>
                <w:highlight w:val="none"/>
              </w:rPr>
              <w:t>能满足本项目生产和生活用电需求，用电量为8</w:t>
            </w:r>
            <w:r>
              <w:rPr>
                <w:rFonts w:hint="eastAsia" w:ascii="Times New Roman" w:hAnsi="Times New Roman" w:cs="Times New Roman"/>
                <w:bCs/>
                <w:sz w:val="24"/>
                <w:szCs w:val="24"/>
                <w:highlight w:val="none"/>
              </w:rPr>
              <w:t>0</w:t>
            </w:r>
            <w:r>
              <w:rPr>
                <w:rFonts w:ascii="Times New Roman" w:hAnsi="Times New Roman" w:cs="Times New Roman"/>
                <w:bCs/>
                <w:sz w:val="24"/>
                <w:szCs w:val="24"/>
                <w:highlight w:val="none"/>
              </w:rPr>
              <w:t>万k</w:t>
            </w:r>
            <w:r>
              <w:rPr>
                <w:rFonts w:hint="eastAsia" w:ascii="Times New Roman" w:hAnsi="Times New Roman" w:cs="Times New Roman"/>
                <w:bCs/>
                <w:sz w:val="24"/>
                <w:szCs w:val="24"/>
                <w:highlight w:val="none"/>
              </w:rPr>
              <w:t>W</w:t>
            </w:r>
            <w:r>
              <w:rPr>
                <w:rFonts w:ascii="Times New Roman" w:hAnsi="Times New Roman" w:cs="Times New Roman"/>
                <w:bCs/>
                <w:sz w:val="24"/>
                <w:szCs w:val="24"/>
                <w:highlight w:val="none"/>
              </w:rPr>
              <w:t>·h/a。</w:t>
            </w:r>
          </w:p>
          <w:p w14:paraId="4DCA6B2B">
            <w:pPr>
              <w:spacing w:line="360" w:lineRule="auto"/>
              <w:ind w:firstLine="482" w:firstLineChars="200"/>
              <w:jc w:val="left"/>
              <w:rPr>
                <w:rFonts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八</w:t>
            </w:r>
            <w:r>
              <w:rPr>
                <w:rFonts w:ascii="Times New Roman" w:hAnsi="Times New Roman" w:eastAsia="宋体" w:cs="Times New Roman"/>
                <w:b/>
                <w:bCs/>
                <w:sz w:val="24"/>
                <w:szCs w:val="24"/>
                <w:highlight w:val="none"/>
              </w:rPr>
              <w:t>、劳动定员及工作制度</w:t>
            </w:r>
          </w:p>
          <w:p w14:paraId="33E021FD">
            <w:pPr>
              <w:spacing w:line="360" w:lineRule="auto"/>
              <w:ind w:firstLine="480" w:firstLineChars="200"/>
              <w:rPr>
                <w:rFonts w:ascii="Times New Roman" w:hAnsi="Times New Roman" w:eastAsia="宋体" w:cs="Times New Roman"/>
                <w:bCs/>
                <w:sz w:val="24"/>
                <w:szCs w:val="24"/>
                <w:highlight w:val="none"/>
              </w:rPr>
            </w:pPr>
            <w:r>
              <w:rPr>
                <w:rFonts w:ascii="Times New Roman" w:hAnsi="Times New Roman" w:cs="Times New Roman"/>
                <w:sz w:val="24"/>
                <w:highlight w:val="none"/>
              </w:rPr>
              <w:t>本项目拟定员</w:t>
            </w:r>
            <w:r>
              <w:rPr>
                <w:rFonts w:hint="eastAsia" w:ascii="Times New Roman" w:hAnsi="Times New Roman" w:cs="Times New Roman"/>
                <w:sz w:val="24"/>
                <w:highlight w:val="none"/>
              </w:rPr>
              <w:t>60人，</w:t>
            </w:r>
            <w:r>
              <w:rPr>
                <w:rFonts w:ascii="Times New Roman" w:hAnsi="Times New Roman" w:cs="Times New Roman"/>
                <w:sz w:val="24"/>
                <w:highlight w:val="none"/>
              </w:rPr>
              <w:t>工作制度为</w:t>
            </w:r>
            <w:r>
              <w:rPr>
                <w:rFonts w:hint="eastAsia" w:ascii="Times New Roman" w:hAnsi="Times New Roman" w:cs="Times New Roman"/>
                <w:sz w:val="24"/>
                <w:highlight w:val="none"/>
              </w:rPr>
              <w:t>8</w:t>
            </w:r>
            <w:r>
              <w:rPr>
                <w:rFonts w:ascii="Times New Roman" w:hAnsi="Times New Roman" w:cs="Times New Roman"/>
                <w:sz w:val="24"/>
                <w:highlight w:val="none"/>
              </w:rPr>
              <w:t>小时一班，每天</w:t>
            </w:r>
            <w:r>
              <w:rPr>
                <w:rFonts w:hint="eastAsia" w:ascii="Times New Roman" w:hAnsi="Times New Roman" w:cs="Times New Roman"/>
                <w:sz w:val="24"/>
                <w:highlight w:val="none"/>
              </w:rPr>
              <w:t>一</w:t>
            </w:r>
            <w:r>
              <w:rPr>
                <w:rFonts w:ascii="Times New Roman" w:hAnsi="Times New Roman" w:cs="Times New Roman"/>
                <w:sz w:val="24"/>
                <w:highlight w:val="none"/>
              </w:rPr>
              <w:t>班，年工作日</w:t>
            </w:r>
            <w:r>
              <w:rPr>
                <w:rFonts w:hint="eastAsia" w:ascii="Times New Roman" w:hAnsi="Times New Roman" w:cs="Times New Roman"/>
                <w:sz w:val="24"/>
                <w:highlight w:val="none"/>
              </w:rPr>
              <w:t>300</w:t>
            </w:r>
            <w:r>
              <w:rPr>
                <w:rFonts w:ascii="Times New Roman" w:hAnsi="Times New Roman" w:cs="Times New Roman"/>
                <w:sz w:val="24"/>
                <w:highlight w:val="none"/>
              </w:rPr>
              <w:t>天（</w:t>
            </w:r>
            <w:r>
              <w:rPr>
                <w:rFonts w:hint="eastAsia" w:ascii="Times New Roman" w:hAnsi="Times New Roman" w:cs="Times New Roman"/>
                <w:sz w:val="24"/>
                <w:highlight w:val="none"/>
              </w:rPr>
              <w:t>2400</w:t>
            </w:r>
            <w:r>
              <w:rPr>
                <w:rFonts w:ascii="Times New Roman" w:hAnsi="Times New Roman" w:cs="Times New Roman"/>
                <w:sz w:val="24"/>
                <w:highlight w:val="none"/>
              </w:rPr>
              <w:t>h/a）。</w:t>
            </w:r>
          </w:p>
          <w:p w14:paraId="2B958591">
            <w:pPr>
              <w:spacing w:line="360" w:lineRule="auto"/>
              <w:ind w:firstLine="482" w:firstLineChars="200"/>
              <w:jc w:val="left"/>
              <w:rPr>
                <w:rFonts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九</w:t>
            </w:r>
            <w:r>
              <w:rPr>
                <w:rFonts w:ascii="Times New Roman" w:hAnsi="Times New Roman" w:eastAsia="宋体" w:cs="Times New Roman"/>
                <w:b/>
                <w:bCs/>
                <w:sz w:val="24"/>
                <w:szCs w:val="24"/>
                <w:highlight w:val="none"/>
              </w:rPr>
              <w:t>、厂区总平面布置</w:t>
            </w:r>
          </w:p>
          <w:p w14:paraId="296BBD2C">
            <w:pPr>
              <w:spacing w:line="360" w:lineRule="auto"/>
              <w:ind w:firstLine="480" w:firstLineChars="200"/>
              <w:rPr>
                <w:rFonts w:ascii="Times New Roman" w:hAnsi="Times New Roman"/>
                <w:sz w:val="24"/>
                <w:highlight w:val="none"/>
              </w:rPr>
            </w:pPr>
            <w:r>
              <w:rPr>
                <w:rFonts w:hint="eastAsia" w:ascii="Times New Roman" w:hAnsi="Times New Roman"/>
                <w:sz w:val="24"/>
                <w:szCs w:val="24"/>
                <w:highlight w:val="none"/>
              </w:rPr>
              <w:t>安徽鑫辰汽车零部件有限公司</w:t>
            </w:r>
            <w:r>
              <w:rPr>
                <w:rFonts w:ascii="Times New Roman" w:hAnsi="Times New Roman"/>
                <w:sz w:val="24"/>
                <w:szCs w:val="24"/>
                <w:highlight w:val="none"/>
              </w:rPr>
              <w:t>位于</w:t>
            </w:r>
            <w:r>
              <w:rPr>
                <w:rFonts w:hint="eastAsia" w:ascii="Times New Roman" w:hAnsi="Times New Roman"/>
                <w:sz w:val="24"/>
                <w:szCs w:val="24"/>
                <w:highlight w:val="none"/>
              </w:rPr>
              <w:t>安徽省淮南市谢家集区汽配产业园3号厂房</w:t>
            </w:r>
            <w:r>
              <w:rPr>
                <w:rFonts w:ascii="Times New Roman" w:hAnsi="Times New Roman"/>
                <w:sz w:val="24"/>
                <w:highlight w:val="none"/>
              </w:rPr>
              <w:t>。</w:t>
            </w:r>
          </w:p>
          <w:p w14:paraId="0E157E3E">
            <w:pPr>
              <w:widowControl/>
              <w:spacing w:line="360" w:lineRule="auto"/>
              <w:ind w:firstLine="480" w:firstLineChars="200"/>
              <w:rPr>
                <w:rFonts w:ascii="Times New Roman" w:hAnsi="Times New Roman"/>
                <w:color w:val="auto"/>
                <w:sz w:val="24"/>
                <w:highlight w:val="none"/>
              </w:rPr>
            </w:pPr>
            <w:r>
              <w:rPr>
                <w:rFonts w:hint="eastAsia" w:ascii="Times New Roman" w:hAnsi="Times New Roman"/>
                <w:sz w:val="24"/>
                <w:szCs w:val="24"/>
                <w:highlight w:val="none"/>
              </w:rPr>
              <w:t>汽配产业园3号厂房</w:t>
            </w:r>
            <w:r>
              <w:rPr>
                <w:rFonts w:hint="eastAsia" w:ascii="Times New Roman" w:hAnsi="Times New Roman"/>
                <w:sz w:val="24"/>
                <w:highlight w:val="none"/>
              </w:rPr>
              <w:t>作为涂装厂房布设汽车零部件涂装</w:t>
            </w:r>
            <w:r>
              <w:rPr>
                <w:rFonts w:ascii="Times New Roman" w:hAnsi="Times New Roman"/>
                <w:sz w:val="24"/>
                <w:highlight w:val="none"/>
              </w:rPr>
              <w:t>生产线，厂房</w:t>
            </w:r>
            <w:r>
              <w:rPr>
                <w:rFonts w:hint="eastAsia" w:ascii="Times New Roman" w:hAnsi="Times New Roman"/>
                <w:sz w:val="24"/>
                <w:highlight w:val="none"/>
              </w:rPr>
              <w:t>1楼作为仓库和镭雕区，</w:t>
            </w:r>
            <w:r>
              <w:rPr>
                <w:rFonts w:hint="eastAsia" w:ascii="Times New Roman" w:hAnsi="Times New Roman"/>
                <w:color w:val="auto"/>
                <w:sz w:val="24"/>
                <w:highlight w:val="none"/>
              </w:rPr>
              <w:t>厂房2楼布设1条涂装生产线，</w:t>
            </w:r>
            <w:r>
              <w:rPr>
                <w:rFonts w:hint="eastAsia" w:ascii="Times New Roman" w:hAnsi="Times New Roman"/>
                <w:color w:val="auto"/>
                <w:sz w:val="24"/>
                <w:highlight w:val="none"/>
                <w:lang w:val="en-US" w:eastAsia="zh-CN"/>
              </w:rPr>
              <w:t>3楼布设2条涂装生产线，</w:t>
            </w:r>
            <w:r>
              <w:rPr>
                <w:rFonts w:hint="eastAsia" w:ascii="Times New Roman" w:hAnsi="Times New Roman"/>
                <w:color w:val="auto"/>
                <w:sz w:val="24"/>
                <w:highlight w:val="none"/>
              </w:rPr>
              <w:t>厂房2楼由南</w:t>
            </w:r>
            <w:r>
              <w:rPr>
                <w:rFonts w:ascii="Times New Roman" w:hAnsi="Times New Roman"/>
                <w:color w:val="auto"/>
                <w:sz w:val="24"/>
                <w:highlight w:val="none"/>
              </w:rPr>
              <w:t>向</w:t>
            </w:r>
            <w:r>
              <w:rPr>
                <w:rFonts w:hint="eastAsia" w:ascii="Times New Roman" w:hAnsi="Times New Roman"/>
                <w:color w:val="auto"/>
                <w:sz w:val="24"/>
                <w:highlight w:val="none"/>
              </w:rPr>
              <w:t>北</w:t>
            </w:r>
            <w:r>
              <w:rPr>
                <w:rFonts w:ascii="Times New Roman" w:hAnsi="Times New Roman"/>
                <w:color w:val="auto"/>
                <w:sz w:val="24"/>
                <w:highlight w:val="none"/>
              </w:rPr>
              <w:t>分为办公区、包装区、</w:t>
            </w:r>
            <w:r>
              <w:rPr>
                <w:rFonts w:hint="eastAsia" w:ascii="Times New Roman" w:hAnsi="Times New Roman"/>
                <w:color w:val="auto"/>
                <w:sz w:val="24"/>
                <w:highlight w:val="none"/>
              </w:rPr>
              <w:t>涂装区、</w:t>
            </w:r>
            <w:r>
              <w:rPr>
                <w:rFonts w:ascii="Times New Roman" w:hAnsi="Times New Roman"/>
                <w:color w:val="auto"/>
                <w:sz w:val="24"/>
                <w:highlight w:val="none"/>
              </w:rPr>
              <w:t>抛光区、一般固废间</w:t>
            </w:r>
            <w:r>
              <w:rPr>
                <w:rFonts w:hint="eastAsia" w:ascii="Times New Roman" w:hAnsi="Times New Roman"/>
                <w:color w:val="auto"/>
                <w:sz w:val="24"/>
                <w:highlight w:val="none"/>
              </w:rPr>
              <w:t>，</w:t>
            </w:r>
            <w:r>
              <w:rPr>
                <w:rFonts w:ascii="Times New Roman" w:hAnsi="Times New Roman"/>
                <w:color w:val="auto"/>
                <w:sz w:val="24"/>
                <w:highlight w:val="none"/>
              </w:rPr>
              <w:t>厂</w:t>
            </w:r>
            <w:r>
              <w:rPr>
                <w:rFonts w:hint="eastAsia" w:ascii="Times New Roman" w:hAnsi="Times New Roman"/>
                <w:color w:val="auto"/>
                <w:sz w:val="24"/>
                <w:highlight w:val="none"/>
              </w:rPr>
              <w:t>房3楼由南</w:t>
            </w:r>
            <w:r>
              <w:rPr>
                <w:rFonts w:ascii="Times New Roman" w:hAnsi="Times New Roman"/>
                <w:color w:val="auto"/>
                <w:sz w:val="24"/>
                <w:highlight w:val="none"/>
              </w:rPr>
              <w:t>向</w:t>
            </w:r>
            <w:r>
              <w:rPr>
                <w:rFonts w:hint="eastAsia" w:ascii="Times New Roman" w:hAnsi="Times New Roman"/>
                <w:color w:val="auto"/>
                <w:sz w:val="24"/>
                <w:highlight w:val="none"/>
              </w:rPr>
              <w:t>北</w:t>
            </w:r>
            <w:r>
              <w:rPr>
                <w:rFonts w:ascii="Times New Roman" w:hAnsi="Times New Roman"/>
                <w:color w:val="auto"/>
                <w:sz w:val="24"/>
                <w:highlight w:val="none"/>
              </w:rPr>
              <w:t>分为上料区、喷漆区、烘干区、下料区</w:t>
            </w:r>
            <w:r>
              <w:rPr>
                <w:rFonts w:hint="eastAsia" w:ascii="Times New Roman" w:hAnsi="Times New Roman"/>
                <w:color w:val="auto"/>
                <w:sz w:val="24"/>
                <w:highlight w:val="none"/>
              </w:rPr>
              <w:t>。</w:t>
            </w:r>
          </w:p>
          <w:p w14:paraId="7449787D">
            <w:pPr>
              <w:widowControl/>
              <w:spacing w:line="360" w:lineRule="auto"/>
              <w:ind w:firstLine="480" w:firstLineChars="200"/>
              <w:rPr>
                <w:rFonts w:ascii="Times New Roman" w:hAnsi="Times New Roman" w:cs="Times New Roman"/>
                <w:sz w:val="24"/>
                <w:highlight w:val="none"/>
              </w:rPr>
            </w:pPr>
            <w:r>
              <w:rPr>
                <w:rFonts w:hint="eastAsia" w:ascii="Times New Roman" w:hAnsi="Times New Roman"/>
                <w:sz w:val="24"/>
                <w:highlight w:val="none"/>
              </w:rPr>
              <w:t>厂房</w:t>
            </w:r>
            <w:r>
              <w:rPr>
                <w:rFonts w:ascii="Times New Roman" w:hAnsi="Times New Roman"/>
                <w:sz w:val="24"/>
                <w:highlight w:val="none"/>
              </w:rPr>
              <w:t>总平面布置详见附图3。</w:t>
            </w:r>
          </w:p>
          <w:p w14:paraId="7677CC55">
            <w:pPr>
              <w:widowControl/>
              <w:spacing w:line="360" w:lineRule="auto"/>
              <w:rPr>
                <w:rFonts w:ascii="Times New Roman" w:hAnsi="Times New Roman" w:cs="Times New Roman"/>
                <w:sz w:val="24"/>
                <w:highlight w:val="none"/>
              </w:rPr>
            </w:pPr>
          </w:p>
          <w:p w14:paraId="17F688DB">
            <w:pPr>
              <w:widowControl/>
              <w:spacing w:line="360" w:lineRule="auto"/>
              <w:rPr>
                <w:rFonts w:ascii="Times New Roman" w:hAnsi="Times New Roman" w:cs="Times New Roman"/>
                <w:sz w:val="24"/>
                <w:highlight w:val="none"/>
              </w:rPr>
            </w:pPr>
          </w:p>
          <w:p w14:paraId="4A789CA4">
            <w:pPr>
              <w:widowControl/>
              <w:spacing w:line="360" w:lineRule="auto"/>
              <w:rPr>
                <w:rFonts w:ascii="Times New Roman" w:hAnsi="Times New Roman" w:cs="Times New Roman"/>
                <w:sz w:val="24"/>
                <w:highlight w:val="none"/>
              </w:rPr>
            </w:pPr>
          </w:p>
          <w:p w14:paraId="075A70DB">
            <w:pPr>
              <w:widowControl/>
              <w:spacing w:line="360" w:lineRule="auto"/>
              <w:rPr>
                <w:rFonts w:ascii="Times New Roman" w:hAnsi="Times New Roman" w:cs="Times New Roman"/>
                <w:sz w:val="24"/>
                <w:highlight w:val="none"/>
              </w:rPr>
            </w:pPr>
          </w:p>
          <w:p w14:paraId="5873914F">
            <w:pPr>
              <w:widowControl/>
              <w:spacing w:line="360" w:lineRule="auto"/>
              <w:rPr>
                <w:rFonts w:ascii="Times New Roman" w:hAnsi="Times New Roman" w:cs="Times New Roman"/>
                <w:sz w:val="24"/>
                <w:highlight w:val="none"/>
              </w:rPr>
            </w:pPr>
          </w:p>
          <w:p w14:paraId="01E64F52">
            <w:pPr>
              <w:widowControl/>
              <w:spacing w:line="360" w:lineRule="auto"/>
              <w:rPr>
                <w:rFonts w:ascii="Times New Roman" w:hAnsi="Times New Roman" w:cs="Times New Roman"/>
                <w:sz w:val="24"/>
                <w:highlight w:val="none"/>
              </w:rPr>
            </w:pPr>
          </w:p>
          <w:p w14:paraId="018462B6">
            <w:pPr>
              <w:widowControl/>
              <w:spacing w:line="360" w:lineRule="auto"/>
              <w:rPr>
                <w:rFonts w:ascii="Times New Roman" w:hAnsi="Times New Roman" w:cs="Times New Roman"/>
                <w:sz w:val="24"/>
                <w:highlight w:val="none"/>
              </w:rPr>
            </w:pPr>
          </w:p>
          <w:p w14:paraId="52D9C15B">
            <w:pPr>
              <w:widowControl/>
              <w:spacing w:line="360" w:lineRule="auto"/>
              <w:rPr>
                <w:rFonts w:ascii="Times New Roman" w:hAnsi="Times New Roman" w:cs="Times New Roman"/>
                <w:sz w:val="24"/>
                <w:highlight w:val="none"/>
              </w:rPr>
            </w:pPr>
          </w:p>
          <w:p w14:paraId="304E64F3">
            <w:pPr>
              <w:widowControl/>
              <w:spacing w:line="360" w:lineRule="auto"/>
              <w:rPr>
                <w:rFonts w:ascii="Times New Roman" w:hAnsi="Times New Roman" w:cs="Times New Roman"/>
                <w:sz w:val="24"/>
                <w:highlight w:val="none"/>
              </w:rPr>
            </w:pPr>
          </w:p>
          <w:p w14:paraId="68EFE5DF">
            <w:pPr>
              <w:widowControl/>
              <w:spacing w:line="360" w:lineRule="auto"/>
              <w:rPr>
                <w:rFonts w:ascii="Times New Roman" w:hAnsi="Times New Roman" w:cs="Times New Roman"/>
                <w:sz w:val="24"/>
                <w:highlight w:val="none"/>
              </w:rPr>
            </w:pPr>
          </w:p>
          <w:p w14:paraId="25B67A6E">
            <w:pPr>
              <w:widowControl/>
              <w:spacing w:line="360" w:lineRule="auto"/>
              <w:rPr>
                <w:rFonts w:ascii="Times New Roman" w:hAnsi="Times New Roman" w:cs="Times New Roman"/>
                <w:sz w:val="24"/>
                <w:highlight w:val="none"/>
              </w:rPr>
            </w:pPr>
          </w:p>
          <w:p w14:paraId="2BBDC126">
            <w:pPr>
              <w:widowControl/>
              <w:spacing w:line="360" w:lineRule="auto"/>
              <w:rPr>
                <w:rFonts w:ascii="Times New Roman" w:hAnsi="Times New Roman" w:cs="Times New Roman"/>
                <w:sz w:val="24"/>
                <w:highlight w:val="none"/>
              </w:rPr>
            </w:pPr>
          </w:p>
          <w:p w14:paraId="12C081FB">
            <w:pPr>
              <w:widowControl/>
              <w:spacing w:line="360" w:lineRule="auto"/>
              <w:rPr>
                <w:rFonts w:ascii="Times New Roman" w:hAnsi="Times New Roman" w:cs="Times New Roman"/>
                <w:sz w:val="24"/>
                <w:highlight w:val="none"/>
              </w:rPr>
            </w:pPr>
          </w:p>
          <w:p w14:paraId="69AA028B">
            <w:pPr>
              <w:widowControl/>
              <w:spacing w:line="360" w:lineRule="auto"/>
              <w:rPr>
                <w:rFonts w:ascii="Times New Roman" w:hAnsi="Times New Roman" w:cs="Times New Roman"/>
                <w:sz w:val="24"/>
                <w:highlight w:val="none"/>
              </w:rPr>
            </w:pPr>
          </w:p>
          <w:p w14:paraId="3233DAA0">
            <w:pPr>
              <w:widowControl/>
              <w:spacing w:line="360" w:lineRule="auto"/>
              <w:rPr>
                <w:rFonts w:ascii="Times New Roman" w:hAnsi="Times New Roman" w:cs="Times New Roman"/>
                <w:sz w:val="24"/>
                <w:highlight w:val="none"/>
              </w:rPr>
            </w:pPr>
          </w:p>
          <w:p w14:paraId="22127A19">
            <w:pPr>
              <w:widowControl/>
              <w:spacing w:line="360" w:lineRule="auto"/>
              <w:rPr>
                <w:rFonts w:ascii="Times New Roman" w:hAnsi="Times New Roman" w:cs="Times New Roman"/>
                <w:sz w:val="24"/>
                <w:highlight w:val="none"/>
              </w:rPr>
            </w:pPr>
          </w:p>
          <w:p w14:paraId="6B3D2447">
            <w:pPr>
              <w:widowControl/>
              <w:spacing w:line="360" w:lineRule="auto"/>
              <w:rPr>
                <w:rFonts w:ascii="Times New Roman" w:hAnsi="Times New Roman" w:cs="Times New Roman"/>
                <w:sz w:val="24"/>
                <w:highlight w:val="none"/>
              </w:rPr>
            </w:pPr>
          </w:p>
          <w:p w14:paraId="312BF976">
            <w:pPr>
              <w:widowControl/>
              <w:spacing w:line="360" w:lineRule="auto"/>
              <w:rPr>
                <w:rFonts w:ascii="Times New Roman" w:hAnsi="Times New Roman" w:cs="Times New Roman"/>
                <w:sz w:val="24"/>
                <w:highlight w:val="none"/>
              </w:rPr>
            </w:pPr>
          </w:p>
          <w:p w14:paraId="50DB1F5B">
            <w:pPr>
              <w:widowControl/>
              <w:spacing w:line="360" w:lineRule="auto"/>
              <w:rPr>
                <w:rFonts w:ascii="Times New Roman" w:hAnsi="Times New Roman" w:cs="Times New Roman"/>
                <w:sz w:val="24"/>
                <w:highlight w:val="none"/>
              </w:rPr>
            </w:pPr>
          </w:p>
          <w:p w14:paraId="6D81950D">
            <w:pPr>
              <w:widowControl/>
              <w:spacing w:line="360" w:lineRule="auto"/>
              <w:rPr>
                <w:rFonts w:ascii="Times New Roman" w:hAnsi="Times New Roman" w:cs="Times New Roman"/>
                <w:sz w:val="24"/>
                <w:highlight w:val="none"/>
              </w:rPr>
            </w:pPr>
          </w:p>
        </w:tc>
      </w:tr>
      <w:tr w14:paraId="4446FB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178" w:hRule="atLeast"/>
        </w:trPr>
        <w:tc>
          <w:tcPr>
            <w:tcW w:w="254" w:type="pct"/>
            <w:vAlign w:val="center"/>
          </w:tcPr>
          <w:p w14:paraId="3B8D67FB">
            <w:pPr>
              <w:widowControl/>
              <w:spacing w:line="360" w:lineRule="auto"/>
              <w:rPr>
                <w:rFonts w:ascii="Times New Roman" w:hAnsi="Times New Roman" w:eastAsia="宋体" w:cs="宋体"/>
                <w:kern w:val="0"/>
                <w:sz w:val="24"/>
                <w:szCs w:val="24"/>
              </w:rPr>
            </w:pPr>
            <w:r>
              <w:rPr>
                <w:rFonts w:hint="eastAsia" w:ascii="Times New Roman" w:hAnsi="Times New Roman" w:eastAsia="宋体" w:cs="宋体"/>
                <w:kern w:val="0"/>
                <w:sz w:val="24"/>
                <w:szCs w:val="24"/>
              </w:rPr>
              <w:t>工艺流程和产排污环节</w:t>
            </w:r>
          </w:p>
        </w:tc>
        <w:tc>
          <w:tcPr>
            <w:tcW w:w="4745" w:type="pct"/>
          </w:tcPr>
          <w:p w14:paraId="69A2581C">
            <w:pPr>
              <w:widowControl/>
              <w:spacing w:line="360" w:lineRule="auto"/>
              <w:ind w:firstLine="477" w:firstLineChars="199"/>
              <w:rPr>
                <w:rFonts w:ascii="Times New Roman" w:hAnsi="Times New Roman" w:cs="Times New Roman"/>
                <w:sz w:val="24"/>
                <w:szCs w:val="28"/>
              </w:rPr>
            </w:pPr>
            <w:r>
              <w:rPr>
                <w:rFonts w:hint="eastAsia" w:ascii="Times New Roman" w:hAnsi="Times New Roman" w:cs="Times New Roman"/>
                <w:sz w:val="24"/>
                <w:szCs w:val="28"/>
              </w:rPr>
              <w:t>一、施工期工艺流程</w:t>
            </w:r>
          </w:p>
          <w:p w14:paraId="6DCCD39B">
            <w:pPr>
              <w:widowControl/>
              <w:spacing w:line="360" w:lineRule="auto"/>
              <w:ind w:firstLine="477" w:firstLineChars="199"/>
              <w:rPr>
                <w:rFonts w:ascii="Times New Roman" w:hAnsi="Times New Roman" w:cs="Times New Roman"/>
                <w:sz w:val="24"/>
                <w:szCs w:val="28"/>
              </w:rPr>
            </w:pPr>
            <w:r>
              <w:rPr>
                <w:rFonts w:hint="eastAsia" w:ascii="Times New Roman" w:hAnsi="Times New Roman" w:cs="Times New Roman"/>
                <w:sz w:val="24"/>
                <w:szCs w:val="28"/>
              </w:rPr>
              <w:t>本项目施工期主要进行设备安装和附属设施建设等，不涉及土建施工活动。施工期对环境的主要影响为设备安装引起的噪声及装修过程中产生的废气。施工的时间较短，且施工区域集中在现有密闭厂房内部，对区域环境影响较小。</w:t>
            </w:r>
          </w:p>
          <w:p w14:paraId="6262F74D">
            <w:pPr>
              <w:widowControl/>
              <w:spacing w:line="360" w:lineRule="auto"/>
              <w:ind w:firstLine="477" w:firstLineChars="199"/>
              <w:rPr>
                <w:rFonts w:ascii="Times New Roman" w:hAnsi="Times New Roman" w:cs="Times New Roman"/>
                <w:sz w:val="24"/>
                <w:szCs w:val="28"/>
              </w:rPr>
            </w:pPr>
            <w:r>
              <w:rPr>
                <w:rFonts w:hint="eastAsia" w:ascii="Times New Roman" w:hAnsi="Times New Roman" w:cs="Times New Roman"/>
                <w:sz w:val="24"/>
                <w:szCs w:val="28"/>
              </w:rPr>
              <w:t>二、运营期工艺流程</w:t>
            </w:r>
          </w:p>
          <w:p w14:paraId="73788249">
            <w:pPr>
              <w:widowControl/>
              <w:spacing w:line="360" w:lineRule="auto"/>
              <w:ind w:firstLine="477" w:firstLineChars="199"/>
              <w:rPr>
                <w:rFonts w:ascii="Times New Roman" w:hAnsi="Times New Roman" w:cs="Times New Roman"/>
                <w:sz w:val="24"/>
                <w:szCs w:val="28"/>
              </w:rPr>
            </w:pPr>
            <w:r>
              <w:rPr>
                <w:rFonts w:hint="eastAsia" w:ascii="Times New Roman" w:hAnsi="Times New Roman" w:cs="Times New Roman"/>
                <w:sz w:val="24"/>
                <w:szCs w:val="28"/>
              </w:rPr>
              <w:t>本项目租赁</w:t>
            </w:r>
            <w:r>
              <w:rPr>
                <w:rFonts w:hint="eastAsia" w:ascii="Times New Roman" w:hAnsi="Times New Roman" w:cs="Times New Roman"/>
                <w:sz w:val="24"/>
              </w:rPr>
              <w:t>汽配产业园3号厂房</w:t>
            </w:r>
            <w:r>
              <w:rPr>
                <w:rFonts w:hint="eastAsia" w:ascii="Times New Roman" w:hAnsi="Times New Roman" w:cs="Times New Roman"/>
                <w:sz w:val="24"/>
                <w:szCs w:val="28"/>
              </w:rPr>
              <w:t>进行生产，产品为汽车零部件。</w:t>
            </w:r>
          </w:p>
          <w:p w14:paraId="02D29D4E">
            <w:pPr>
              <w:widowControl/>
              <w:spacing w:line="360" w:lineRule="auto"/>
              <w:ind w:firstLine="480" w:firstLineChars="200"/>
              <w:rPr>
                <w:rFonts w:ascii="Times New Roman" w:hAnsi="Times New Roman"/>
                <w:bCs/>
                <w:kern w:val="0"/>
                <w:sz w:val="24"/>
                <w:szCs w:val="24"/>
              </w:rPr>
            </w:pPr>
            <w:r>
              <w:rPr>
                <w:rFonts w:ascii="Times New Roman" w:hAnsi="Times New Roman" w:eastAsia="宋体" w:cs="Times New Roman"/>
                <w:sz w:val="24"/>
                <w:szCs w:val="28"/>
              </w:rPr>
              <mc:AlternateContent>
                <mc:Choice Requires="wpc">
                  <w:drawing>
                    <wp:inline distT="0" distB="0" distL="114300" distR="114300">
                      <wp:extent cx="5368925" cy="6160135"/>
                      <wp:effectExtent l="0" t="0" r="0" b="0"/>
                      <wp:docPr id="109" name="画布 19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 name="自选图形 1938"/>
                              <wps:cNvCnPr/>
                              <wps:spPr>
                                <a:xfrm flipH="1">
                                  <a:off x="3335020" y="2185670"/>
                                  <a:ext cx="360045" cy="635"/>
                                </a:xfrm>
                                <a:prstGeom prst="straightConnector1">
                                  <a:avLst/>
                                </a:prstGeom>
                                <a:ln w="9525" cap="flat" cmpd="sng">
                                  <a:solidFill>
                                    <a:srgbClr val="FF0000"/>
                                  </a:solidFill>
                                  <a:prstDash val="dash"/>
                                  <a:headEnd type="triangle" w="sm" len="med"/>
                                  <a:tailEnd type="none" w="sm" len="med"/>
                                </a:ln>
                              </wps:spPr>
                              <wps:bodyPr/>
                            </wps:wsp>
                            <wps:wsp>
                              <wps:cNvPr id="62" name="矩形 1947"/>
                              <wps:cNvSpPr/>
                              <wps:spPr>
                                <a:xfrm>
                                  <a:off x="2404110" y="1391285"/>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F94E48F">
                                    <w:pPr>
                                      <w:jc w:val="center"/>
                                      <w:rPr>
                                        <w:rFonts w:ascii="黑体" w:hAnsi="宋体" w:eastAsia="黑体" w:cs="黑体"/>
                                        <w:sz w:val="18"/>
                                        <w:szCs w:val="18"/>
                                      </w:rPr>
                                    </w:pPr>
                                    <w:r>
                                      <w:rPr>
                                        <w:rFonts w:hint="eastAsia" w:ascii="黑体" w:hAnsi="宋体" w:eastAsia="黑体" w:cs="黑体"/>
                                        <w:sz w:val="18"/>
                                        <w:szCs w:val="18"/>
                                      </w:rPr>
                                      <w:t>调底漆</w:t>
                                    </w:r>
                                  </w:p>
                                  <w:p w14:paraId="3589451D">
                                    <w:pPr>
                                      <w:rPr>
                                        <w:szCs w:val="18"/>
                                      </w:rPr>
                                    </w:pPr>
                                  </w:p>
                                </w:txbxContent>
                              </wps:txbx>
                              <wps:bodyPr upright="1"/>
                            </wps:wsp>
                            <wps:wsp>
                              <wps:cNvPr id="63" name="文本框 1948"/>
                              <wps:cNvSpPr txBox="1"/>
                              <wps:spPr>
                                <a:xfrm>
                                  <a:off x="3653790" y="1391920"/>
                                  <a:ext cx="864235" cy="222885"/>
                                </a:xfrm>
                                <a:prstGeom prst="rect">
                                  <a:avLst/>
                                </a:prstGeom>
                                <a:solidFill>
                                  <a:srgbClr val="E7EFD9"/>
                                </a:solidFill>
                                <a:ln w="12700">
                                  <a:noFill/>
                                </a:ln>
                              </wps:spPr>
                              <wps:txbx>
                                <w:txbxContent>
                                  <w:p w14:paraId="7C120FD9">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ascii="Times New Roman" w:hAnsi="Times New Roman" w:eastAsia="黑体" w:cs="Times New Roman"/>
                                        <w:color w:val="00B050"/>
                                        <w:sz w:val="18"/>
                                        <w:szCs w:val="18"/>
                                        <w:vertAlign w:val="subscript"/>
                                      </w:rPr>
                                      <w:t>1</w:t>
                                    </w:r>
                                    <w:r>
                                      <w:rPr>
                                        <w:rFonts w:hint="eastAsia" w:ascii="Times New Roman" w:hAnsi="Times New Roman" w:eastAsia="黑体" w:cs="Times New Roman"/>
                                        <w:color w:val="00B050"/>
                                        <w:sz w:val="18"/>
                                        <w:szCs w:val="18"/>
                                      </w:rPr>
                                      <w:t>：调底漆废气</w:t>
                                    </w:r>
                                  </w:p>
                                </w:txbxContent>
                              </wps:txbx>
                              <wps:bodyPr lIns="10800" tIns="18000" rIns="10800" bIns="3600" upright="1"/>
                            </wps:wsp>
                            <wps:wsp>
                              <wps:cNvPr id="64" name="自选图形 1949"/>
                              <wps:cNvCnPr/>
                              <wps:spPr>
                                <a:xfrm flipV="1">
                                  <a:off x="3303270" y="2718435"/>
                                  <a:ext cx="360045" cy="635"/>
                                </a:xfrm>
                                <a:prstGeom prst="straightConnector1">
                                  <a:avLst/>
                                </a:prstGeom>
                                <a:ln w="6350" cap="flat" cmpd="sng">
                                  <a:solidFill>
                                    <a:srgbClr val="00B050"/>
                                  </a:solidFill>
                                  <a:prstDash val="dash"/>
                                  <a:headEnd type="none" w="med" len="med"/>
                                  <a:tailEnd type="triangle" w="sm" len="med"/>
                                </a:ln>
                              </wps:spPr>
                              <wps:bodyPr/>
                            </wps:wsp>
                            <wps:wsp>
                              <wps:cNvPr id="65" name="文本框 1950"/>
                              <wps:cNvSpPr txBox="1"/>
                              <wps:spPr>
                                <a:xfrm>
                                  <a:off x="3671570" y="1871345"/>
                                  <a:ext cx="864235" cy="222885"/>
                                </a:xfrm>
                                <a:prstGeom prst="rect">
                                  <a:avLst/>
                                </a:prstGeom>
                                <a:solidFill>
                                  <a:srgbClr val="E7EFD9"/>
                                </a:solidFill>
                                <a:ln w="12700">
                                  <a:noFill/>
                                </a:ln>
                              </wps:spPr>
                              <wps:txbx>
                                <w:txbxContent>
                                  <w:p w14:paraId="139947D9">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hint="eastAsia" w:ascii="Times New Roman" w:hAnsi="Times New Roman" w:eastAsia="黑体" w:cs="Times New Roman"/>
                                        <w:color w:val="00B050"/>
                                        <w:sz w:val="18"/>
                                        <w:szCs w:val="18"/>
                                        <w:vertAlign w:val="subscript"/>
                                      </w:rPr>
                                      <w:t>2</w:t>
                                    </w:r>
                                    <w:r>
                                      <w:rPr>
                                        <w:rFonts w:hint="eastAsia" w:ascii="Times New Roman" w:hAnsi="Times New Roman" w:eastAsia="黑体" w:cs="Times New Roman"/>
                                        <w:color w:val="00B050"/>
                                        <w:sz w:val="18"/>
                                        <w:szCs w:val="18"/>
                                      </w:rPr>
                                      <w:t>：喷底漆废气</w:t>
                                    </w:r>
                                  </w:p>
                                </w:txbxContent>
                              </wps:txbx>
                              <wps:bodyPr lIns="10800" tIns="18000" rIns="10800" bIns="3600" upright="1"/>
                            </wps:wsp>
                            <wps:wsp>
                              <wps:cNvPr id="66" name="自选图形 1951"/>
                              <wps:cNvCnPr/>
                              <wps:spPr>
                                <a:xfrm flipV="1">
                                  <a:off x="3293745" y="1511300"/>
                                  <a:ext cx="360045" cy="635"/>
                                </a:xfrm>
                                <a:prstGeom prst="straightConnector1">
                                  <a:avLst/>
                                </a:prstGeom>
                                <a:ln w="6350" cap="flat" cmpd="sng">
                                  <a:solidFill>
                                    <a:srgbClr val="00B050"/>
                                  </a:solidFill>
                                  <a:prstDash val="dash"/>
                                  <a:headEnd type="none" w="med" len="med"/>
                                  <a:tailEnd type="triangle" w="sm" len="med"/>
                                </a:ln>
                              </wps:spPr>
                              <wps:bodyPr/>
                            </wps:wsp>
                            <wps:wsp>
                              <wps:cNvPr id="67" name="矩形 1956"/>
                              <wps:cNvSpPr/>
                              <wps:spPr>
                                <a:xfrm>
                                  <a:off x="1132840" y="1386205"/>
                                  <a:ext cx="1117600" cy="292735"/>
                                </a:xfrm>
                                <a:prstGeom prst="rect">
                                  <a:avLst/>
                                </a:prstGeom>
                                <a:noFill/>
                                <a:ln>
                                  <a:noFill/>
                                </a:ln>
                              </wps:spPr>
                              <wps:txbx>
                                <w:txbxContent>
                                  <w:p w14:paraId="50BB55E9">
                                    <w:pPr>
                                      <w:ind w:right="360"/>
                                      <w:rPr>
                                        <w:rFonts w:ascii="Times New Roman" w:hAnsi="Times New Roman" w:eastAsia="黑体" w:cs="Times New Roman"/>
                                        <w:sz w:val="18"/>
                                        <w:szCs w:val="18"/>
                                      </w:rPr>
                                    </w:pPr>
                                    <w:r>
                                      <w:rPr>
                                        <w:rFonts w:hint="eastAsia" w:ascii="Times New Roman" w:hAnsi="Times New Roman" w:eastAsia="黑体" w:cs="Times New Roman"/>
                                        <w:sz w:val="18"/>
                                        <w:szCs w:val="18"/>
                                      </w:rPr>
                                      <w:t>水性底漆、水</w:t>
                                    </w:r>
                                  </w:p>
                                  <w:p w14:paraId="1BE527FD">
                                    <w:pPr>
                                      <w:ind w:right="90"/>
                                      <w:jc w:val="right"/>
                                      <w:rPr>
                                        <w:rFonts w:eastAsia="黑体"/>
                                        <w:color w:val="FF0000"/>
                                        <w:sz w:val="18"/>
                                        <w:szCs w:val="18"/>
                                      </w:rPr>
                                    </w:pPr>
                                  </w:p>
                                </w:txbxContent>
                              </wps:txbx>
                              <wps:bodyPr upright="1"/>
                            </wps:wsp>
                            <wps:wsp>
                              <wps:cNvPr id="68" name="文本框 1958"/>
                              <wps:cNvSpPr txBox="1"/>
                              <wps:spPr>
                                <a:xfrm>
                                  <a:off x="3671570" y="2091055"/>
                                  <a:ext cx="888365" cy="490220"/>
                                </a:xfrm>
                                <a:prstGeom prst="rect">
                                  <a:avLst/>
                                </a:prstGeom>
                                <a:solidFill>
                                  <a:srgbClr val="FDE9D9"/>
                                </a:solidFill>
                                <a:ln w="12700">
                                  <a:noFill/>
                                </a:ln>
                              </wps:spPr>
                              <wps:txbx>
                                <w:txbxContent>
                                  <w:p w14:paraId="494EB7E2">
                                    <w:pPr>
                                      <w:snapToGrid w:val="0"/>
                                      <w:rPr>
                                        <w:rFonts w:hint="eastAsia" w:ascii="Times New Roman" w:hAnsi="Times New Roman" w:eastAsia="黑体" w:cs="Times New Roman"/>
                                        <w:color w:val="FF0000"/>
                                        <w:sz w:val="18"/>
                                        <w:szCs w:val="18"/>
                                      </w:rPr>
                                    </w:pPr>
                                    <w:r>
                                      <w:rPr>
                                        <w:rFonts w:ascii="Times New Roman" w:hAnsi="Times New Roman" w:eastAsia="黑体" w:cs="Times New Roman"/>
                                        <w:color w:val="FF0000"/>
                                        <w:sz w:val="18"/>
                                        <w:szCs w:val="18"/>
                                      </w:rPr>
                                      <w:t>S</w:t>
                                    </w:r>
                                    <w:r>
                                      <w:rPr>
                                        <w:rFonts w:hint="eastAsia" w:ascii="Times New Roman" w:hAnsi="Times New Roman" w:eastAsia="黑体" w:cs="Times New Roman"/>
                                        <w:color w:val="FF0000"/>
                                        <w:sz w:val="18"/>
                                        <w:szCs w:val="18"/>
                                        <w:vertAlign w:val="subscript"/>
                                      </w:rPr>
                                      <w:t>1</w:t>
                                    </w:r>
                                    <w:r>
                                      <w:rPr>
                                        <w:rFonts w:hint="eastAsia" w:ascii="Times New Roman" w:hAnsi="Times New Roman" w:eastAsia="黑体" w:cs="Times New Roman"/>
                                        <w:color w:val="FF0000"/>
                                        <w:sz w:val="18"/>
                                        <w:szCs w:val="18"/>
                                      </w:rPr>
                                      <w:t>：废漆渣</w:t>
                                    </w:r>
                                  </w:p>
                                  <w:p w14:paraId="0BCB6718">
                                    <w:pPr>
                                      <w:snapToGrid w:val="0"/>
                                      <w:jc w:val="center"/>
                                      <w:rPr>
                                        <w:rFonts w:hint="eastAsia" w:ascii="Times New Roman" w:hAnsi="Times New Roman" w:eastAsia="黑体" w:cs="Times New Roman"/>
                                        <w:color w:val="FF0000"/>
                                        <w:sz w:val="18"/>
                                        <w:szCs w:val="18"/>
                                        <w:lang w:val="en-US" w:eastAsia="zh-CN"/>
                                      </w:rPr>
                                    </w:pPr>
                                    <w:r>
                                      <w:rPr>
                                        <w:rFonts w:hint="eastAsia" w:ascii="Times New Roman" w:hAnsi="Times New Roman" w:eastAsia="黑体" w:cs="Times New Roman"/>
                                        <w:color w:val="FF0000"/>
                                        <w:sz w:val="18"/>
                                        <w:szCs w:val="18"/>
                                        <w:lang w:val="en-US" w:eastAsia="zh-CN"/>
                                      </w:rPr>
                                      <w:t>S</w:t>
                                    </w:r>
                                    <w:r>
                                      <w:rPr>
                                        <w:rFonts w:hint="eastAsia" w:ascii="Times New Roman" w:hAnsi="Times New Roman" w:eastAsia="黑体" w:cs="Times New Roman"/>
                                        <w:color w:val="FF0000"/>
                                        <w:sz w:val="18"/>
                                        <w:szCs w:val="18"/>
                                        <w:vertAlign w:val="subscript"/>
                                        <w:lang w:val="en-US" w:eastAsia="zh-CN"/>
                                      </w:rPr>
                                      <w:t>2</w:t>
                                    </w:r>
                                    <w:r>
                                      <w:rPr>
                                        <w:rFonts w:hint="eastAsia" w:ascii="Times New Roman" w:hAnsi="Times New Roman" w:eastAsia="黑体" w:cs="Times New Roman"/>
                                        <w:color w:val="FF0000"/>
                                        <w:sz w:val="18"/>
                                        <w:szCs w:val="18"/>
                                        <w:lang w:val="en-US" w:eastAsia="zh-CN"/>
                                      </w:rPr>
                                      <w:t>：</w:t>
                                    </w:r>
                                    <w:r>
                                      <w:rPr>
                                        <w:rFonts w:hint="eastAsia" w:ascii="Times New Roman" w:hAnsi="Times New Roman" w:eastAsia="黑体" w:cs="Times New Roman"/>
                                        <w:color w:val="FF0000"/>
                                        <w:sz w:val="18"/>
                                        <w:szCs w:val="18"/>
                                      </w:rPr>
                                      <w:t>水帘喷漆定期更换的废液</w:t>
                                    </w:r>
                                  </w:p>
                                </w:txbxContent>
                              </wps:txbx>
                              <wps:bodyPr lIns="10800" tIns="18000" rIns="10800" bIns="3600" upright="1"/>
                            </wps:wsp>
                            <wps:wsp>
                              <wps:cNvPr id="69" name="自选图形 1182"/>
                              <wps:cNvCnPr/>
                              <wps:spPr>
                                <a:xfrm>
                                  <a:off x="2860040" y="1139825"/>
                                  <a:ext cx="635" cy="252095"/>
                                </a:xfrm>
                                <a:prstGeom prst="straightConnector1">
                                  <a:avLst/>
                                </a:prstGeom>
                                <a:ln w="9525" cap="flat" cmpd="sng">
                                  <a:solidFill>
                                    <a:srgbClr val="000000"/>
                                  </a:solidFill>
                                  <a:prstDash val="solid"/>
                                  <a:headEnd type="none" w="med" len="med"/>
                                  <a:tailEnd type="triangle" w="sm" len="med"/>
                                </a:ln>
                              </wps:spPr>
                              <wps:bodyPr/>
                            </wps:wsp>
                            <wps:wsp>
                              <wps:cNvPr id="70" name="矩形 1964"/>
                              <wps:cNvSpPr/>
                              <wps:spPr>
                                <a:xfrm>
                                  <a:off x="2421890" y="846454"/>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2AC0BA">
                                    <w:pPr>
                                      <w:jc w:val="center"/>
                                      <w:rPr>
                                        <w:rFonts w:eastAsia="黑体"/>
                                        <w:sz w:val="18"/>
                                        <w:szCs w:val="18"/>
                                      </w:rPr>
                                    </w:pPr>
                                    <w:r>
                                      <w:rPr>
                                        <w:rFonts w:hint="eastAsia" w:ascii="Calibri" w:hAnsi="宋体" w:eastAsia="黑体" w:cs="黑体"/>
                                        <w:sz w:val="18"/>
                                        <w:szCs w:val="18"/>
                                      </w:rPr>
                                      <w:t>擦拭打磨</w:t>
                                    </w:r>
                                  </w:p>
                                  <w:p w14:paraId="2D3D1E08">
                                    <w:pPr>
                                      <w:rPr>
                                        <w:szCs w:val="18"/>
                                      </w:rPr>
                                    </w:pPr>
                                  </w:p>
                                </w:txbxContent>
                              </wps:txbx>
                              <wps:bodyPr upright="1"/>
                            </wps:wsp>
                            <wps:wsp>
                              <wps:cNvPr id="71" name="自选图形 1968"/>
                              <wps:cNvCnPr/>
                              <wps:spPr>
                                <a:xfrm flipH="1">
                                  <a:off x="2070100" y="1511935"/>
                                  <a:ext cx="316865" cy="635"/>
                                </a:xfrm>
                                <a:prstGeom prst="straightConnector1">
                                  <a:avLst/>
                                </a:prstGeom>
                                <a:ln w="9525" cap="flat" cmpd="sng">
                                  <a:solidFill>
                                    <a:srgbClr val="000000"/>
                                  </a:solidFill>
                                  <a:prstDash val="solid"/>
                                  <a:headEnd type="triangle" w="sm" len="med"/>
                                  <a:tailEnd type="none" w="sm" len="sm"/>
                                </a:ln>
                              </wps:spPr>
                              <wps:bodyPr/>
                            </wps:wsp>
                            <wps:wsp>
                              <wps:cNvPr id="72" name="矩形 1971"/>
                              <wps:cNvSpPr/>
                              <wps:spPr>
                                <a:xfrm>
                                  <a:off x="1269365" y="3045460"/>
                                  <a:ext cx="1117600" cy="292735"/>
                                </a:xfrm>
                                <a:prstGeom prst="rect">
                                  <a:avLst/>
                                </a:prstGeom>
                                <a:noFill/>
                                <a:ln>
                                  <a:noFill/>
                                </a:ln>
                              </wps:spPr>
                              <wps:txbx>
                                <w:txbxContent>
                                  <w:p w14:paraId="095ACE7F">
                                    <w:pPr>
                                      <w:ind w:right="360"/>
                                      <w:rPr>
                                        <w:rFonts w:ascii="Times New Roman" w:hAnsi="Times New Roman" w:eastAsia="黑体" w:cs="Times New Roman"/>
                                        <w:sz w:val="18"/>
                                        <w:szCs w:val="18"/>
                                      </w:rPr>
                                    </w:pPr>
                                    <w:r>
                                      <w:rPr>
                                        <w:rFonts w:hint="eastAsia" w:ascii="Times New Roman" w:hAnsi="Times New Roman" w:eastAsia="黑体" w:cs="Times New Roman"/>
                                        <w:sz w:val="18"/>
                                        <w:szCs w:val="18"/>
                                      </w:rPr>
                                      <w:t>水性面漆、水</w:t>
                                    </w:r>
                                  </w:p>
                                  <w:p w14:paraId="35AB2E0D">
                                    <w:pPr>
                                      <w:ind w:right="90"/>
                                      <w:jc w:val="right"/>
                                      <w:rPr>
                                        <w:rFonts w:eastAsia="黑体"/>
                                        <w:color w:val="FF0000"/>
                                        <w:sz w:val="18"/>
                                        <w:szCs w:val="18"/>
                                      </w:rPr>
                                    </w:pPr>
                                  </w:p>
                                </w:txbxContent>
                              </wps:txbx>
                              <wps:bodyPr upright="1"/>
                            </wps:wsp>
                            <wps:wsp>
                              <wps:cNvPr id="73" name="自选图形 2030"/>
                              <wps:cNvCnPr/>
                              <wps:spPr>
                                <a:xfrm>
                                  <a:off x="2853690" y="668020"/>
                                  <a:ext cx="635" cy="178435"/>
                                </a:xfrm>
                                <a:prstGeom prst="straightConnector1">
                                  <a:avLst/>
                                </a:prstGeom>
                                <a:ln w="9525" cap="flat" cmpd="sng">
                                  <a:solidFill>
                                    <a:srgbClr val="000000"/>
                                  </a:solidFill>
                                  <a:prstDash val="solid"/>
                                  <a:headEnd type="none" w="med" len="med"/>
                                  <a:tailEnd type="triangle" w="med" len="med"/>
                                </a:ln>
                              </wps:spPr>
                              <wps:bodyPr/>
                            </wps:wsp>
                            <wps:wsp>
                              <wps:cNvPr id="74" name="自选图形 2031"/>
                              <wps:cNvCnPr/>
                              <wps:spPr>
                                <a:xfrm flipH="1">
                                  <a:off x="2095500" y="998220"/>
                                  <a:ext cx="316865" cy="635"/>
                                </a:xfrm>
                                <a:prstGeom prst="straightConnector1">
                                  <a:avLst/>
                                </a:prstGeom>
                                <a:ln w="9525" cap="flat" cmpd="sng">
                                  <a:solidFill>
                                    <a:srgbClr val="000000"/>
                                  </a:solidFill>
                                  <a:prstDash val="solid"/>
                                  <a:headEnd type="triangle" w="sm" len="med"/>
                                  <a:tailEnd type="none" w="sm" len="sm"/>
                                </a:ln>
                              </wps:spPr>
                              <wps:bodyPr/>
                            </wps:wsp>
                            <wps:wsp>
                              <wps:cNvPr id="75" name="矩形 2032"/>
                              <wps:cNvSpPr/>
                              <wps:spPr>
                                <a:xfrm>
                                  <a:off x="1779269" y="847090"/>
                                  <a:ext cx="391160" cy="260985"/>
                                </a:xfrm>
                                <a:prstGeom prst="rect">
                                  <a:avLst/>
                                </a:prstGeom>
                                <a:noFill/>
                                <a:ln>
                                  <a:noFill/>
                                </a:ln>
                              </wps:spPr>
                              <wps:txbx>
                                <w:txbxContent>
                                  <w:p w14:paraId="59A19B53">
                                    <w:pPr>
                                      <w:ind w:right="360"/>
                                      <w:rPr>
                                        <w:rFonts w:eastAsia="黑体"/>
                                        <w:color w:val="FF0000"/>
                                        <w:sz w:val="18"/>
                                        <w:szCs w:val="18"/>
                                      </w:rPr>
                                    </w:pPr>
                                    <w:r>
                                      <w:rPr>
                                        <w:rFonts w:hint="eastAsia" w:ascii="Times New Roman" w:hAnsi="Times New Roman" w:eastAsia="黑体" w:cs="Times New Roman"/>
                                        <w:sz w:val="18"/>
                                        <w:szCs w:val="18"/>
                                      </w:rPr>
                                      <w:t>水</w:t>
                                    </w:r>
                                  </w:p>
                                </w:txbxContent>
                              </wps:txbx>
                              <wps:bodyPr upright="1"/>
                            </wps:wsp>
                            <wps:wsp>
                              <wps:cNvPr id="76" name="自选图形 1182_SpCnt_1"/>
                              <wps:cNvCnPr/>
                              <wps:spPr>
                                <a:xfrm>
                                  <a:off x="2840354" y="2785745"/>
                                  <a:ext cx="635" cy="252095"/>
                                </a:xfrm>
                                <a:prstGeom prst="straightConnector1">
                                  <a:avLst/>
                                </a:prstGeom>
                                <a:ln w="9525" cap="flat" cmpd="sng">
                                  <a:solidFill>
                                    <a:srgbClr val="000000"/>
                                  </a:solidFill>
                                  <a:prstDash val="solid"/>
                                  <a:headEnd type="none" w="med" len="med"/>
                                  <a:tailEnd type="triangle" w="sm" len="med"/>
                                </a:ln>
                              </wps:spPr>
                              <wps:bodyPr/>
                            </wps:wsp>
                            <wps:wsp>
                              <wps:cNvPr id="77" name="自选图形 1182_SpCnt_2"/>
                              <wps:cNvCnPr/>
                              <wps:spPr>
                                <a:xfrm>
                                  <a:off x="2840989" y="2225040"/>
                                  <a:ext cx="635" cy="252095"/>
                                </a:xfrm>
                                <a:prstGeom prst="straightConnector1">
                                  <a:avLst/>
                                </a:prstGeom>
                                <a:ln w="9525" cap="flat" cmpd="sng">
                                  <a:solidFill>
                                    <a:srgbClr val="000000"/>
                                  </a:solidFill>
                                  <a:prstDash val="solid"/>
                                  <a:headEnd type="none" w="med" len="med"/>
                                  <a:tailEnd type="triangle" w="sm" len="med"/>
                                </a:ln>
                              </wps:spPr>
                              <wps:bodyPr/>
                            </wps:wsp>
                            <wps:wsp>
                              <wps:cNvPr id="78" name="自选图形 1182_SpCnt_3"/>
                              <wps:cNvCnPr/>
                              <wps:spPr>
                                <a:xfrm>
                                  <a:off x="2851150" y="4392930"/>
                                  <a:ext cx="635" cy="252095"/>
                                </a:xfrm>
                                <a:prstGeom prst="straightConnector1">
                                  <a:avLst/>
                                </a:prstGeom>
                                <a:ln w="9525" cap="flat" cmpd="sng">
                                  <a:solidFill>
                                    <a:srgbClr val="000000"/>
                                  </a:solidFill>
                                  <a:prstDash val="solid"/>
                                  <a:headEnd type="none" w="med" len="med"/>
                                  <a:tailEnd type="triangle" w="sm" len="med"/>
                                </a:ln>
                              </wps:spPr>
                              <wps:bodyPr/>
                            </wps:wsp>
                            <wps:wsp>
                              <wps:cNvPr id="79" name="文本框 2025"/>
                              <wps:cNvSpPr txBox="1"/>
                              <wps:spPr>
                                <a:xfrm>
                                  <a:off x="3646170" y="3434080"/>
                                  <a:ext cx="864235" cy="222885"/>
                                </a:xfrm>
                                <a:prstGeom prst="rect">
                                  <a:avLst/>
                                </a:prstGeom>
                                <a:solidFill>
                                  <a:srgbClr val="E7EFD9"/>
                                </a:solidFill>
                                <a:ln w="12700">
                                  <a:noFill/>
                                </a:ln>
                              </wps:spPr>
                              <wps:txbx>
                                <w:txbxContent>
                                  <w:p w14:paraId="210D84E2">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ascii="Times New Roman" w:hAnsi="Times New Roman" w:eastAsia="黑体" w:cs="Times New Roman"/>
                                        <w:color w:val="00B050"/>
                                        <w:sz w:val="18"/>
                                        <w:szCs w:val="18"/>
                                        <w:vertAlign w:val="subscript"/>
                                      </w:rPr>
                                      <w:t>5</w:t>
                                    </w:r>
                                    <w:r>
                                      <w:rPr>
                                        <w:rFonts w:hint="eastAsia" w:ascii="Times New Roman" w:hAnsi="Times New Roman" w:eastAsia="黑体" w:cs="Times New Roman"/>
                                        <w:color w:val="00B050"/>
                                        <w:sz w:val="18"/>
                                        <w:szCs w:val="18"/>
                                      </w:rPr>
                                      <w:t>：喷面漆废气</w:t>
                                    </w:r>
                                  </w:p>
                                </w:txbxContent>
                              </wps:txbx>
                              <wps:bodyPr lIns="10800" tIns="18000" rIns="10800" bIns="3600" upright="1"/>
                            </wps:wsp>
                            <wps:wsp>
                              <wps:cNvPr id="81" name="文本框 2037"/>
                              <wps:cNvSpPr txBox="1"/>
                              <wps:spPr>
                                <a:xfrm>
                                  <a:off x="3663315" y="3045460"/>
                                  <a:ext cx="864235" cy="222885"/>
                                </a:xfrm>
                                <a:prstGeom prst="rect">
                                  <a:avLst/>
                                </a:prstGeom>
                                <a:solidFill>
                                  <a:srgbClr val="E7EFD9"/>
                                </a:solidFill>
                                <a:ln w="12700">
                                  <a:noFill/>
                                </a:ln>
                              </wps:spPr>
                              <wps:txbx>
                                <w:txbxContent>
                                  <w:p w14:paraId="500DFD6C">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hint="eastAsia" w:ascii="Times New Roman" w:hAnsi="Times New Roman" w:eastAsia="黑体" w:cs="Times New Roman"/>
                                        <w:color w:val="00B050"/>
                                        <w:sz w:val="18"/>
                                        <w:szCs w:val="18"/>
                                        <w:vertAlign w:val="subscript"/>
                                      </w:rPr>
                                      <w:t>4</w:t>
                                    </w:r>
                                    <w:r>
                                      <w:rPr>
                                        <w:rFonts w:hint="eastAsia" w:ascii="Times New Roman" w:hAnsi="Times New Roman" w:eastAsia="黑体" w:cs="Times New Roman"/>
                                        <w:color w:val="00B050"/>
                                        <w:sz w:val="18"/>
                                        <w:szCs w:val="18"/>
                                      </w:rPr>
                                      <w:t>：调面漆废气</w:t>
                                    </w:r>
                                  </w:p>
                                </w:txbxContent>
                              </wps:txbx>
                              <wps:bodyPr lIns="10800" tIns="18000" rIns="10800" bIns="3600" upright="1"/>
                            </wps:wsp>
                            <wps:wsp>
                              <wps:cNvPr id="82" name="矩形 1926"/>
                              <wps:cNvSpPr/>
                              <wps:spPr>
                                <a:xfrm>
                                  <a:off x="2421255" y="3045460"/>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F7B145">
                                    <w:pPr>
                                      <w:jc w:val="center"/>
                                      <w:rPr>
                                        <w:rFonts w:eastAsia="黑体"/>
                                        <w:sz w:val="18"/>
                                        <w:szCs w:val="18"/>
                                      </w:rPr>
                                    </w:pPr>
                                    <w:r>
                                      <w:rPr>
                                        <w:rFonts w:hint="eastAsia" w:ascii="Calibri" w:hAnsi="宋体" w:eastAsia="黑体" w:cs="黑体"/>
                                        <w:sz w:val="18"/>
                                        <w:szCs w:val="18"/>
                                      </w:rPr>
                                      <w:t>调面漆</w:t>
                                    </w:r>
                                  </w:p>
                                </w:txbxContent>
                              </wps:txbx>
                              <wps:bodyPr upright="1"/>
                            </wps:wsp>
                            <wps:wsp>
                              <wps:cNvPr id="83" name="自选图形 1182_SpCnt_4"/>
                              <wps:cNvCnPr/>
                              <wps:spPr>
                                <a:xfrm>
                                  <a:off x="2872105" y="3337560"/>
                                  <a:ext cx="635" cy="252095"/>
                                </a:xfrm>
                                <a:prstGeom prst="straightConnector1">
                                  <a:avLst/>
                                </a:prstGeom>
                                <a:ln w="9525" cap="flat" cmpd="sng">
                                  <a:solidFill>
                                    <a:srgbClr val="000000"/>
                                  </a:solidFill>
                                  <a:prstDash val="solid"/>
                                  <a:headEnd type="none" w="med" len="med"/>
                                  <a:tailEnd type="triangle" w="sm" len="med"/>
                                </a:ln>
                              </wps:spPr>
                              <wps:bodyPr/>
                            </wps:wsp>
                            <wps:wsp>
                              <wps:cNvPr id="84" name="矩形 1962"/>
                              <wps:cNvSpPr/>
                              <wps:spPr>
                                <a:xfrm>
                                  <a:off x="2439035" y="3585210"/>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04750D">
                                    <w:pPr>
                                      <w:jc w:val="center"/>
                                      <w:rPr>
                                        <w:rFonts w:eastAsia="黑体"/>
                                        <w:sz w:val="18"/>
                                        <w:szCs w:val="18"/>
                                      </w:rPr>
                                    </w:pPr>
                                    <w:r>
                                      <w:rPr>
                                        <w:rFonts w:hint="eastAsia" w:ascii="Calibri" w:hAnsi="宋体" w:eastAsia="黑体" w:cs="黑体"/>
                                        <w:sz w:val="18"/>
                                        <w:szCs w:val="18"/>
                                      </w:rPr>
                                      <w:t>喷面漆</w:t>
                                    </w:r>
                                  </w:p>
                                  <w:p w14:paraId="295EF276">
                                    <w:pPr>
                                      <w:rPr>
                                        <w:szCs w:val="18"/>
                                      </w:rPr>
                                    </w:pPr>
                                  </w:p>
                                </w:txbxContent>
                              </wps:txbx>
                              <wps:bodyPr upright="1"/>
                            </wps:wsp>
                            <wps:wsp>
                              <wps:cNvPr id="85" name="矩形 2014"/>
                              <wps:cNvSpPr/>
                              <wps:spPr>
                                <a:xfrm>
                                  <a:off x="2429510" y="4142104"/>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5E8842">
                                    <w:pPr>
                                      <w:jc w:val="center"/>
                                      <w:rPr>
                                        <w:rFonts w:eastAsia="黑体"/>
                                        <w:sz w:val="18"/>
                                        <w:szCs w:val="18"/>
                                      </w:rPr>
                                    </w:pPr>
                                    <w:r>
                                      <w:rPr>
                                        <w:rFonts w:hint="eastAsia" w:ascii="Calibri" w:hAnsi="宋体" w:eastAsia="黑体" w:cs="黑体"/>
                                        <w:sz w:val="18"/>
                                        <w:szCs w:val="18"/>
                                      </w:rPr>
                                      <w:t>烘干</w:t>
                                    </w:r>
                                  </w:p>
                                  <w:p w14:paraId="798151FB">
                                    <w:pPr>
                                      <w:rPr>
                                        <w:szCs w:val="18"/>
                                      </w:rPr>
                                    </w:pPr>
                                  </w:p>
                                </w:txbxContent>
                              </wps:txbx>
                              <wps:bodyPr upright="1"/>
                            </wps:wsp>
                            <wps:wsp>
                              <wps:cNvPr id="86" name="矩形 2015"/>
                              <wps:cNvSpPr/>
                              <wps:spPr>
                                <a:xfrm>
                                  <a:off x="1196975" y="4142104"/>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9BB3D9">
                                    <w:pPr>
                                      <w:jc w:val="center"/>
                                      <w:rPr>
                                        <w:rFonts w:eastAsia="黑体"/>
                                        <w:sz w:val="18"/>
                                        <w:szCs w:val="18"/>
                                      </w:rPr>
                                    </w:pPr>
                                    <w:r>
                                      <w:rPr>
                                        <w:rFonts w:hint="eastAsia" w:ascii="Calibri" w:hAnsi="宋体" w:eastAsia="黑体" w:cs="黑体"/>
                                        <w:sz w:val="18"/>
                                        <w:szCs w:val="18"/>
                                      </w:rPr>
                                      <w:t>部分镭雕</w:t>
                                    </w:r>
                                  </w:p>
                                </w:txbxContent>
                              </wps:txbx>
                              <wps:bodyPr upright="1"/>
                            </wps:wsp>
                            <wps:wsp>
                              <wps:cNvPr id="87" name="矩形 2018"/>
                              <wps:cNvSpPr/>
                              <wps:spPr>
                                <a:xfrm>
                                  <a:off x="2412365" y="5185410"/>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9A13AE">
                                    <w:pPr>
                                      <w:jc w:val="center"/>
                                      <w:rPr>
                                        <w:rFonts w:eastAsia="黑体"/>
                                        <w:sz w:val="18"/>
                                        <w:szCs w:val="18"/>
                                      </w:rPr>
                                    </w:pPr>
                                    <w:r>
                                      <w:rPr>
                                        <w:rFonts w:hint="eastAsia" w:ascii="Calibri" w:hAnsi="宋体" w:eastAsia="黑体" w:cs="黑体"/>
                                        <w:sz w:val="18"/>
                                        <w:szCs w:val="18"/>
                                      </w:rPr>
                                      <w:t>拼装（委外）</w:t>
                                    </w:r>
                                  </w:p>
                                </w:txbxContent>
                              </wps:txbx>
                              <wps:bodyPr upright="1"/>
                            </wps:wsp>
                            <wps:wsp>
                              <wps:cNvPr id="88" name="自选图形 2022"/>
                              <wps:cNvCnPr/>
                              <wps:spPr>
                                <a:xfrm flipV="1">
                                  <a:off x="3311525" y="3185795"/>
                                  <a:ext cx="360045" cy="635"/>
                                </a:xfrm>
                                <a:prstGeom prst="straightConnector1">
                                  <a:avLst/>
                                </a:prstGeom>
                                <a:ln w="6350" cap="flat" cmpd="sng">
                                  <a:solidFill>
                                    <a:srgbClr val="00B050"/>
                                  </a:solidFill>
                                  <a:prstDash val="dash"/>
                                  <a:headEnd type="none" w="med" len="med"/>
                                  <a:tailEnd type="triangle" w="sm" len="med"/>
                                </a:ln>
                              </wps:spPr>
                              <wps:bodyPr/>
                            </wps:wsp>
                            <wps:wsp>
                              <wps:cNvPr id="89" name="自选图形 2024"/>
                              <wps:cNvCnPr/>
                              <wps:spPr>
                                <a:xfrm flipV="1">
                                  <a:off x="3311525" y="4290060"/>
                                  <a:ext cx="360045" cy="635"/>
                                </a:xfrm>
                                <a:prstGeom prst="straightConnector1">
                                  <a:avLst/>
                                </a:prstGeom>
                                <a:ln w="6350" cap="flat" cmpd="sng">
                                  <a:solidFill>
                                    <a:srgbClr val="00B050"/>
                                  </a:solidFill>
                                  <a:prstDash val="dash"/>
                                  <a:headEnd type="none" w="med" len="med"/>
                                  <a:tailEnd type="triangle" w="sm" len="med"/>
                                </a:ln>
                              </wps:spPr>
                              <wps:bodyPr/>
                            </wps:wsp>
                            <wps:wsp>
                              <wps:cNvPr id="90" name="自选图形 2026"/>
                              <wps:cNvCnPr/>
                              <wps:spPr>
                                <a:xfrm flipH="1">
                                  <a:off x="3303270" y="3872864"/>
                                  <a:ext cx="360045" cy="635"/>
                                </a:xfrm>
                                <a:prstGeom prst="straightConnector1">
                                  <a:avLst/>
                                </a:prstGeom>
                                <a:ln w="9525" cap="flat" cmpd="sng">
                                  <a:solidFill>
                                    <a:srgbClr val="FF0000"/>
                                  </a:solidFill>
                                  <a:prstDash val="dash"/>
                                  <a:headEnd type="triangle" w="sm" len="med"/>
                                  <a:tailEnd type="none" w="sm" len="med"/>
                                </a:ln>
                              </wps:spPr>
                              <wps:bodyPr/>
                            </wps:wsp>
                            <wps:wsp>
                              <wps:cNvPr id="91" name="自选图形 2036"/>
                              <wps:cNvCnPr/>
                              <wps:spPr>
                                <a:xfrm flipV="1">
                                  <a:off x="3293745" y="3594735"/>
                                  <a:ext cx="360045" cy="635"/>
                                </a:xfrm>
                                <a:prstGeom prst="straightConnector1">
                                  <a:avLst/>
                                </a:prstGeom>
                                <a:ln w="6350" cap="flat" cmpd="sng">
                                  <a:solidFill>
                                    <a:srgbClr val="00B050"/>
                                  </a:solidFill>
                                  <a:prstDash val="dash"/>
                                  <a:headEnd type="none" w="med" len="med"/>
                                  <a:tailEnd type="triangle" w="sm" len="med"/>
                                </a:ln>
                              </wps:spPr>
                              <wps:bodyPr/>
                            </wps:wsp>
                            <wps:wsp>
                              <wps:cNvPr id="92" name="文本框 2041"/>
                              <wps:cNvSpPr txBox="1"/>
                              <wps:spPr>
                                <a:xfrm>
                                  <a:off x="3663315" y="4203065"/>
                                  <a:ext cx="864235" cy="222885"/>
                                </a:xfrm>
                                <a:prstGeom prst="rect">
                                  <a:avLst/>
                                </a:prstGeom>
                                <a:solidFill>
                                  <a:srgbClr val="E7EFD9"/>
                                </a:solidFill>
                                <a:ln w="12700">
                                  <a:noFill/>
                                </a:ln>
                              </wps:spPr>
                              <wps:txbx>
                                <w:txbxContent>
                                  <w:p w14:paraId="35E57D5A">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ascii="Times New Roman" w:hAnsi="Times New Roman" w:eastAsia="黑体" w:cs="Times New Roman"/>
                                        <w:color w:val="00B050"/>
                                        <w:sz w:val="18"/>
                                        <w:szCs w:val="18"/>
                                        <w:vertAlign w:val="subscript"/>
                                      </w:rPr>
                                      <w:t>6</w:t>
                                    </w:r>
                                    <w:r>
                                      <w:rPr>
                                        <w:rFonts w:hint="eastAsia" w:ascii="Times New Roman" w:hAnsi="Times New Roman" w:eastAsia="黑体" w:cs="Times New Roman"/>
                                        <w:color w:val="00B050"/>
                                        <w:sz w:val="18"/>
                                        <w:szCs w:val="18"/>
                                      </w:rPr>
                                      <w:t>：烘干废气</w:t>
                                    </w:r>
                                  </w:p>
                                </w:txbxContent>
                              </wps:txbx>
                              <wps:bodyPr lIns="10800" tIns="18000" rIns="10800" bIns="3600" upright="1"/>
                            </wps:wsp>
                            <wps:wsp>
                              <wps:cNvPr id="93" name="矩形 2051"/>
                              <wps:cNvSpPr/>
                              <wps:spPr>
                                <a:xfrm>
                                  <a:off x="2412365" y="2477135"/>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C87A4A">
                                    <w:pPr>
                                      <w:jc w:val="center"/>
                                      <w:rPr>
                                        <w:rFonts w:ascii="黑体" w:hAnsi="宋体" w:eastAsia="黑体" w:cs="黑体"/>
                                        <w:sz w:val="18"/>
                                        <w:szCs w:val="18"/>
                                      </w:rPr>
                                    </w:pPr>
                                    <w:r>
                                      <w:rPr>
                                        <w:rFonts w:hint="eastAsia" w:ascii="黑体" w:hAnsi="宋体" w:eastAsia="黑体" w:cs="黑体"/>
                                        <w:sz w:val="18"/>
                                        <w:szCs w:val="18"/>
                                      </w:rPr>
                                      <w:t>烘干</w:t>
                                    </w:r>
                                  </w:p>
                                  <w:p w14:paraId="74EE8957">
                                    <w:pPr>
                                      <w:rPr>
                                        <w:szCs w:val="18"/>
                                      </w:rPr>
                                    </w:pPr>
                                  </w:p>
                                </w:txbxContent>
                              </wps:txbx>
                              <wps:bodyPr upright="1"/>
                            </wps:wsp>
                            <wps:wsp>
                              <wps:cNvPr id="94" name="自选图形 1182_SpCnt_5"/>
                              <wps:cNvCnPr/>
                              <wps:spPr>
                                <a:xfrm>
                                  <a:off x="2850515" y="3873500"/>
                                  <a:ext cx="635" cy="252095"/>
                                </a:xfrm>
                                <a:prstGeom prst="straightConnector1">
                                  <a:avLst/>
                                </a:prstGeom>
                                <a:ln w="9525" cap="flat" cmpd="sng">
                                  <a:solidFill>
                                    <a:srgbClr val="000000"/>
                                  </a:solidFill>
                                  <a:prstDash val="solid"/>
                                  <a:headEnd type="none" w="med" len="med"/>
                                  <a:tailEnd type="triangle" w="sm" len="med"/>
                                </a:ln>
                              </wps:spPr>
                              <wps:bodyPr/>
                            </wps:wsp>
                            <wps:wsp>
                              <wps:cNvPr id="95" name="自选图形 2057"/>
                              <wps:cNvCnPr/>
                              <wps:spPr>
                                <a:xfrm flipH="1">
                                  <a:off x="2095500" y="3186430"/>
                                  <a:ext cx="316865" cy="635"/>
                                </a:xfrm>
                                <a:prstGeom prst="straightConnector1">
                                  <a:avLst/>
                                </a:prstGeom>
                                <a:ln w="9525" cap="flat" cmpd="sng">
                                  <a:solidFill>
                                    <a:srgbClr val="000000"/>
                                  </a:solidFill>
                                  <a:prstDash val="solid"/>
                                  <a:headEnd type="triangle" w="sm" len="med"/>
                                  <a:tailEnd type="none" w="sm" len="sm"/>
                                </a:ln>
                              </wps:spPr>
                              <wps:bodyPr/>
                            </wps:wsp>
                            <wps:wsp>
                              <wps:cNvPr id="96" name="自选图形 1182_SpCnt_6"/>
                              <wps:cNvCnPr/>
                              <wps:spPr>
                                <a:xfrm>
                                  <a:off x="2851785" y="1680210"/>
                                  <a:ext cx="635" cy="252095"/>
                                </a:xfrm>
                                <a:prstGeom prst="straightConnector1">
                                  <a:avLst/>
                                </a:prstGeom>
                                <a:ln w="9525" cap="flat" cmpd="sng">
                                  <a:solidFill>
                                    <a:srgbClr val="000000"/>
                                  </a:solidFill>
                                  <a:prstDash val="solid"/>
                                  <a:headEnd type="none" w="med" len="med"/>
                                  <a:tailEnd type="triangle" w="sm" len="med"/>
                                </a:ln>
                              </wps:spPr>
                              <wps:bodyPr/>
                            </wps:wsp>
                            <wps:wsp>
                              <wps:cNvPr id="97" name="矩形 2071"/>
                              <wps:cNvSpPr/>
                              <wps:spPr>
                                <a:xfrm>
                                  <a:off x="2421890" y="1936750"/>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ACA8F46">
                                    <w:pPr>
                                      <w:jc w:val="center"/>
                                      <w:rPr>
                                        <w:rFonts w:ascii="黑体" w:hAnsi="宋体" w:eastAsia="黑体" w:cs="黑体"/>
                                        <w:sz w:val="18"/>
                                        <w:szCs w:val="18"/>
                                      </w:rPr>
                                    </w:pPr>
                                    <w:r>
                                      <w:rPr>
                                        <w:rFonts w:hint="eastAsia" w:ascii="黑体" w:hAnsi="宋体" w:eastAsia="黑体" w:cs="黑体"/>
                                        <w:sz w:val="18"/>
                                        <w:szCs w:val="18"/>
                                      </w:rPr>
                                      <w:t>喷底漆</w:t>
                                    </w:r>
                                  </w:p>
                                  <w:p w14:paraId="55D01D99">
                                    <w:pPr>
                                      <w:rPr>
                                        <w:szCs w:val="18"/>
                                      </w:rPr>
                                    </w:pPr>
                                  </w:p>
                                </w:txbxContent>
                              </wps:txbx>
                              <wps:bodyPr upright="1"/>
                            </wps:wsp>
                            <wps:wsp>
                              <wps:cNvPr id="98" name="自选图形 2072"/>
                              <wps:cNvCnPr/>
                              <wps:spPr>
                                <a:xfrm flipV="1">
                                  <a:off x="3311525" y="1982470"/>
                                  <a:ext cx="360045" cy="635"/>
                                </a:xfrm>
                                <a:prstGeom prst="straightConnector1">
                                  <a:avLst/>
                                </a:prstGeom>
                                <a:ln w="6350" cap="flat" cmpd="sng">
                                  <a:solidFill>
                                    <a:srgbClr val="00B050"/>
                                  </a:solidFill>
                                  <a:prstDash val="dash"/>
                                  <a:headEnd type="none" w="med" len="med"/>
                                  <a:tailEnd type="triangle" w="sm" len="med"/>
                                </a:ln>
                              </wps:spPr>
                              <wps:bodyPr/>
                            </wps:wsp>
                            <wps:wsp>
                              <wps:cNvPr id="99" name="文本框 2073"/>
                              <wps:cNvSpPr txBox="1"/>
                              <wps:spPr>
                                <a:xfrm>
                                  <a:off x="3637915" y="2606675"/>
                                  <a:ext cx="864235" cy="222885"/>
                                </a:xfrm>
                                <a:prstGeom prst="rect">
                                  <a:avLst/>
                                </a:prstGeom>
                                <a:solidFill>
                                  <a:srgbClr val="E7EFD9"/>
                                </a:solidFill>
                                <a:ln w="12700">
                                  <a:noFill/>
                                </a:ln>
                              </wps:spPr>
                              <wps:txbx>
                                <w:txbxContent>
                                  <w:p w14:paraId="0E7036A8">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hint="eastAsia" w:ascii="Times New Roman" w:hAnsi="Times New Roman" w:eastAsia="黑体" w:cs="Times New Roman"/>
                                        <w:color w:val="00B050"/>
                                        <w:sz w:val="18"/>
                                        <w:szCs w:val="18"/>
                                        <w:vertAlign w:val="subscript"/>
                                      </w:rPr>
                                      <w:t>3</w:t>
                                    </w:r>
                                    <w:r>
                                      <w:rPr>
                                        <w:rFonts w:hint="eastAsia" w:ascii="Times New Roman" w:hAnsi="Times New Roman" w:eastAsia="黑体" w:cs="Times New Roman"/>
                                        <w:color w:val="00B050"/>
                                        <w:sz w:val="18"/>
                                        <w:szCs w:val="18"/>
                                      </w:rPr>
                                      <w:t>：烘干废气</w:t>
                                    </w:r>
                                  </w:p>
                                </w:txbxContent>
                              </wps:txbx>
                              <wps:bodyPr lIns="10800" tIns="18000" rIns="10800" bIns="3600" upright="1"/>
                            </wps:wsp>
                            <wps:wsp>
                              <wps:cNvPr id="100" name="自选图形 2168"/>
                              <wps:cNvCnPr/>
                              <wps:spPr>
                                <a:xfrm flipH="1" flipV="1">
                                  <a:off x="2061209" y="4290695"/>
                                  <a:ext cx="360045" cy="635"/>
                                </a:xfrm>
                                <a:prstGeom prst="straightConnector1">
                                  <a:avLst/>
                                </a:prstGeom>
                                <a:ln w="6350" cap="flat" cmpd="sng">
                                  <a:solidFill>
                                    <a:srgbClr val="000000"/>
                                  </a:solidFill>
                                  <a:prstDash val="dash"/>
                                  <a:headEnd type="none" w="med" len="med"/>
                                  <a:tailEnd type="triangle" w="sm" len="med"/>
                                </a:ln>
                              </wps:spPr>
                              <wps:bodyPr/>
                            </wps:wsp>
                            <wps:wsp>
                              <wps:cNvPr id="101" name="自选图形 2170"/>
                              <wps:cNvCnPr/>
                              <wps:spPr>
                                <a:xfrm>
                                  <a:off x="1657985" y="4430395"/>
                                  <a:ext cx="748030" cy="358775"/>
                                </a:xfrm>
                                <a:prstGeom prst="bentConnector3">
                                  <a:avLst>
                                    <a:gd name="adj1" fmla="val -1866"/>
                                  </a:avLst>
                                </a:prstGeom>
                                <a:ln w="9525" cap="flat" cmpd="sng">
                                  <a:solidFill>
                                    <a:srgbClr val="000000"/>
                                  </a:solidFill>
                                  <a:prstDash val="solid"/>
                                  <a:miter/>
                                  <a:headEnd type="none" w="med" len="med"/>
                                  <a:tailEnd type="triangle" w="med" len="med"/>
                                </a:ln>
                              </wps:spPr>
                              <wps:bodyPr/>
                            </wps:wsp>
                            <wps:wsp>
                              <wps:cNvPr id="102" name="矩形 1179"/>
                              <wps:cNvSpPr/>
                              <wps:spPr>
                                <a:xfrm>
                                  <a:off x="2061209" y="424815"/>
                                  <a:ext cx="1630045" cy="288290"/>
                                </a:xfrm>
                                <a:prstGeom prst="rect">
                                  <a:avLst/>
                                </a:prstGeom>
                                <a:noFill/>
                                <a:ln>
                                  <a:noFill/>
                                </a:ln>
                              </wps:spPr>
                              <wps:txbx>
                                <w:txbxContent>
                                  <w:p w14:paraId="2A1A0D22">
                                    <w:pPr>
                                      <w:jc w:val="center"/>
                                      <w:rPr>
                                        <w:rFonts w:eastAsia="黑体"/>
                                        <w:color w:val="FF0000"/>
                                        <w:sz w:val="18"/>
                                        <w:szCs w:val="18"/>
                                      </w:rPr>
                                    </w:pPr>
                                    <w:r>
                                      <w:rPr>
                                        <w:rFonts w:hint="eastAsia" w:ascii="Calibri" w:hAnsi="宋体" w:eastAsia="黑体" w:cs="黑体"/>
                                        <w:sz w:val="18"/>
                                        <w:szCs w:val="18"/>
                                      </w:rPr>
                                      <w:t>汽车零部件</w:t>
                                    </w:r>
                                  </w:p>
                                </w:txbxContent>
                              </wps:txbx>
                              <wps:bodyPr upright="1"/>
                            </wps:wsp>
                            <wps:wsp>
                              <wps:cNvPr id="103" name="矩形 2206"/>
                              <wps:cNvSpPr/>
                              <wps:spPr>
                                <a:xfrm>
                                  <a:off x="2439035" y="5737860"/>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D69FA1E">
                                    <w:pPr>
                                      <w:jc w:val="center"/>
                                      <w:rPr>
                                        <w:rFonts w:eastAsia="黑体"/>
                                        <w:sz w:val="18"/>
                                        <w:szCs w:val="18"/>
                                      </w:rPr>
                                    </w:pPr>
                                    <w:r>
                                      <w:rPr>
                                        <w:rFonts w:hint="eastAsia" w:ascii="Calibri" w:hAnsi="宋体" w:eastAsia="黑体" w:cs="黑体"/>
                                        <w:sz w:val="18"/>
                                        <w:szCs w:val="18"/>
                                      </w:rPr>
                                      <w:t>包装入库</w:t>
                                    </w:r>
                                  </w:p>
                                </w:txbxContent>
                              </wps:txbx>
                              <wps:bodyPr upright="1"/>
                            </wps:wsp>
                            <wps:wsp>
                              <wps:cNvPr id="104" name="自选图形 1182_SpCnt_7"/>
                              <wps:cNvCnPr/>
                              <wps:spPr>
                                <a:xfrm>
                                  <a:off x="2872740" y="5485765"/>
                                  <a:ext cx="635" cy="252095"/>
                                </a:xfrm>
                                <a:prstGeom prst="straightConnector1">
                                  <a:avLst/>
                                </a:prstGeom>
                                <a:ln w="9525" cap="flat" cmpd="sng">
                                  <a:solidFill>
                                    <a:srgbClr val="000000"/>
                                  </a:solidFill>
                                  <a:prstDash val="solid"/>
                                  <a:headEnd type="none" w="med" len="med"/>
                                  <a:tailEnd type="triangle" w="sm" len="med"/>
                                </a:ln>
                              </wps:spPr>
                              <wps:bodyPr/>
                            </wps:wsp>
                            <wps:wsp>
                              <wps:cNvPr id="105" name="矩形 2210"/>
                              <wps:cNvSpPr/>
                              <wps:spPr>
                                <a:xfrm>
                                  <a:off x="2429510" y="4645025"/>
                                  <a:ext cx="864235" cy="28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EF42C2A">
                                    <w:pPr>
                                      <w:jc w:val="center"/>
                                      <w:rPr>
                                        <w:rFonts w:eastAsia="黑体"/>
                                        <w:sz w:val="18"/>
                                        <w:szCs w:val="18"/>
                                      </w:rPr>
                                    </w:pPr>
                                    <w:r>
                                      <w:rPr>
                                        <w:rFonts w:hint="eastAsia" w:ascii="Calibri" w:hAnsi="宋体" w:eastAsia="黑体" w:cs="黑体"/>
                                        <w:sz w:val="18"/>
                                        <w:szCs w:val="18"/>
                                      </w:rPr>
                                      <w:t>抛光</w:t>
                                    </w:r>
                                  </w:p>
                                  <w:p w14:paraId="0632D62C">
                                    <w:pPr>
                                      <w:rPr>
                                        <w:szCs w:val="18"/>
                                      </w:rPr>
                                    </w:pPr>
                                  </w:p>
                                </w:txbxContent>
                              </wps:txbx>
                              <wps:bodyPr upright="1"/>
                            </wps:wsp>
                            <wps:wsp>
                              <wps:cNvPr id="106" name="自选图形 1182_SpCnt_8"/>
                              <wps:cNvCnPr/>
                              <wps:spPr>
                                <a:xfrm>
                                  <a:off x="2839719" y="4933315"/>
                                  <a:ext cx="635" cy="252095"/>
                                </a:xfrm>
                                <a:prstGeom prst="straightConnector1">
                                  <a:avLst/>
                                </a:prstGeom>
                                <a:ln w="9525" cap="flat" cmpd="sng">
                                  <a:solidFill>
                                    <a:srgbClr val="000000"/>
                                  </a:solidFill>
                                  <a:prstDash val="solid"/>
                                  <a:headEnd type="none" w="med" len="med"/>
                                  <a:tailEnd type="triangle" w="sm" len="med"/>
                                </a:ln>
                              </wps:spPr>
                              <wps:bodyPr/>
                            </wps:wsp>
                            <wps:wsp>
                              <wps:cNvPr id="107" name="自选图形 2026_SpCnt_1"/>
                              <wps:cNvCnPr/>
                              <wps:spPr>
                                <a:xfrm flipH="1">
                                  <a:off x="3277235" y="4816475"/>
                                  <a:ext cx="355600" cy="0"/>
                                </a:xfrm>
                                <a:prstGeom prst="straightConnector1">
                                  <a:avLst/>
                                </a:prstGeom>
                                <a:ln w="9525" cap="flat" cmpd="sng">
                                  <a:solidFill>
                                    <a:srgbClr val="FF0000"/>
                                  </a:solidFill>
                                  <a:prstDash val="dash"/>
                                  <a:headEnd type="triangle" w="sm" len="med"/>
                                  <a:tailEnd type="none" w="sm" len="med"/>
                                </a:ln>
                              </wps:spPr>
                              <wps:bodyPr/>
                            </wps:wsp>
                            <wps:wsp>
                              <wps:cNvPr id="108" name="文本框 2027_SpCnt_1"/>
                              <wps:cNvSpPr txBox="1"/>
                              <wps:spPr>
                                <a:xfrm>
                                  <a:off x="3610610" y="4719320"/>
                                  <a:ext cx="863600" cy="215900"/>
                                </a:xfrm>
                                <a:prstGeom prst="rect">
                                  <a:avLst/>
                                </a:prstGeom>
                                <a:solidFill>
                                  <a:srgbClr val="FDE9D9"/>
                                </a:solidFill>
                                <a:ln w="12700">
                                  <a:noFill/>
                                </a:ln>
                              </wps:spPr>
                              <wps:txbx>
                                <w:txbxContent>
                                  <w:p w14:paraId="57303052">
                                    <w:pPr>
                                      <w:snapToGrid w:val="0"/>
                                      <w:rPr>
                                        <w:rFonts w:ascii="Times New Roman" w:hAnsi="Times New Roman" w:eastAsia="黑体" w:cs="Times New Roman"/>
                                        <w:color w:val="FF0000"/>
                                        <w:sz w:val="18"/>
                                        <w:szCs w:val="18"/>
                                      </w:rPr>
                                    </w:pPr>
                                    <w:r>
                                      <w:rPr>
                                        <w:rFonts w:ascii="Times New Roman" w:hAnsi="Times New Roman" w:eastAsia="黑体" w:cs="Times New Roman"/>
                                        <w:color w:val="FF0000"/>
                                        <w:sz w:val="18"/>
                                        <w:szCs w:val="18"/>
                                      </w:rPr>
                                      <w:t>S</w:t>
                                    </w:r>
                                    <w:r>
                                      <w:rPr>
                                        <w:rFonts w:hint="eastAsia" w:ascii="Times New Roman" w:hAnsi="Times New Roman" w:eastAsia="黑体" w:cs="Times New Roman"/>
                                        <w:color w:val="FF0000"/>
                                        <w:sz w:val="18"/>
                                        <w:szCs w:val="18"/>
                                        <w:vertAlign w:val="subscript"/>
                                        <w:lang w:val="en-US" w:eastAsia="zh-CN"/>
                                      </w:rPr>
                                      <w:t>5</w:t>
                                    </w:r>
                                    <w:r>
                                      <w:rPr>
                                        <w:rFonts w:hint="eastAsia" w:ascii="Times New Roman" w:hAnsi="Times New Roman" w:eastAsia="黑体" w:cs="Times New Roman"/>
                                        <w:color w:val="FF0000"/>
                                        <w:sz w:val="18"/>
                                        <w:szCs w:val="18"/>
                                      </w:rPr>
                                      <w:t>：废羊毛球</w:t>
                                    </w:r>
                                  </w:p>
                                </w:txbxContent>
                              </wps:txbx>
                              <wps:bodyPr lIns="10800" tIns="18000" rIns="10800" bIns="3600" upright="1"/>
                            </wps:wsp>
                            <wps:wsp>
                              <wps:cNvPr id="158" name="文本框 1958"/>
                              <wps:cNvSpPr txBox="1"/>
                              <wps:spPr>
                                <a:xfrm>
                                  <a:off x="3655695" y="3630930"/>
                                  <a:ext cx="888365" cy="490220"/>
                                </a:xfrm>
                                <a:prstGeom prst="rect">
                                  <a:avLst/>
                                </a:prstGeom>
                                <a:solidFill>
                                  <a:srgbClr val="FDE9D9"/>
                                </a:solidFill>
                                <a:ln w="12700">
                                  <a:noFill/>
                                </a:ln>
                              </wps:spPr>
                              <wps:txbx>
                                <w:txbxContent>
                                  <w:p w14:paraId="7AFA9A3C">
                                    <w:pPr>
                                      <w:snapToGrid w:val="0"/>
                                      <w:rPr>
                                        <w:rFonts w:hint="eastAsia" w:ascii="Times New Roman" w:hAnsi="Times New Roman" w:eastAsia="黑体" w:cs="Times New Roman"/>
                                        <w:color w:val="FF0000"/>
                                        <w:sz w:val="18"/>
                                        <w:szCs w:val="18"/>
                                      </w:rPr>
                                    </w:pPr>
                                    <w:r>
                                      <w:rPr>
                                        <w:rFonts w:ascii="Times New Roman" w:hAnsi="Times New Roman" w:eastAsia="黑体" w:cs="Times New Roman"/>
                                        <w:color w:val="FF0000"/>
                                        <w:sz w:val="18"/>
                                        <w:szCs w:val="18"/>
                                      </w:rPr>
                                      <w:t>S</w:t>
                                    </w:r>
                                    <w:r>
                                      <w:rPr>
                                        <w:rFonts w:hint="eastAsia" w:ascii="Times New Roman" w:hAnsi="Times New Roman" w:eastAsia="黑体" w:cs="Times New Roman"/>
                                        <w:color w:val="FF0000"/>
                                        <w:sz w:val="18"/>
                                        <w:szCs w:val="18"/>
                                        <w:vertAlign w:val="subscript"/>
                                        <w:lang w:val="en-US" w:eastAsia="zh-CN"/>
                                      </w:rPr>
                                      <w:t>3</w:t>
                                    </w:r>
                                    <w:r>
                                      <w:rPr>
                                        <w:rFonts w:hint="eastAsia" w:ascii="Times New Roman" w:hAnsi="Times New Roman" w:eastAsia="黑体" w:cs="Times New Roman"/>
                                        <w:color w:val="FF0000"/>
                                        <w:sz w:val="18"/>
                                        <w:szCs w:val="18"/>
                                      </w:rPr>
                                      <w:t>：废漆渣</w:t>
                                    </w:r>
                                  </w:p>
                                  <w:p w14:paraId="5620E0E4">
                                    <w:pPr>
                                      <w:snapToGrid w:val="0"/>
                                      <w:jc w:val="center"/>
                                      <w:rPr>
                                        <w:rFonts w:hint="eastAsia" w:ascii="Times New Roman" w:hAnsi="Times New Roman" w:eastAsia="黑体" w:cs="Times New Roman"/>
                                        <w:color w:val="FF0000"/>
                                        <w:sz w:val="18"/>
                                        <w:szCs w:val="18"/>
                                        <w:lang w:val="en-US" w:eastAsia="zh-CN"/>
                                      </w:rPr>
                                    </w:pPr>
                                    <w:r>
                                      <w:rPr>
                                        <w:rFonts w:hint="eastAsia" w:ascii="Times New Roman" w:hAnsi="Times New Roman" w:eastAsia="黑体" w:cs="Times New Roman"/>
                                        <w:color w:val="FF0000"/>
                                        <w:sz w:val="18"/>
                                        <w:szCs w:val="18"/>
                                        <w:lang w:val="en-US" w:eastAsia="zh-CN"/>
                                      </w:rPr>
                                      <w:t>S</w:t>
                                    </w:r>
                                    <w:r>
                                      <w:rPr>
                                        <w:rFonts w:hint="eastAsia" w:ascii="Times New Roman" w:hAnsi="Times New Roman" w:eastAsia="黑体" w:cs="Times New Roman"/>
                                        <w:color w:val="FF0000"/>
                                        <w:sz w:val="18"/>
                                        <w:szCs w:val="18"/>
                                        <w:vertAlign w:val="subscript"/>
                                        <w:lang w:val="en-US" w:eastAsia="zh-CN"/>
                                      </w:rPr>
                                      <w:t>4</w:t>
                                    </w:r>
                                    <w:r>
                                      <w:rPr>
                                        <w:rFonts w:hint="eastAsia" w:ascii="Times New Roman" w:hAnsi="Times New Roman" w:eastAsia="黑体" w:cs="Times New Roman"/>
                                        <w:color w:val="FF0000"/>
                                        <w:sz w:val="18"/>
                                        <w:szCs w:val="18"/>
                                        <w:lang w:val="en-US" w:eastAsia="zh-CN"/>
                                      </w:rPr>
                                      <w:t>：</w:t>
                                    </w:r>
                                    <w:r>
                                      <w:rPr>
                                        <w:rFonts w:hint="eastAsia" w:ascii="Times New Roman" w:hAnsi="Times New Roman" w:eastAsia="黑体" w:cs="Times New Roman"/>
                                        <w:color w:val="FF0000"/>
                                        <w:sz w:val="18"/>
                                        <w:szCs w:val="18"/>
                                      </w:rPr>
                                      <w:t>水帘喷漆定期更换的废液</w:t>
                                    </w:r>
                                  </w:p>
                                </w:txbxContent>
                              </wps:txbx>
                              <wps:bodyPr lIns="10800" tIns="18000" rIns="10800" bIns="3600" upright="1"/>
                            </wps:wsp>
                          </wpc:wpc>
                        </a:graphicData>
                      </a:graphic>
                    </wp:inline>
                  </w:drawing>
                </mc:Choice>
                <mc:Fallback>
                  <w:pict>
                    <v:group id="画布 1924" o:spid="_x0000_s1026" o:spt="203" style="height:485.05pt;width:422.75pt;" coordsize="5368925,6160135" editas="canvas" o:gfxdata="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">
                      <o:lock v:ext="edit" aspectratio="f"/>
                      <v:shape id="画布 1924" o:spid="_x0000_s1026" style="position:absolute;left:0;top:0;height:6160135;width:5368925;" filled="f" stroked="f" coordsize="21600,21600" o:gfxdata="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">
                        <v:fill on="f" focussize="0,0"/>
                        <v:stroke on="f"/>
                        <v:imagedata o:title=""/>
                        <o:lock v:ext="edit" aspectratio="t"/>
                      </v:shape>
                      <v:shape id="自选图形 1938" o:spid="_x0000_s1026" o:spt="32" type="#_x0000_t32" style="position:absolute;left:3335020;top:2185670;flip:x;height:635;width:360045;" filled="f" stroked="t" coordsize="21600,21600" o:gfxdata="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sXkp51gAAAAUBAAAPAAAA&#10;AAAAAAEAIAAAACIAAABkcnMvZG93bnJldi54bWxQSwECFAAUAAAACACHTuJA1F5shhcCAAD/AwAA&#10;DgAAAAAAAAABACAAAAAlAQAAZHJzL2Uyb0RvYy54bWxQSwUGAAAAAAYABgBZAQAArgUAAAAA&#10;">
                        <v:fill on="f" focussize="0,0"/>
                        <v:stroke color="#FF0000" joinstyle="round" dashstyle="dash" startarrow="block" startarrowwidth="narrow" endarrowwidth="narrow"/>
                        <v:imagedata o:title=""/>
                        <o:lock v:ext="edit" aspectratio="f"/>
                      </v:shape>
                      <v:rect id="矩形 1947" o:spid="_x0000_s1026" o:spt="1" style="position:absolute;left:2404110;top:1391285;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rIYQadUAAAAFAQAADwAAAAAAAAAB&#10;ACAAAAAiAAAAZHJzL2Rvd25yZXYueG1sUEsBAhQAFAAAAAgAh07iQBFkSrQTAgAAOAQAAA4AAAAA&#10;AAAAAQAgAAAAJAEAAGRycy9lMm9Eb2MueG1sUEsFBgAAAAAGAAYAWQEAAKkFAAAAAA==&#10;">
                        <v:fill on="t" focussize="0,0"/>
                        <v:stroke color="#000000" joinstyle="miter"/>
                        <v:imagedata o:title=""/>
                        <o:lock v:ext="edit" aspectratio="f"/>
                        <v:textbox>
                          <w:txbxContent>
                            <w:p w14:paraId="2F94E48F">
                              <w:pPr>
                                <w:jc w:val="center"/>
                                <w:rPr>
                                  <w:rFonts w:ascii="黑体" w:hAnsi="宋体" w:eastAsia="黑体" w:cs="黑体"/>
                                  <w:sz w:val="18"/>
                                  <w:szCs w:val="18"/>
                                </w:rPr>
                              </w:pPr>
                              <w:r>
                                <w:rPr>
                                  <w:rFonts w:hint="eastAsia" w:ascii="黑体" w:hAnsi="宋体" w:eastAsia="黑体" w:cs="黑体"/>
                                  <w:sz w:val="18"/>
                                  <w:szCs w:val="18"/>
                                </w:rPr>
                                <w:t>调底漆</w:t>
                              </w:r>
                            </w:p>
                            <w:p w14:paraId="3589451D">
                              <w:pPr>
                                <w:rPr>
                                  <w:szCs w:val="18"/>
                                </w:rPr>
                              </w:pPr>
                            </w:p>
                          </w:txbxContent>
                        </v:textbox>
                      </v:rect>
                      <v:shape id="文本框 1948" o:spid="_x0000_s1026" o:spt="202" type="#_x0000_t202" style="position:absolute;left:3653790;top:1391920;height:222885;width:864235;" fillcolor="#E7EFD9" filled="t" stroked="f" coordsize="21600,21600" o:gfxdata="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E5Z0wAAAAUBAAAPAAAAAAAAAAEAIAAAACIAAABkcnMvZG93bnJldi54bWxQSwECFAAUAAAACACH&#10;TuJAP5eG1vABAADDAwAADgAAAAAAAAABACAAAAAiAQAAZHJzL2Uyb0RvYy54bWxQSwUGAAAAAAYA&#10;BgBZAQAAhAUAAAAA&#10;">
                        <v:fill on="t" focussize="0,0"/>
                        <v:stroke on="f" weight="1pt"/>
                        <v:imagedata o:title=""/>
                        <o:lock v:ext="edit" aspectratio="f"/>
                        <v:textbox inset="0.3mm,0.5mm,0.3mm,0.1mm">
                          <w:txbxContent>
                            <w:p w14:paraId="7C120FD9">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ascii="Times New Roman" w:hAnsi="Times New Roman" w:eastAsia="黑体" w:cs="Times New Roman"/>
                                  <w:color w:val="00B050"/>
                                  <w:sz w:val="18"/>
                                  <w:szCs w:val="18"/>
                                  <w:vertAlign w:val="subscript"/>
                                </w:rPr>
                                <w:t>1</w:t>
                              </w:r>
                              <w:r>
                                <w:rPr>
                                  <w:rFonts w:hint="eastAsia" w:ascii="Times New Roman" w:hAnsi="Times New Roman" w:eastAsia="黑体" w:cs="Times New Roman"/>
                                  <w:color w:val="00B050"/>
                                  <w:sz w:val="18"/>
                                  <w:szCs w:val="18"/>
                                </w:rPr>
                                <w:t>：调底漆废气</w:t>
                              </w:r>
                            </w:p>
                          </w:txbxContent>
                        </v:textbox>
                      </v:shape>
                      <v:shape id="自选图形 1949" o:spid="_x0000_s1026" o:spt="32" type="#_x0000_t32" style="position:absolute;left:3303270;top:2718435;flip:y;height:635;width:360045;" filled="f" stroked="t" coordsize="21600,21600" o:gfxdata="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8rhAS1gAAAAUBAAAPAAAA&#10;AAAAAAEAIAAAACIAAABkcnMvZG93bnJldi54bWxQSwECFAAUAAAACACHTuJApO3svRcCAAAABAAA&#10;DgAAAAAAAAABACAAAAAlAQAAZHJzL2Uyb0RvYy54bWxQSwUGAAAAAAYABgBZAQAArgUAAAAA&#10;">
                        <v:fill on="f" focussize="0,0"/>
                        <v:stroke weight="0.5pt" color="#00B050" joinstyle="round" dashstyle="dash" endarrow="block" endarrowwidth="narrow"/>
                        <v:imagedata o:title=""/>
                        <o:lock v:ext="edit" aspectratio="f"/>
                      </v:shape>
                      <v:shape id="文本框 1950" o:spid="_x0000_s1026" o:spt="202" type="#_x0000_t202" style="position:absolute;left:3671570;top:1871345;height:222885;width:864235;" fillcolor="#E7EFD9" filled="t" stroked="f" coordsize="21600,21600" o:gfxdata="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hOWdMAAAAFAQAADwAAAAAAAAABACAAAAAiAAAAZHJzL2Rvd25yZXYueG1sUEsBAhQAFAAAAAgA&#10;h07iQLBZhcXxAQAAwwMAAA4AAAAAAAAAAQAgAAAAIgEAAGRycy9lMm9Eb2MueG1sUEsFBgAAAAAG&#10;AAYAWQEAAIUFAAAAAA==&#10;">
                        <v:fill on="t" focussize="0,0"/>
                        <v:stroke on="f" weight="1pt"/>
                        <v:imagedata o:title=""/>
                        <o:lock v:ext="edit" aspectratio="f"/>
                        <v:textbox inset="0.3mm,0.5mm,0.3mm,0.1mm">
                          <w:txbxContent>
                            <w:p w14:paraId="139947D9">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hint="eastAsia" w:ascii="Times New Roman" w:hAnsi="Times New Roman" w:eastAsia="黑体" w:cs="Times New Roman"/>
                                  <w:color w:val="00B050"/>
                                  <w:sz w:val="18"/>
                                  <w:szCs w:val="18"/>
                                  <w:vertAlign w:val="subscript"/>
                                </w:rPr>
                                <w:t>2</w:t>
                              </w:r>
                              <w:r>
                                <w:rPr>
                                  <w:rFonts w:hint="eastAsia" w:ascii="Times New Roman" w:hAnsi="Times New Roman" w:eastAsia="黑体" w:cs="Times New Roman"/>
                                  <w:color w:val="00B050"/>
                                  <w:sz w:val="18"/>
                                  <w:szCs w:val="18"/>
                                </w:rPr>
                                <w:t>：喷底漆废气</w:t>
                              </w:r>
                            </w:p>
                          </w:txbxContent>
                        </v:textbox>
                      </v:shape>
                      <v:shape id="自选图形 1951" o:spid="_x0000_s1026" o:spt="32" type="#_x0000_t32" style="position:absolute;left:3293745;top:1511300;flip:y;height:635;width:360045;" filled="f" stroked="t" coordsize="21600,21600" o:gfxdata="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8rhAS1gAAAAUBAAAPAAAA&#10;AAAAAAEAIAAAACIAAABkcnMvZG93bnJldi54bWxQSwECFAAUAAAACACHTuJAPUuT1xcCAAAABAAA&#10;DgAAAAAAAAABACAAAAAlAQAAZHJzL2Uyb0RvYy54bWxQSwUGAAAAAAYABgBZAQAArgUAAAAA&#10;">
                        <v:fill on="f" focussize="0,0"/>
                        <v:stroke weight="0.5pt" color="#00B050" joinstyle="round" dashstyle="dash" endarrow="block" endarrowwidth="narrow"/>
                        <v:imagedata o:title=""/>
                        <o:lock v:ext="edit" aspectratio="f"/>
                      </v:shape>
                      <v:rect id="矩形 1956" o:spid="_x0000_s1026" o:spt="1" style="position:absolute;left:1132840;top:1386205;height:292735;width:1117600;" filled="f" stroked="f" coordsize="21600,21600" o:gfxdata="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aeYK&#10;vNcAAAAFAQAADwAAAAAAAAABACAAAAAiAAAAZHJzL2Rvd25yZXYueG1sUEsBAhQAFAAAAAgAh07i&#10;QG4RJzaxAQAAUQMAAA4AAAAAAAAAAQAgAAAAJgEAAGRycy9lMm9Eb2MueG1sUEsFBgAAAAAGAAYA&#10;WQEAAEkFAAAAAA==&#10;">
                        <v:fill on="f" focussize="0,0"/>
                        <v:stroke on="f"/>
                        <v:imagedata o:title=""/>
                        <o:lock v:ext="edit" aspectratio="f"/>
                        <v:textbox>
                          <w:txbxContent>
                            <w:p w14:paraId="50BB55E9">
                              <w:pPr>
                                <w:ind w:right="360"/>
                                <w:rPr>
                                  <w:rFonts w:ascii="Times New Roman" w:hAnsi="Times New Roman" w:eastAsia="黑体" w:cs="Times New Roman"/>
                                  <w:sz w:val="18"/>
                                  <w:szCs w:val="18"/>
                                </w:rPr>
                              </w:pPr>
                              <w:r>
                                <w:rPr>
                                  <w:rFonts w:hint="eastAsia" w:ascii="Times New Roman" w:hAnsi="Times New Roman" w:eastAsia="黑体" w:cs="Times New Roman"/>
                                  <w:sz w:val="18"/>
                                  <w:szCs w:val="18"/>
                                </w:rPr>
                                <w:t>水性底漆、水</w:t>
                              </w:r>
                            </w:p>
                            <w:p w14:paraId="1BE527FD">
                              <w:pPr>
                                <w:ind w:right="90"/>
                                <w:jc w:val="right"/>
                                <w:rPr>
                                  <w:rFonts w:eastAsia="黑体"/>
                                  <w:color w:val="FF0000"/>
                                  <w:sz w:val="18"/>
                                  <w:szCs w:val="18"/>
                                </w:rPr>
                              </w:pPr>
                            </w:p>
                          </w:txbxContent>
                        </v:textbox>
                      </v:rect>
                      <v:shape id="文本框 1958" o:spid="_x0000_s1026" o:spt="202" type="#_x0000_t202" style="position:absolute;left:3671570;top:2091055;height:490220;width:888365;" fillcolor="#FDE9D9" filled="t" stroked="f" coordsize="21600,21600" o:gfxdata="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Rq1s/1AAAAAUBAAAPAAAAAAAAAAEAIAAAACIAAABkcnMvZG93bnJldi54bWxQSwECFAAUAAAA&#10;CACHTuJAXgicbfIBAADDAwAADgAAAAAAAAABACAAAAAjAQAAZHJzL2Uyb0RvYy54bWxQSwUGAAAA&#10;AAYABgBZAQAAhwUAAAAA&#10;">
                        <v:fill on="t" focussize="0,0"/>
                        <v:stroke on="f" weight="1pt"/>
                        <v:imagedata o:title=""/>
                        <o:lock v:ext="edit" aspectratio="f"/>
                        <v:textbox inset="0.3mm,0.5mm,0.3mm,0.1mm">
                          <w:txbxContent>
                            <w:p w14:paraId="494EB7E2">
                              <w:pPr>
                                <w:snapToGrid w:val="0"/>
                                <w:rPr>
                                  <w:rFonts w:hint="eastAsia" w:ascii="Times New Roman" w:hAnsi="Times New Roman" w:eastAsia="黑体" w:cs="Times New Roman"/>
                                  <w:color w:val="FF0000"/>
                                  <w:sz w:val="18"/>
                                  <w:szCs w:val="18"/>
                                </w:rPr>
                              </w:pPr>
                              <w:r>
                                <w:rPr>
                                  <w:rFonts w:ascii="Times New Roman" w:hAnsi="Times New Roman" w:eastAsia="黑体" w:cs="Times New Roman"/>
                                  <w:color w:val="FF0000"/>
                                  <w:sz w:val="18"/>
                                  <w:szCs w:val="18"/>
                                </w:rPr>
                                <w:t>S</w:t>
                              </w:r>
                              <w:r>
                                <w:rPr>
                                  <w:rFonts w:hint="eastAsia" w:ascii="Times New Roman" w:hAnsi="Times New Roman" w:eastAsia="黑体" w:cs="Times New Roman"/>
                                  <w:color w:val="FF0000"/>
                                  <w:sz w:val="18"/>
                                  <w:szCs w:val="18"/>
                                  <w:vertAlign w:val="subscript"/>
                                </w:rPr>
                                <w:t>1</w:t>
                              </w:r>
                              <w:r>
                                <w:rPr>
                                  <w:rFonts w:hint="eastAsia" w:ascii="Times New Roman" w:hAnsi="Times New Roman" w:eastAsia="黑体" w:cs="Times New Roman"/>
                                  <w:color w:val="FF0000"/>
                                  <w:sz w:val="18"/>
                                  <w:szCs w:val="18"/>
                                </w:rPr>
                                <w:t>：废漆渣</w:t>
                              </w:r>
                            </w:p>
                            <w:p w14:paraId="0BCB6718">
                              <w:pPr>
                                <w:snapToGrid w:val="0"/>
                                <w:jc w:val="center"/>
                                <w:rPr>
                                  <w:rFonts w:hint="eastAsia" w:ascii="Times New Roman" w:hAnsi="Times New Roman" w:eastAsia="黑体" w:cs="Times New Roman"/>
                                  <w:color w:val="FF0000"/>
                                  <w:sz w:val="18"/>
                                  <w:szCs w:val="18"/>
                                  <w:lang w:val="en-US" w:eastAsia="zh-CN"/>
                                </w:rPr>
                              </w:pPr>
                              <w:r>
                                <w:rPr>
                                  <w:rFonts w:hint="eastAsia" w:ascii="Times New Roman" w:hAnsi="Times New Roman" w:eastAsia="黑体" w:cs="Times New Roman"/>
                                  <w:color w:val="FF0000"/>
                                  <w:sz w:val="18"/>
                                  <w:szCs w:val="18"/>
                                  <w:lang w:val="en-US" w:eastAsia="zh-CN"/>
                                </w:rPr>
                                <w:t>S</w:t>
                              </w:r>
                              <w:r>
                                <w:rPr>
                                  <w:rFonts w:hint="eastAsia" w:ascii="Times New Roman" w:hAnsi="Times New Roman" w:eastAsia="黑体" w:cs="Times New Roman"/>
                                  <w:color w:val="FF0000"/>
                                  <w:sz w:val="18"/>
                                  <w:szCs w:val="18"/>
                                  <w:vertAlign w:val="subscript"/>
                                  <w:lang w:val="en-US" w:eastAsia="zh-CN"/>
                                </w:rPr>
                                <w:t>2</w:t>
                              </w:r>
                              <w:r>
                                <w:rPr>
                                  <w:rFonts w:hint="eastAsia" w:ascii="Times New Roman" w:hAnsi="Times New Roman" w:eastAsia="黑体" w:cs="Times New Roman"/>
                                  <w:color w:val="FF0000"/>
                                  <w:sz w:val="18"/>
                                  <w:szCs w:val="18"/>
                                  <w:lang w:val="en-US" w:eastAsia="zh-CN"/>
                                </w:rPr>
                                <w:t>：</w:t>
                              </w:r>
                              <w:r>
                                <w:rPr>
                                  <w:rFonts w:hint="eastAsia" w:ascii="Times New Roman" w:hAnsi="Times New Roman" w:eastAsia="黑体" w:cs="Times New Roman"/>
                                  <w:color w:val="FF0000"/>
                                  <w:sz w:val="18"/>
                                  <w:szCs w:val="18"/>
                                </w:rPr>
                                <w:t>水帘喷漆定期更换的废液</w:t>
                              </w:r>
                            </w:p>
                          </w:txbxContent>
                        </v:textbox>
                      </v:shape>
                      <v:shape id="自选图形 1182" o:spid="_x0000_s1026" o:spt="32" type="#_x0000_t32" style="position:absolute;left:2860040;top:1139825;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1faetYAAAAFAQAADwAAAAAAAAAB&#10;ACAAAAAiAAAAZHJzL2Rvd25yZXYueG1sUEsBAhQAFAAAAAgAh07iQKq8rhESAgAA9wMAAA4AAAAA&#10;AAAAAQAgAAAAJQEAAGRycy9lMm9Eb2MueG1sUEsFBgAAAAAGAAYAWQEAAKkFAAAAAA==&#10;">
                        <v:fill on="f" focussize="0,0"/>
                        <v:stroke color="#000000" joinstyle="round" endarrow="block" endarrowwidth="narrow"/>
                        <v:imagedata o:title=""/>
                        <o:lock v:ext="edit" aspectratio="f"/>
                      </v:shape>
                      <v:rect id="矩形 1964" o:spid="_x0000_s1026" o:spt="1" style="position:absolute;left:2421890;top:846454;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yGEGnVAAAABQEAAA8AAAAAAAAAAQAgAAAA&#10;IgAAAGRycy9kb3ducmV2LnhtbFBLAQIUABQAAAAIAIdO4kDXDHeDDgIAADcEAAAOAAAAAAAAAAEA&#10;IAAAACQBAABkcnMvZTJvRG9jLnhtbFBLBQYAAAAABgAGAFkBAACkBQAAAAA=&#10;">
                        <v:fill on="t" focussize="0,0"/>
                        <v:stroke color="#000000" joinstyle="miter"/>
                        <v:imagedata o:title=""/>
                        <o:lock v:ext="edit" aspectratio="f"/>
                        <v:textbox>
                          <w:txbxContent>
                            <w:p w14:paraId="5C2AC0BA">
                              <w:pPr>
                                <w:jc w:val="center"/>
                                <w:rPr>
                                  <w:rFonts w:eastAsia="黑体"/>
                                  <w:sz w:val="18"/>
                                  <w:szCs w:val="18"/>
                                </w:rPr>
                              </w:pPr>
                              <w:r>
                                <w:rPr>
                                  <w:rFonts w:hint="eastAsia" w:ascii="Calibri" w:hAnsi="宋体" w:eastAsia="黑体" w:cs="黑体"/>
                                  <w:sz w:val="18"/>
                                  <w:szCs w:val="18"/>
                                </w:rPr>
                                <w:t>擦拭打磨</w:t>
                              </w:r>
                            </w:p>
                            <w:p w14:paraId="2D3D1E08">
                              <w:pPr>
                                <w:rPr>
                                  <w:szCs w:val="18"/>
                                </w:rPr>
                              </w:pPr>
                            </w:p>
                          </w:txbxContent>
                        </v:textbox>
                      </v:rect>
                      <v:shape id="自选图形 1968" o:spid="_x0000_s1026" o:spt="32" type="#_x0000_t32" style="position:absolute;left:2070100;top:1511935;flip:x;height:635;width:316865;" filled="f" stroked="t" coordsize="21600,21600" o:gfxdata="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IswctYAAAAFAQAADwAAAAAA&#10;AAABACAAAAAiAAAAZHJzL2Rvd25yZXYueG1sUEsBAhQAFAAAAAgAh07iQDZ+Qr8VAgAA/wMAAA4A&#10;AAAAAAAAAQAgAAAAJQEAAGRycy9lMm9Eb2MueG1sUEsFBgAAAAAGAAYAWQEAAKwFAAAAAA==&#10;">
                        <v:fill on="f" focussize="0,0"/>
                        <v:stroke color="#000000" joinstyle="round" startarrow="block" startarrowwidth="narrow" endarrowwidth="narrow" endarrowlength="short"/>
                        <v:imagedata o:title=""/>
                        <o:lock v:ext="edit" aspectratio="f"/>
                      </v:shape>
                      <v:rect id="矩形 1971" o:spid="_x0000_s1026" o:spt="1" style="position:absolute;left:1269365;top:3045460;height:292735;width:1117600;" filled="f" stroked="f" coordsize="21600,21600" o:gfxdata="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p&#10;5gq81wAAAAUBAAAPAAAAAAAAAAEAIAAAACIAAABkcnMvZG93bnJldi54bWxQSwECFAAUAAAACACH&#10;TuJAnz5VL7MBAABRAwAADgAAAAAAAAABACAAAAAmAQAAZHJzL2Uyb0RvYy54bWxQSwUGAAAAAAYA&#10;BgBZAQAASwUAAAAA&#10;">
                        <v:fill on="f" focussize="0,0"/>
                        <v:stroke on="f"/>
                        <v:imagedata o:title=""/>
                        <o:lock v:ext="edit" aspectratio="f"/>
                        <v:textbox>
                          <w:txbxContent>
                            <w:p w14:paraId="095ACE7F">
                              <w:pPr>
                                <w:ind w:right="360"/>
                                <w:rPr>
                                  <w:rFonts w:ascii="Times New Roman" w:hAnsi="Times New Roman" w:eastAsia="黑体" w:cs="Times New Roman"/>
                                  <w:sz w:val="18"/>
                                  <w:szCs w:val="18"/>
                                </w:rPr>
                              </w:pPr>
                              <w:r>
                                <w:rPr>
                                  <w:rFonts w:hint="eastAsia" w:ascii="Times New Roman" w:hAnsi="Times New Roman" w:eastAsia="黑体" w:cs="Times New Roman"/>
                                  <w:sz w:val="18"/>
                                  <w:szCs w:val="18"/>
                                </w:rPr>
                                <w:t>水性面漆、水</w:t>
                              </w:r>
                            </w:p>
                            <w:p w14:paraId="35AB2E0D">
                              <w:pPr>
                                <w:ind w:right="90"/>
                                <w:jc w:val="right"/>
                                <w:rPr>
                                  <w:rFonts w:eastAsia="黑体"/>
                                  <w:color w:val="FF0000"/>
                                  <w:sz w:val="18"/>
                                  <w:szCs w:val="18"/>
                                </w:rPr>
                              </w:pPr>
                            </w:p>
                          </w:txbxContent>
                        </v:textbox>
                      </v:rect>
                      <v:shape id="自选图形 2030" o:spid="_x0000_s1026" o:spt="32" type="#_x0000_t32" style="position:absolute;left:2853690;top:668020;height:178435;width:635;" filled="f" stroked="t" coordsize="21600,21600" o:gfxdata="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vrt2dgAAAAFAQAADwAAAAAAAAABACAAAAAi&#10;AAAAZHJzL2Rvd25yZXYueG1sUEsBAhQAFAAAAAgAh07iQKjYAbgKAgAA9wMAAA4AAAAAAAAAAQAg&#10;AAAAJwEAAGRycy9lMm9Eb2MueG1sUEsFBgAAAAAGAAYAWQEAAKMFAAAAAA==&#10;">
                        <v:fill on="f" focussize="0,0"/>
                        <v:stroke color="#000000" joinstyle="round" endarrow="block"/>
                        <v:imagedata o:title=""/>
                        <o:lock v:ext="edit" aspectratio="f"/>
                      </v:shape>
                      <v:shape id="自选图形 2031" o:spid="_x0000_s1026" o:spt="32" type="#_x0000_t32" style="position:absolute;left:2095500;top:998220;flip:x;height:635;width:316865;" filled="f" stroked="t" coordsize="21600,21600" o:gfxdata="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IswctYAAAAFAQAADwAAAAAA&#10;AAABACAAAAAiAAAAZHJzL2Rvd25yZXYueG1sUEsBAhQAFAAAAAgAh07iQJhTmTQVAgAA/gMAAA4A&#10;AAAAAAAAAQAgAAAAJQEAAGRycy9lMm9Eb2MueG1sUEsFBgAAAAAGAAYAWQEAAKwFAAAAAA==&#10;">
                        <v:fill on="f" focussize="0,0"/>
                        <v:stroke color="#000000" joinstyle="round" startarrow="block" startarrowwidth="narrow" endarrowwidth="narrow" endarrowlength="short"/>
                        <v:imagedata o:title=""/>
                        <o:lock v:ext="edit" aspectratio="f"/>
                      </v:shape>
                      <v:rect id="矩形 2032" o:spid="_x0000_s1026" o:spt="1" style="position:absolute;left:1779269;top:847090;height:260985;width:391160;" filled="f" stroked="f" coordsize="21600,21600" o:gfxdata="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aeYK&#10;vNcAAAAFAQAADwAAAAAAAAABACAAAAAiAAAAZHJzL2Rvd25yZXYueG1sUEsBAhQAFAAAAAgAh07i&#10;QIb618GxAQAATwMAAA4AAAAAAAAAAQAgAAAAJgEAAGRycy9lMm9Eb2MueG1sUEsFBgAAAAAGAAYA&#10;WQEAAEkFAAAAAA==&#10;">
                        <v:fill on="f" focussize="0,0"/>
                        <v:stroke on="f"/>
                        <v:imagedata o:title=""/>
                        <o:lock v:ext="edit" aspectratio="f"/>
                        <v:textbox>
                          <w:txbxContent>
                            <w:p w14:paraId="59A19B53">
                              <w:pPr>
                                <w:ind w:right="360"/>
                                <w:rPr>
                                  <w:rFonts w:eastAsia="黑体"/>
                                  <w:color w:val="FF0000"/>
                                  <w:sz w:val="18"/>
                                  <w:szCs w:val="18"/>
                                </w:rPr>
                              </w:pPr>
                              <w:r>
                                <w:rPr>
                                  <w:rFonts w:hint="eastAsia" w:ascii="Times New Roman" w:hAnsi="Times New Roman" w:eastAsia="黑体" w:cs="Times New Roman"/>
                                  <w:sz w:val="18"/>
                                  <w:szCs w:val="18"/>
                                </w:rPr>
                                <w:t>水</w:t>
                              </w:r>
                            </w:p>
                          </w:txbxContent>
                        </v:textbox>
                      </v:rect>
                      <v:shape id="自选图形 1182_SpCnt_1" o:spid="_x0000_s1026" o:spt="32" type="#_x0000_t32" style="position:absolute;left:2840354;top:2785745;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dX2nrWAAAABQEAAA8A&#10;AAAAAAAAAQAgAAAAIgAAAGRycy9kb3ducmV2LnhtbFBLAQIUABQAAAAIAIdO4kAKfKQ9GQIAAP8D&#10;AAAOAAAAAAAAAAEAIAAAACUBAABkcnMvZTJvRG9jLnhtbFBLBQYAAAAABgAGAFkBAACwBQAAAAA=&#10;">
                        <v:fill on="f" focussize="0,0"/>
                        <v:stroke color="#000000" joinstyle="round" endarrow="block" endarrowwidth="narrow"/>
                        <v:imagedata o:title=""/>
                        <o:lock v:ext="edit" aspectratio="f"/>
                      </v:shape>
                      <v:shape id="自选图形 1182_SpCnt_2" o:spid="_x0000_s1026" o:spt="32" type="#_x0000_t32" style="position:absolute;left:2840989;top:2225040;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1faetYAAAAFAQAADwAAAAAA&#10;AAABACAAAAAiAAAAZHJzL2Rvd25yZXYueG1sUEsBAhQAFAAAAAgAh07iQNsvNtIVAgAA/wMAAA4A&#10;AAAAAAAAAQAgAAAAJQEAAGRycy9lMm9Eb2MueG1sUEsFBgAAAAAGAAYAWQEAAKwFAAAAAA==&#10;">
                        <v:fill on="f" focussize="0,0"/>
                        <v:stroke color="#000000" joinstyle="round" endarrow="block" endarrowwidth="narrow"/>
                        <v:imagedata o:title=""/>
                        <o:lock v:ext="edit" aspectratio="f"/>
                      </v:shape>
                      <v:shape id="自选图形 1182_SpCnt_3" o:spid="_x0000_s1026" o:spt="32" type="#_x0000_t32" style="position:absolute;left:2851150;top:4392930;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dX2nrWAAAABQEAAA8AAAAA&#10;AAAAAQAgAAAAIgAAAGRycy9kb3ducmV2LnhtbFBLAQIUABQAAAAIAIdO4kCVLvNOFgIAAP8DAAAO&#10;AAAAAAAAAAEAIAAAACUBAABkcnMvZTJvRG9jLnhtbFBLBQYAAAAABgAGAFkBAACtBQAAAAA=&#10;">
                        <v:fill on="f" focussize="0,0"/>
                        <v:stroke color="#000000" joinstyle="round" endarrow="block" endarrowwidth="narrow"/>
                        <v:imagedata o:title=""/>
                        <o:lock v:ext="edit" aspectratio="f"/>
                      </v:shape>
                      <v:shape id="文本框 2025" o:spid="_x0000_s1026" o:spt="202" type="#_x0000_t202" style="position:absolute;left:3646170;top:3434080;height:222885;width:864235;" fillcolor="#E7EFD9" filled="t" stroked="f" coordsize="21600,21600" o:gfxdata="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hOWdMAAAAFAQAADwAAAAAAAAABACAAAAAiAAAAZHJzL2Rvd25yZXYueG1sUEsBAhQAFAAAAAgA&#10;h07iQHDYBGzxAQAAwwMAAA4AAAAAAAAAAQAgAAAAIgEAAGRycy9lMm9Eb2MueG1sUEsFBgAAAAAG&#10;AAYAWQEAAIUFAAAAAA==&#10;">
                        <v:fill on="t" focussize="0,0"/>
                        <v:stroke on="f" weight="1pt"/>
                        <v:imagedata o:title=""/>
                        <o:lock v:ext="edit" aspectratio="f"/>
                        <v:textbox inset="0.3mm,0.5mm,0.3mm,0.1mm">
                          <w:txbxContent>
                            <w:p w14:paraId="210D84E2">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ascii="Times New Roman" w:hAnsi="Times New Roman" w:eastAsia="黑体" w:cs="Times New Roman"/>
                                  <w:color w:val="00B050"/>
                                  <w:sz w:val="18"/>
                                  <w:szCs w:val="18"/>
                                  <w:vertAlign w:val="subscript"/>
                                </w:rPr>
                                <w:t>5</w:t>
                              </w:r>
                              <w:r>
                                <w:rPr>
                                  <w:rFonts w:hint="eastAsia" w:ascii="Times New Roman" w:hAnsi="Times New Roman" w:eastAsia="黑体" w:cs="Times New Roman"/>
                                  <w:color w:val="00B050"/>
                                  <w:sz w:val="18"/>
                                  <w:szCs w:val="18"/>
                                </w:rPr>
                                <w:t>：喷面漆废气</w:t>
                              </w:r>
                            </w:p>
                          </w:txbxContent>
                        </v:textbox>
                      </v:shape>
                      <v:shape id="文本框 2037" o:spid="_x0000_s1026" o:spt="202" type="#_x0000_t202" style="position:absolute;left:3663315;top:3045460;height:222885;width:864235;" fillcolor="#E7EFD9" filled="t" stroked="f" coordsize="21600,21600" o:gfxdata="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hO&#10;WdMAAAAFAQAADwAAAAAAAAABACAAAAAiAAAAZHJzL2Rvd25yZXYueG1sUEsBAhQAFAAAAAgAh07i&#10;QCrMY4nuAQAAwwMAAA4AAAAAAAAAAQAgAAAAIgEAAGRycy9lMm9Eb2MueG1sUEsFBgAAAAAGAAYA&#10;WQEAAIIFAAAAAA==&#10;">
                        <v:fill on="t" focussize="0,0"/>
                        <v:stroke on="f" weight="1pt"/>
                        <v:imagedata o:title=""/>
                        <o:lock v:ext="edit" aspectratio="f"/>
                        <v:textbox inset="0.3mm,0.5mm,0.3mm,0.1mm">
                          <w:txbxContent>
                            <w:p w14:paraId="500DFD6C">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hint="eastAsia" w:ascii="Times New Roman" w:hAnsi="Times New Roman" w:eastAsia="黑体" w:cs="Times New Roman"/>
                                  <w:color w:val="00B050"/>
                                  <w:sz w:val="18"/>
                                  <w:szCs w:val="18"/>
                                  <w:vertAlign w:val="subscript"/>
                                </w:rPr>
                                <w:t>4</w:t>
                              </w:r>
                              <w:r>
                                <w:rPr>
                                  <w:rFonts w:hint="eastAsia" w:ascii="Times New Roman" w:hAnsi="Times New Roman" w:eastAsia="黑体" w:cs="Times New Roman"/>
                                  <w:color w:val="00B050"/>
                                  <w:sz w:val="18"/>
                                  <w:szCs w:val="18"/>
                                </w:rPr>
                                <w:t>：调面漆废气</w:t>
                              </w:r>
                            </w:p>
                          </w:txbxContent>
                        </v:textbox>
                      </v:shape>
                      <v:rect id="矩形 1926" o:spid="_x0000_s1026" o:spt="1" style="position:absolute;left:2421255;top:3045460;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shhBp1QAAAAUBAAAPAAAAAAAAAAEA&#10;IAAAACIAAABkcnMvZG93bnJldi54bWxQSwECFAAUAAAACACHTuJAGoHn7BICAAA4BAAADgAAAAAA&#10;AAABACAAAAAkAQAAZHJzL2Uyb0RvYy54bWxQSwUGAAAAAAYABgBZAQAAqAUAAAAA&#10;">
                        <v:fill on="t" focussize="0,0"/>
                        <v:stroke color="#000000" joinstyle="miter"/>
                        <v:imagedata o:title=""/>
                        <o:lock v:ext="edit" aspectratio="f"/>
                        <v:textbox>
                          <w:txbxContent>
                            <w:p w14:paraId="69F7B145">
                              <w:pPr>
                                <w:jc w:val="center"/>
                                <w:rPr>
                                  <w:rFonts w:eastAsia="黑体"/>
                                  <w:sz w:val="18"/>
                                  <w:szCs w:val="18"/>
                                </w:rPr>
                              </w:pPr>
                              <w:r>
                                <w:rPr>
                                  <w:rFonts w:hint="eastAsia" w:ascii="Calibri" w:hAnsi="宋体" w:eastAsia="黑体" w:cs="黑体"/>
                                  <w:sz w:val="18"/>
                                  <w:szCs w:val="18"/>
                                </w:rPr>
                                <w:t>调面漆</w:t>
                              </w:r>
                            </w:p>
                          </w:txbxContent>
                        </v:textbox>
                      </v:rect>
                      <v:shape id="自选图形 1182_SpCnt_4" o:spid="_x0000_s1026" o:spt="32" type="#_x0000_t32" style="position:absolute;left:2872105;top:3337560;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dX2nrWAAAABQEAAA8AAAAA&#10;AAAAAQAgAAAAIgAAAGRycy9kb3ducmV2LnhtbFBLAQIUABQAAAAIAIdO4kC3oSn4FgIAAP8DAAAO&#10;AAAAAAAAAAEAIAAAACUBAABkcnMvZTJvRG9jLnhtbFBLBQYAAAAABgAGAFkBAACtBQAAAAA=&#10;">
                        <v:fill on="f" focussize="0,0"/>
                        <v:stroke color="#000000" joinstyle="round" endarrow="block" endarrowwidth="narrow"/>
                        <v:imagedata o:title=""/>
                        <o:lock v:ext="edit" aspectratio="f"/>
                      </v:shape>
                      <v:rect id="矩形 1962" o:spid="_x0000_s1026" o:spt="1" style="position:absolute;left:2439035;top:3585210;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GEGnVAAAABQEAAA8AAAAAAAAAAQAg&#10;AAAAIgAAAGRycy9kb3ducmV2LnhtbFBLAQIUABQAAAAIAIdO4kCTS2HfEQIAADgEAAAOAAAAAAAA&#10;AAEAIAAAACQBAABkcnMvZTJvRG9jLnhtbFBLBQYAAAAABgAGAFkBAACnBQAAAAA=&#10;">
                        <v:fill on="t" focussize="0,0"/>
                        <v:stroke color="#000000" joinstyle="miter"/>
                        <v:imagedata o:title=""/>
                        <o:lock v:ext="edit" aspectratio="f"/>
                        <v:textbox>
                          <w:txbxContent>
                            <w:p w14:paraId="0704750D">
                              <w:pPr>
                                <w:jc w:val="center"/>
                                <w:rPr>
                                  <w:rFonts w:eastAsia="黑体"/>
                                  <w:sz w:val="18"/>
                                  <w:szCs w:val="18"/>
                                </w:rPr>
                              </w:pPr>
                              <w:r>
                                <w:rPr>
                                  <w:rFonts w:hint="eastAsia" w:ascii="Calibri" w:hAnsi="宋体" w:eastAsia="黑体" w:cs="黑体"/>
                                  <w:sz w:val="18"/>
                                  <w:szCs w:val="18"/>
                                </w:rPr>
                                <w:t>喷面漆</w:t>
                              </w:r>
                            </w:p>
                            <w:p w14:paraId="295EF276">
                              <w:pPr>
                                <w:rPr>
                                  <w:szCs w:val="18"/>
                                </w:rPr>
                              </w:pPr>
                            </w:p>
                          </w:txbxContent>
                        </v:textbox>
                      </v:rect>
                      <v:rect id="矩形 2014" o:spid="_x0000_s1026" o:spt="1" style="position:absolute;left:2429510;top:4142104;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shhBp1QAAAAUBAAAPAAAAAAAAAAEA&#10;IAAAACIAAABkcnMvZG93bnJldi54bWxQSwECFAAUAAAACACHTuJACEw7pxICAAA4BAAADgAAAAAA&#10;AAABACAAAAAkAQAAZHJzL2Uyb0RvYy54bWxQSwUGAAAAAAYABgBZAQAAqAUAAAAA&#10;">
                        <v:fill on="t" focussize="0,0"/>
                        <v:stroke color="#000000" joinstyle="miter"/>
                        <v:imagedata o:title=""/>
                        <o:lock v:ext="edit" aspectratio="f"/>
                        <v:textbox>
                          <w:txbxContent>
                            <w:p w14:paraId="3E5E8842">
                              <w:pPr>
                                <w:jc w:val="center"/>
                                <w:rPr>
                                  <w:rFonts w:eastAsia="黑体"/>
                                  <w:sz w:val="18"/>
                                  <w:szCs w:val="18"/>
                                </w:rPr>
                              </w:pPr>
                              <w:r>
                                <w:rPr>
                                  <w:rFonts w:hint="eastAsia" w:ascii="Calibri" w:hAnsi="宋体" w:eastAsia="黑体" w:cs="黑体"/>
                                  <w:sz w:val="18"/>
                                  <w:szCs w:val="18"/>
                                </w:rPr>
                                <w:t>烘干</w:t>
                              </w:r>
                            </w:p>
                            <w:p w14:paraId="798151FB">
                              <w:pPr>
                                <w:rPr>
                                  <w:szCs w:val="18"/>
                                </w:rPr>
                              </w:pPr>
                            </w:p>
                          </w:txbxContent>
                        </v:textbox>
                      </v:rect>
                      <v:rect id="矩形 2015" o:spid="_x0000_s1026" o:spt="1" style="position:absolute;left:1196975;top:4142104;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GEGnVAAAABQEAAA8AAAAAAAAAAQAg&#10;AAAAIgAAAGRycy9kb3ducmV2LnhtbFBLAQIUABQAAAAIAIdO4kC/bRRPEQIAADgEAAAOAAAAAAAA&#10;AAEAIAAAACQBAABkcnMvZTJvRG9jLnhtbFBLBQYAAAAABgAGAFkBAACnBQAAAAA=&#10;">
                        <v:fill on="t" focussize="0,0"/>
                        <v:stroke color="#000000" joinstyle="miter"/>
                        <v:imagedata o:title=""/>
                        <o:lock v:ext="edit" aspectratio="f"/>
                        <v:textbox>
                          <w:txbxContent>
                            <w:p w14:paraId="2D9BB3D9">
                              <w:pPr>
                                <w:jc w:val="center"/>
                                <w:rPr>
                                  <w:rFonts w:eastAsia="黑体"/>
                                  <w:sz w:val="18"/>
                                  <w:szCs w:val="18"/>
                                </w:rPr>
                              </w:pPr>
                              <w:r>
                                <w:rPr>
                                  <w:rFonts w:hint="eastAsia" w:ascii="Calibri" w:hAnsi="宋体" w:eastAsia="黑体" w:cs="黑体"/>
                                  <w:sz w:val="18"/>
                                  <w:szCs w:val="18"/>
                                </w:rPr>
                                <w:t>部分镭雕</w:t>
                              </w:r>
                            </w:p>
                          </w:txbxContent>
                        </v:textbox>
                      </v:rect>
                      <v:rect id="矩形 2018" o:spid="_x0000_s1026" o:spt="1" style="position:absolute;left:2412365;top:5185410;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GEGnVAAAABQEAAA8AAAAAAAAAAQAg&#10;AAAAIgAAAGRycy9kb3ducmV2LnhtbFBLAQIUABQAAAAIAIdO4kDaS1bZEQIAADgEAAAOAAAAAAAA&#10;AAEAIAAAACQBAABkcnMvZTJvRG9jLnhtbFBLBQYAAAAABgAGAFkBAACnBQAAAAA=&#10;">
                        <v:fill on="t" focussize="0,0"/>
                        <v:stroke color="#000000" joinstyle="miter"/>
                        <v:imagedata o:title=""/>
                        <o:lock v:ext="edit" aspectratio="f"/>
                        <v:textbox>
                          <w:txbxContent>
                            <w:p w14:paraId="789A13AE">
                              <w:pPr>
                                <w:jc w:val="center"/>
                                <w:rPr>
                                  <w:rFonts w:eastAsia="黑体"/>
                                  <w:sz w:val="18"/>
                                  <w:szCs w:val="18"/>
                                </w:rPr>
                              </w:pPr>
                              <w:r>
                                <w:rPr>
                                  <w:rFonts w:hint="eastAsia" w:ascii="Calibri" w:hAnsi="宋体" w:eastAsia="黑体" w:cs="黑体"/>
                                  <w:sz w:val="18"/>
                                  <w:szCs w:val="18"/>
                                </w:rPr>
                                <w:t>拼装（委外）</w:t>
                              </w:r>
                            </w:p>
                          </w:txbxContent>
                        </v:textbox>
                      </v:rect>
                      <v:shape id="自选图形 2022" o:spid="_x0000_s1026" o:spt="32" type="#_x0000_t32" style="position:absolute;left:3311525;top:3185795;flip:y;height:635;width:360045;" filled="f" stroked="t" coordsize="21600,21600" o:gfxdata="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8rhAS1gAAAAUBAAAPAAAA&#10;AAAAAAEAIAAAACIAAABkcnMvZG93bnJldi54bWxQSwECFAAUAAAACACHTuJA7Tz8CBcCAAAABAAA&#10;DgAAAAAAAAABACAAAAAlAQAAZHJzL2Uyb0RvYy54bWxQSwUGAAAAAAYABgBZAQAArgUAAAAA&#10;">
                        <v:fill on="f" focussize="0,0"/>
                        <v:stroke weight="0.5pt" color="#00B050" joinstyle="round" dashstyle="dash" endarrow="block" endarrowwidth="narrow"/>
                        <v:imagedata o:title=""/>
                        <o:lock v:ext="edit" aspectratio="f"/>
                      </v:shape>
                      <v:shape id="自选图形 2024" o:spid="_x0000_s1026" o:spt="32" type="#_x0000_t32" style="position:absolute;left:3311525;top:4290060;flip:y;height:635;width:360045;" filled="f" stroked="t" coordsize="21600,21600" o:gfxdata="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K4QEtYAAAAFAQAADwAA&#10;AAAAAAABACAAAAAiAAAAZHJzL2Rvd25yZXYueG1sUEsBAhQAFAAAAAgAh07iQPxdhfYYAgAAAAQA&#10;AA4AAAAAAAAAAQAgAAAAJQEAAGRycy9lMm9Eb2MueG1sUEsFBgAAAAAGAAYAWQEAAK8FAAAAAA==&#10;">
                        <v:fill on="f" focussize="0,0"/>
                        <v:stroke weight="0.5pt" color="#00B050" joinstyle="round" dashstyle="dash" endarrow="block" endarrowwidth="narrow"/>
                        <v:imagedata o:title=""/>
                        <o:lock v:ext="edit" aspectratio="f"/>
                      </v:shape>
                      <v:shape id="自选图形 2026" o:spid="_x0000_s1026" o:spt="32" type="#_x0000_t32" style="position:absolute;left:3303270;top:3872864;flip:x;height:635;width:360045;" filled="f" stroked="t" coordsize="21600,21600" o:gfxdata="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sXkp51gAAAAUBAAAPAAAAAAAA&#10;AAEAIAAAACIAAABkcnMvZG93bnJldi54bWxQSwECFAAUAAAACACHTuJAdbUGcRQCAAD/AwAADgAA&#10;AAAAAAABACAAAAAlAQAAZHJzL2Uyb0RvYy54bWxQSwUGAAAAAAYABgBZAQAAqwUAAAAA&#10;">
                        <v:fill on="f" focussize="0,0"/>
                        <v:stroke color="#FF0000" joinstyle="round" dashstyle="dash" startarrow="block" startarrowwidth="narrow" endarrowwidth="narrow"/>
                        <v:imagedata o:title=""/>
                        <o:lock v:ext="edit" aspectratio="f"/>
                      </v:shape>
                      <v:shape id="自选图形 2036" o:spid="_x0000_s1026" o:spt="32" type="#_x0000_t32" style="position:absolute;left:3293745;top:3594735;flip:y;height:635;width:360045;" filled="f" stroked="t" coordsize="21600,21600" o:gfxdata="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yuEBLWAAAABQEAAA8AAAAA&#10;AAAAAQAgAAAAIgAAAGRycy9kb3ducmV2LnhtbFBLAQIUABQAAAAIAIdO4kCnYrs5FgIAAAAEAAAO&#10;AAAAAAAAAAEAIAAAACUBAABkcnMvZTJvRG9jLnhtbFBLBQYAAAAABgAGAFkBAACtBQAAAAA=&#10;">
                        <v:fill on="f" focussize="0,0"/>
                        <v:stroke weight="0.5pt" color="#00B050" joinstyle="round" dashstyle="dash" endarrow="block" endarrowwidth="narrow"/>
                        <v:imagedata o:title=""/>
                        <o:lock v:ext="edit" aspectratio="f"/>
                      </v:shape>
                      <v:shape id="文本框 2041" o:spid="_x0000_s1026" o:spt="202" type="#_x0000_t202" style="position:absolute;left:3663315;top:4203065;height:222885;width:864235;" fillcolor="#E7EFD9" filled="t" stroked="f" coordsize="21600,21600" o:gfxdata="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L+E5Z0wAAAAUBAAAPAAAAAAAAAAEAIAAAACIAAABkcnMvZG93bnJldi54bWxQSwECFAAUAAAA&#10;CACHTuJAoyf75PMBAADDAwAADgAAAAAAAAABACAAAAAiAQAAZHJzL2Uyb0RvYy54bWxQSwUGAAAA&#10;AAYABgBZAQAAhwUAAAAA&#10;">
                        <v:fill on="t" focussize="0,0"/>
                        <v:stroke on="f" weight="1pt"/>
                        <v:imagedata o:title=""/>
                        <o:lock v:ext="edit" aspectratio="f"/>
                        <v:textbox inset="0.3mm,0.5mm,0.3mm,0.1mm">
                          <w:txbxContent>
                            <w:p w14:paraId="35E57D5A">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ascii="Times New Roman" w:hAnsi="Times New Roman" w:eastAsia="黑体" w:cs="Times New Roman"/>
                                  <w:color w:val="00B050"/>
                                  <w:sz w:val="18"/>
                                  <w:szCs w:val="18"/>
                                  <w:vertAlign w:val="subscript"/>
                                </w:rPr>
                                <w:t>6</w:t>
                              </w:r>
                              <w:r>
                                <w:rPr>
                                  <w:rFonts w:hint="eastAsia" w:ascii="Times New Roman" w:hAnsi="Times New Roman" w:eastAsia="黑体" w:cs="Times New Roman"/>
                                  <w:color w:val="00B050"/>
                                  <w:sz w:val="18"/>
                                  <w:szCs w:val="18"/>
                                </w:rPr>
                                <w:t>：烘干废气</w:t>
                              </w:r>
                            </w:p>
                          </w:txbxContent>
                        </v:textbox>
                      </v:shape>
                      <v:rect id="矩形 2051" o:spid="_x0000_s1026" o:spt="1" style="position:absolute;left:2412365;top:2477135;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shhBp1QAAAAUBAAAPAAAAAAAAAAEAIAAA&#10;ACIAAABkcnMvZG93bnJldi54bWxQSwECFAAUAAAACACHTuJAV4p5zg8CAAA4BAAADgAAAAAAAAAB&#10;ACAAAAAkAQAAZHJzL2Uyb0RvYy54bWxQSwUGAAAAAAYABgBZAQAApQUAAAAA&#10;">
                        <v:fill on="t" focussize="0,0"/>
                        <v:stroke color="#000000" joinstyle="miter"/>
                        <v:imagedata o:title=""/>
                        <o:lock v:ext="edit" aspectratio="f"/>
                        <v:textbox>
                          <w:txbxContent>
                            <w:p w14:paraId="07C87A4A">
                              <w:pPr>
                                <w:jc w:val="center"/>
                                <w:rPr>
                                  <w:rFonts w:ascii="黑体" w:hAnsi="宋体" w:eastAsia="黑体" w:cs="黑体"/>
                                  <w:sz w:val="18"/>
                                  <w:szCs w:val="18"/>
                                </w:rPr>
                              </w:pPr>
                              <w:r>
                                <w:rPr>
                                  <w:rFonts w:hint="eastAsia" w:ascii="黑体" w:hAnsi="宋体" w:eastAsia="黑体" w:cs="黑体"/>
                                  <w:sz w:val="18"/>
                                  <w:szCs w:val="18"/>
                                </w:rPr>
                                <w:t>烘干</w:t>
                              </w:r>
                            </w:p>
                            <w:p w14:paraId="74EE8957">
                              <w:pPr>
                                <w:rPr>
                                  <w:szCs w:val="18"/>
                                </w:rPr>
                              </w:pPr>
                            </w:p>
                          </w:txbxContent>
                        </v:textbox>
                      </v:rect>
                      <v:shape id="自选图形 1182_SpCnt_5" o:spid="_x0000_s1026" o:spt="32" type="#_x0000_t32" style="position:absolute;left:2850515;top:3873500;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nV9p61gAAAAUBAAAPAAAA&#10;AAAAAAEAIAAAACIAAABkcnMvZG93bnJldi54bWxQSwECFAAUAAAACACHTuJAnXvBHxcCAAD/AwAA&#10;DgAAAAAAAAABACAAAAAlAQAAZHJzL2Uyb0RvYy54bWxQSwUGAAAAAAYABgBZAQAArgUAAAAA&#10;">
                        <v:fill on="f" focussize="0,0"/>
                        <v:stroke color="#000000" joinstyle="round" endarrow="block" endarrowwidth="narrow"/>
                        <v:imagedata o:title=""/>
                        <o:lock v:ext="edit" aspectratio="f"/>
                      </v:shape>
                      <v:shape id="自选图形 2057" o:spid="_x0000_s1026" o:spt="32" type="#_x0000_t32" style="position:absolute;left:2095500;top:3186430;flip:x;height:635;width:316865;" filled="f" stroked="t" coordsize="21600,21600" o:gfxdata="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IswctYAAAAFAQAADwAAAAAA&#10;AAABACAAAAAiAAAAZHJzL2Rvd25yZXYueG1sUEsBAhQAFAAAAAgAh07iQHOdeFUVAgAA/wMAAA4A&#10;AAAAAAAAAQAgAAAAJQEAAGRycy9lMm9Eb2MueG1sUEsFBgAAAAAGAAYAWQEAAKwFAAAAAA==&#10;">
                        <v:fill on="f" focussize="0,0"/>
                        <v:stroke color="#000000" joinstyle="round" startarrow="block" startarrowwidth="narrow" endarrowwidth="narrow" endarrowlength="short"/>
                        <v:imagedata o:title=""/>
                        <o:lock v:ext="edit" aspectratio="f"/>
                      </v:shape>
                      <v:shape id="自选图形 1182_SpCnt_6" o:spid="_x0000_s1026" o:spt="32" type="#_x0000_t32" style="position:absolute;left:2851785;top:1680210;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V9p61gAAAAUBAAAPAAAAAAAA&#10;AAEAIAAAACIAAABkcnMvZG93bnJldi54bWxQSwECFAAUAAAACACHTuJAAOGY0hQCAAD/AwAADgAA&#10;AAAAAAABACAAAAAlAQAAZHJzL2Uyb0RvYy54bWxQSwUGAAAAAAYABgBZAQAAqwUAAAAA&#10;">
                        <v:fill on="f" focussize="0,0"/>
                        <v:stroke color="#000000" joinstyle="round" endarrow="block" endarrowwidth="narrow"/>
                        <v:imagedata o:title=""/>
                        <o:lock v:ext="edit" aspectratio="f"/>
                      </v:shape>
                      <v:rect id="矩形 2071" o:spid="_x0000_s1026" o:spt="1" style="position:absolute;left:2421890;top:1936750;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yGEGnVAAAABQEAAA8AAAAAAAAAAQAgAAAA&#10;IgAAAGRycy9kb3ducmV2LnhtbFBLAQIUABQAAAAIAIdO4kBQnbzbDgIAADgEAAAOAAAAAAAAAAEA&#10;IAAAACQBAABkcnMvZTJvRG9jLnhtbFBLBQYAAAAABgAGAFkBAACkBQAAAAA=&#10;">
                        <v:fill on="t" focussize="0,0"/>
                        <v:stroke color="#000000" joinstyle="miter"/>
                        <v:imagedata o:title=""/>
                        <o:lock v:ext="edit" aspectratio="f"/>
                        <v:textbox>
                          <w:txbxContent>
                            <w:p w14:paraId="0ACA8F46">
                              <w:pPr>
                                <w:jc w:val="center"/>
                                <w:rPr>
                                  <w:rFonts w:ascii="黑体" w:hAnsi="宋体" w:eastAsia="黑体" w:cs="黑体"/>
                                  <w:sz w:val="18"/>
                                  <w:szCs w:val="18"/>
                                </w:rPr>
                              </w:pPr>
                              <w:r>
                                <w:rPr>
                                  <w:rFonts w:hint="eastAsia" w:ascii="黑体" w:hAnsi="宋体" w:eastAsia="黑体" w:cs="黑体"/>
                                  <w:sz w:val="18"/>
                                  <w:szCs w:val="18"/>
                                </w:rPr>
                                <w:t>喷底漆</w:t>
                              </w:r>
                            </w:p>
                            <w:p w14:paraId="55D01D99">
                              <w:pPr>
                                <w:rPr>
                                  <w:szCs w:val="18"/>
                                </w:rPr>
                              </w:pPr>
                            </w:p>
                          </w:txbxContent>
                        </v:textbox>
                      </v:rect>
                      <v:shape id="自选图形 2072" o:spid="_x0000_s1026" o:spt="32" type="#_x0000_t32" style="position:absolute;left:3311525;top:1982470;flip:y;height:635;width:360045;" filled="f" stroked="t" coordsize="21600,21600" o:gfxdata="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K4QEtYAAAAFAQAADwAA&#10;AAAAAAABACAAAAAiAAAAZHJzL2Rvd25yZXYueG1sUEsBAhQAFAAAAAgAh07iQFiSpXEYAgAAAAQA&#10;AA4AAAAAAAAAAQAgAAAAJQEAAGRycy9lMm9Eb2MueG1sUEsFBgAAAAAGAAYAWQEAAK8FAAAAAA==&#10;">
                        <v:fill on="f" focussize="0,0"/>
                        <v:stroke weight="0.5pt" color="#00B050" joinstyle="round" dashstyle="dash" endarrow="block" endarrowwidth="narrow"/>
                        <v:imagedata o:title=""/>
                        <o:lock v:ext="edit" aspectratio="f"/>
                      </v:shape>
                      <v:shape id="文本框 2073" o:spid="_x0000_s1026" o:spt="202" type="#_x0000_t202" style="position:absolute;left:3637915;top:2606675;height:222885;width:864235;" fillcolor="#E7EFD9" filled="t" stroked="f" coordsize="21600,21600" o:gfxdata="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hOWdMAAAAFAQAADwAAAAAAAAABACAAAAAiAAAAZHJzL2Rvd25yZXYueG1sUEsBAhQAFAAAAAgA&#10;h07iQC+/ljDxAQAAwwMAAA4AAAAAAAAAAQAgAAAAIgEAAGRycy9lMm9Eb2MueG1sUEsFBgAAAAAG&#10;AAYAWQEAAIUFAAAAAA==&#10;">
                        <v:fill on="t" focussize="0,0"/>
                        <v:stroke on="f" weight="1pt"/>
                        <v:imagedata o:title=""/>
                        <o:lock v:ext="edit" aspectratio="f"/>
                        <v:textbox inset="0.3mm,0.5mm,0.3mm,0.1mm">
                          <w:txbxContent>
                            <w:p w14:paraId="0E7036A8">
                              <w:pPr>
                                <w:snapToGrid w:val="0"/>
                                <w:jc w:val="center"/>
                                <w:rPr>
                                  <w:rFonts w:ascii="Times New Roman" w:hAnsi="Times New Roman" w:eastAsia="黑体" w:cs="Times New Roman"/>
                                  <w:color w:val="00B050"/>
                                  <w:sz w:val="18"/>
                                  <w:szCs w:val="18"/>
                                </w:rPr>
                              </w:pPr>
                              <w:r>
                                <w:rPr>
                                  <w:rFonts w:ascii="Times New Roman" w:hAnsi="Times New Roman" w:eastAsia="黑体" w:cs="Times New Roman"/>
                                  <w:color w:val="00B050"/>
                                  <w:sz w:val="18"/>
                                  <w:szCs w:val="18"/>
                                </w:rPr>
                                <w:t>G</w:t>
                              </w:r>
                              <w:r>
                                <w:rPr>
                                  <w:rFonts w:hint="eastAsia" w:ascii="Times New Roman" w:hAnsi="Times New Roman" w:eastAsia="黑体" w:cs="Times New Roman"/>
                                  <w:color w:val="00B050"/>
                                  <w:sz w:val="18"/>
                                  <w:szCs w:val="18"/>
                                  <w:vertAlign w:val="subscript"/>
                                </w:rPr>
                                <w:t>3</w:t>
                              </w:r>
                              <w:r>
                                <w:rPr>
                                  <w:rFonts w:hint="eastAsia" w:ascii="Times New Roman" w:hAnsi="Times New Roman" w:eastAsia="黑体" w:cs="Times New Roman"/>
                                  <w:color w:val="00B050"/>
                                  <w:sz w:val="18"/>
                                  <w:szCs w:val="18"/>
                                </w:rPr>
                                <w:t>：烘干废气</w:t>
                              </w:r>
                            </w:p>
                          </w:txbxContent>
                        </v:textbox>
                      </v:shape>
                      <v:shape id="自选图形 2168" o:spid="_x0000_s1026" o:spt="32" type="#_x0000_t32" style="position:absolute;left:2061209;top:4290695;flip:x y;height:635;width:360045;" filled="f" stroked="t" coordsize="21600,21600" o:gfxdata="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l6g4F1AAAAAUBAAAP&#10;AAAAAAAAAAEAIAAAACIAAABkcnMvZG93bnJldi54bWxQSwECFAAUAAAACACHTuJAUnDQzRwCAAAL&#10;BAAADgAAAAAAAAABACAAAAAjAQAAZHJzL2Uyb0RvYy54bWxQSwUGAAAAAAYABgBZAQAAsQUAAAAA&#10;">
                        <v:fill on="f" focussize="0,0"/>
                        <v:stroke weight="0.5pt" color="#000000" joinstyle="round" dashstyle="dash" endarrow="block" endarrowwidth="narrow"/>
                        <v:imagedata o:title=""/>
                        <o:lock v:ext="edit" aspectratio="f"/>
                      </v:shape>
                      <v:shape id="自选图形 2170" o:spid="_x0000_s1026" o:spt="34" type="#_x0000_t34" style="position:absolute;left:1657985;top:4430395;height:358775;width:748030;" filled="f" stroked="t" coordsize="21600,21600" o:gfxdata="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txxnfWAAAABQEAAA8AAAAAAAAAAQAgAAAAIgAAAGRycy9kb3ducmV2LnhtbFBLAQIUABQAAAAI&#10;AIdO4kBCHsDzKAIAAC8EAAAOAAAAAAAAAAEAIAAAACUBAABkcnMvZTJvRG9jLnhtbFBLBQYAAAAA&#10;BgAGAFkBAAC/BQAAAAA=&#10;" adj="-403">
                        <v:fill on="f" focussize="0,0"/>
                        <v:stroke color="#000000" joinstyle="miter" endarrow="block"/>
                        <v:imagedata o:title=""/>
                        <o:lock v:ext="edit" aspectratio="f"/>
                      </v:shape>
                      <v:rect id="矩形 1179" o:spid="_x0000_s1026" o:spt="1" style="position:absolute;left:2061209;top:424815;height:288290;width:1630045;" filled="f" stroked="f" coordsize="21600,21600" o:gfxdata="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eYKvNcAAAAFAQAADwAAAAAAAAABACAAAAAiAAAAZHJzL2Rvd25yZXYueG1sUEsBAhQAFAAAAAgA&#10;h07iQBofIIK0AQAAUQMAAA4AAAAAAAAAAQAgAAAAJgEAAGRycy9lMm9Eb2MueG1sUEsFBgAAAAAG&#10;AAYAWQEAAEwFAAAAAA==&#10;">
                        <v:fill on="f" focussize="0,0"/>
                        <v:stroke on="f"/>
                        <v:imagedata o:title=""/>
                        <o:lock v:ext="edit" aspectratio="f"/>
                        <v:textbox>
                          <w:txbxContent>
                            <w:p w14:paraId="2A1A0D22">
                              <w:pPr>
                                <w:jc w:val="center"/>
                                <w:rPr>
                                  <w:rFonts w:eastAsia="黑体"/>
                                  <w:color w:val="FF0000"/>
                                  <w:sz w:val="18"/>
                                  <w:szCs w:val="18"/>
                                </w:rPr>
                              </w:pPr>
                              <w:r>
                                <w:rPr>
                                  <w:rFonts w:hint="eastAsia" w:ascii="Calibri" w:hAnsi="宋体" w:eastAsia="黑体" w:cs="黑体"/>
                                  <w:sz w:val="18"/>
                                  <w:szCs w:val="18"/>
                                </w:rPr>
                                <w:t>汽车零部件</w:t>
                              </w:r>
                            </w:p>
                          </w:txbxContent>
                        </v:textbox>
                      </v:rect>
                      <v:rect id="矩形 2206" o:spid="_x0000_s1026" o:spt="1" style="position:absolute;left:2439035;top:5737860;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shhBp1QAAAAUBAAAPAAAAAAAAAAEA&#10;IAAAACIAAABkcnMvZG93bnJldi54bWxQSwECFAAUAAAACACHTuJA+115ThICAAA5BAAADgAAAAAA&#10;AAABACAAAAAkAQAAZHJzL2Uyb0RvYy54bWxQSwUGAAAAAAYABgBZAQAAqAUAAAAA&#10;">
                        <v:fill on="t" focussize="0,0"/>
                        <v:stroke color="#000000" joinstyle="miter"/>
                        <v:imagedata o:title=""/>
                        <o:lock v:ext="edit" aspectratio="f"/>
                        <v:textbox>
                          <w:txbxContent>
                            <w:p w14:paraId="1D69FA1E">
                              <w:pPr>
                                <w:jc w:val="center"/>
                                <w:rPr>
                                  <w:rFonts w:eastAsia="黑体"/>
                                  <w:sz w:val="18"/>
                                  <w:szCs w:val="18"/>
                                </w:rPr>
                              </w:pPr>
                              <w:r>
                                <w:rPr>
                                  <w:rFonts w:hint="eastAsia" w:ascii="Calibri" w:hAnsi="宋体" w:eastAsia="黑体" w:cs="黑体"/>
                                  <w:sz w:val="18"/>
                                  <w:szCs w:val="18"/>
                                </w:rPr>
                                <w:t>包装入库</w:t>
                              </w:r>
                            </w:p>
                          </w:txbxContent>
                        </v:textbox>
                      </v:rect>
                      <v:shape id="自选图形 1182_SpCnt_7" o:spid="_x0000_s1026" o:spt="32" type="#_x0000_t32" style="position:absolute;left:2872740;top:5485765;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nV9p61gAAAAUBAAAP&#10;AAAAAAAAAAEAIAAAACIAAABkcnMvZG93bnJldi54bWxQSwECFAAUAAAACACHTuJAcIrkHhoCAAAA&#10;BAAADgAAAAAAAAABACAAAAAlAQAAZHJzL2Uyb0RvYy54bWxQSwUGAAAAAAYABgBZAQAAsQUAAAAA&#10;">
                        <v:fill on="f" focussize="0,0"/>
                        <v:stroke color="#000000" joinstyle="round" endarrow="block" endarrowwidth="narrow"/>
                        <v:imagedata o:title=""/>
                        <o:lock v:ext="edit" aspectratio="f"/>
                      </v:shape>
                      <v:rect id="矩形 2210" o:spid="_x0000_s1026" o:spt="1" style="position:absolute;left:2429510;top:4645025;height:288290;width:864235;" fillcolor="#FFFFFF" filled="t" stroked="t" coordsize="21600,21600" o:gfxdata="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GEGnVAAAABQEAAA8AAAAAAAAAAQAg&#10;AAAAIgAAAGRycy9kb3ducmV2LnhtbFBLAQIUABQAAAAIAIdO4kBR5BEEEQIAADkEAAAOAAAAAAAA&#10;AAEAIAAAACQBAABkcnMvZTJvRG9jLnhtbFBLBQYAAAAABgAGAFkBAACnBQAAAAA=&#10;">
                        <v:fill on="t" focussize="0,0"/>
                        <v:stroke color="#000000" joinstyle="miter"/>
                        <v:imagedata o:title=""/>
                        <o:lock v:ext="edit" aspectratio="f"/>
                        <v:textbox>
                          <w:txbxContent>
                            <w:p w14:paraId="1EF42C2A">
                              <w:pPr>
                                <w:jc w:val="center"/>
                                <w:rPr>
                                  <w:rFonts w:eastAsia="黑体"/>
                                  <w:sz w:val="18"/>
                                  <w:szCs w:val="18"/>
                                </w:rPr>
                              </w:pPr>
                              <w:r>
                                <w:rPr>
                                  <w:rFonts w:hint="eastAsia" w:ascii="Calibri" w:hAnsi="宋体" w:eastAsia="黑体" w:cs="黑体"/>
                                  <w:sz w:val="18"/>
                                  <w:szCs w:val="18"/>
                                </w:rPr>
                                <w:t>抛光</w:t>
                              </w:r>
                            </w:p>
                            <w:p w14:paraId="0632D62C">
                              <w:pPr>
                                <w:rPr>
                                  <w:szCs w:val="18"/>
                                </w:rPr>
                              </w:pPr>
                            </w:p>
                          </w:txbxContent>
                        </v:textbox>
                      </v:rect>
                      <v:shape id="自选图形 1182_SpCnt_8" o:spid="_x0000_s1026" o:spt="32" type="#_x0000_t32" style="position:absolute;left:2839719;top:4933315;height:252095;width:635;" filled="f" stroked="t" coordsize="21600,21600" o:gfxdata="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nV9p61gAAAAUBAAAP&#10;AAAAAAAAAAEAIAAAACIAAABkcnMvZG93bnJldi54bWxQSwECFAAUAAAACACHTuJAhRlHWRoCAAAA&#10;BAAADgAAAAAAAAABACAAAAAlAQAAZHJzL2Uyb0RvYy54bWxQSwUGAAAAAAYABgBZAQAAsQUAAAAA&#10;">
                        <v:fill on="f" focussize="0,0"/>
                        <v:stroke color="#000000" joinstyle="round" endarrow="block" endarrowwidth="narrow"/>
                        <v:imagedata o:title=""/>
                        <o:lock v:ext="edit" aspectratio="f"/>
                      </v:shape>
                      <v:shape id="自选图形 2026_SpCnt_1" o:spid="_x0000_s1026" o:spt="32" type="#_x0000_t32" style="position:absolute;left:3277235;top:4816475;flip:x;height:0;width:355600;" filled="f" stroked="t" coordsize="21600,21600" o:gfxdata="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sXkp51gAA&#10;AAUBAAAPAAAAAAAAAAEAIAAAACIAAABkcnMvZG93bnJldi54bWxQSwECFAAUAAAACACHTuJA0zwD&#10;/yACAAAGBAAADgAAAAAAAAABACAAAAAlAQAAZHJzL2Uyb0RvYy54bWxQSwUGAAAAAAYABgBZAQAA&#10;twUAAAAA&#10;">
                        <v:fill on="f" focussize="0,0"/>
                        <v:stroke color="#FF0000" joinstyle="round" dashstyle="dash" startarrow="block" startarrowwidth="narrow" endarrowwidth="narrow"/>
                        <v:imagedata o:title=""/>
                        <o:lock v:ext="edit" aspectratio="f"/>
                      </v:shape>
                      <v:shape id="文本框 2027_SpCnt_1" o:spid="_x0000_s1026" o:spt="202" type="#_x0000_t202" style="position:absolute;left:3610610;top:4719320;height:215900;width:863600;" fillcolor="#FDE9D9" filled="t" stroked="f" coordsize="21600,21600" o:gfxdata="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0atbP9QAAAAFAQAADwAAAAAAAAABACAAAAAiAAAAZHJzL2Rvd25yZXYueG1sUEsBAhQAFAAA&#10;AAgAh07iQMTkQe3zAQAAzAMAAA4AAAAAAAAAAQAgAAAAIwEAAGRycy9lMm9Eb2MueG1sUEsFBgAA&#10;AAAGAAYAWQEAAIgFAAAAAA==&#10;">
                        <v:fill on="t" focussize="0,0"/>
                        <v:stroke on="f" weight="1pt"/>
                        <v:imagedata o:title=""/>
                        <o:lock v:ext="edit" aspectratio="f"/>
                        <v:textbox inset="0.3mm,0.5mm,0.3mm,0.1mm">
                          <w:txbxContent>
                            <w:p w14:paraId="57303052">
                              <w:pPr>
                                <w:snapToGrid w:val="0"/>
                                <w:rPr>
                                  <w:rFonts w:ascii="Times New Roman" w:hAnsi="Times New Roman" w:eastAsia="黑体" w:cs="Times New Roman"/>
                                  <w:color w:val="FF0000"/>
                                  <w:sz w:val="18"/>
                                  <w:szCs w:val="18"/>
                                </w:rPr>
                              </w:pPr>
                              <w:r>
                                <w:rPr>
                                  <w:rFonts w:ascii="Times New Roman" w:hAnsi="Times New Roman" w:eastAsia="黑体" w:cs="Times New Roman"/>
                                  <w:color w:val="FF0000"/>
                                  <w:sz w:val="18"/>
                                  <w:szCs w:val="18"/>
                                </w:rPr>
                                <w:t>S</w:t>
                              </w:r>
                              <w:r>
                                <w:rPr>
                                  <w:rFonts w:hint="eastAsia" w:ascii="Times New Roman" w:hAnsi="Times New Roman" w:eastAsia="黑体" w:cs="Times New Roman"/>
                                  <w:color w:val="FF0000"/>
                                  <w:sz w:val="18"/>
                                  <w:szCs w:val="18"/>
                                  <w:vertAlign w:val="subscript"/>
                                  <w:lang w:val="en-US" w:eastAsia="zh-CN"/>
                                </w:rPr>
                                <w:t>5</w:t>
                              </w:r>
                              <w:r>
                                <w:rPr>
                                  <w:rFonts w:hint="eastAsia" w:ascii="Times New Roman" w:hAnsi="Times New Roman" w:eastAsia="黑体" w:cs="Times New Roman"/>
                                  <w:color w:val="FF0000"/>
                                  <w:sz w:val="18"/>
                                  <w:szCs w:val="18"/>
                                </w:rPr>
                                <w:t>：废羊毛球</w:t>
                              </w:r>
                            </w:p>
                          </w:txbxContent>
                        </v:textbox>
                      </v:shape>
                      <v:shape id="文本框 1958" o:spid="_x0000_s1026" o:spt="202" type="#_x0000_t202" style="position:absolute;left:3655695;top:3630930;height:490220;width:888365;" fillcolor="#FDE9D9" filled="t" stroked="f" coordsize="21600,21600" o:gfxdata="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atb&#10;P9QAAAAFAQAADwAAAAAAAAABACAAAAAiAAAAZHJzL2Rvd25yZXYueG1sUEsBAhQAFAAAAAgAh07i&#10;QHJ7umDtAQAAxAMAAA4AAAAAAAAAAQAgAAAAIwEAAGRycy9lMm9Eb2MueG1sUEsFBgAAAAAGAAYA&#10;WQEAAIIFAAAAAA==&#10;">
                        <v:fill on="t" focussize="0,0"/>
                        <v:stroke on="f" weight="1pt"/>
                        <v:imagedata o:title=""/>
                        <o:lock v:ext="edit" aspectratio="f"/>
                        <v:textbox inset="0.3mm,0.5mm,0.3mm,0.1mm">
                          <w:txbxContent>
                            <w:p w14:paraId="7AFA9A3C">
                              <w:pPr>
                                <w:snapToGrid w:val="0"/>
                                <w:rPr>
                                  <w:rFonts w:hint="eastAsia" w:ascii="Times New Roman" w:hAnsi="Times New Roman" w:eastAsia="黑体" w:cs="Times New Roman"/>
                                  <w:color w:val="FF0000"/>
                                  <w:sz w:val="18"/>
                                  <w:szCs w:val="18"/>
                                </w:rPr>
                              </w:pPr>
                              <w:r>
                                <w:rPr>
                                  <w:rFonts w:ascii="Times New Roman" w:hAnsi="Times New Roman" w:eastAsia="黑体" w:cs="Times New Roman"/>
                                  <w:color w:val="FF0000"/>
                                  <w:sz w:val="18"/>
                                  <w:szCs w:val="18"/>
                                </w:rPr>
                                <w:t>S</w:t>
                              </w:r>
                              <w:r>
                                <w:rPr>
                                  <w:rFonts w:hint="eastAsia" w:ascii="Times New Roman" w:hAnsi="Times New Roman" w:eastAsia="黑体" w:cs="Times New Roman"/>
                                  <w:color w:val="FF0000"/>
                                  <w:sz w:val="18"/>
                                  <w:szCs w:val="18"/>
                                  <w:vertAlign w:val="subscript"/>
                                  <w:lang w:val="en-US" w:eastAsia="zh-CN"/>
                                </w:rPr>
                                <w:t>3</w:t>
                              </w:r>
                              <w:r>
                                <w:rPr>
                                  <w:rFonts w:hint="eastAsia" w:ascii="Times New Roman" w:hAnsi="Times New Roman" w:eastAsia="黑体" w:cs="Times New Roman"/>
                                  <w:color w:val="FF0000"/>
                                  <w:sz w:val="18"/>
                                  <w:szCs w:val="18"/>
                                </w:rPr>
                                <w:t>：废漆渣</w:t>
                              </w:r>
                            </w:p>
                            <w:p w14:paraId="5620E0E4">
                              <w:pPr>
                                <w:snapToGrid w:val="0"/>
                                <w:jc w:val="center"/>
                                <w:rPr>
                                  <w:rFonts w:hint="eastAsia" w:ascii="Times New Roman" w:hAnsi="Times New Roman" w:eastAsia="黑体" w:cs="Times New Roman"/>
                                  <w:color w:val="FF0000"/>
                                  <w:sz w:val="18"/>
                                  <w:szCs w:val="18"/>
                                  <w:lang w:val="en-US" w:eastAsia="zh-CN"/>
                                </w:rPr>
                              </w:pPr>
                              <w:r>
                                <w:rPr>
                                  <w:rFonts w:hint="eastAsia" w:ascii="Times New Roman" w:hAnsi="Times New Roman" w:eastAsia="黑体" w:cs="Times New Roman"/>
                                  <w:color w:val="FF0000"/>
                                  <w:sz w:val="18"/>
                                  <w:szCs w:val="18"/>
                                  <w:lang w:val="en-US" w:eastAsia="zh-CN"/>
                                </w:rPr>
                                <w:t>S</w:t>
                              </w:r>
                              <w:r>
                                <w:rPr>
                                  <w:rFonts w:hint="eastAsia" w:ascii="Times New Roman" w:hAnsi="Times New Roman" w:eastAsia="黑体" w:cs="Times New Roman"/>
                                  <w:color w:val="FF0000"/>
                                  <w:sz w:val="18"/>
                                  <w:szCs w:val="18"/>
                                  <w:vertAlign w:val="subscript"/>
                                  <w:lang w:val="en-US" w:eastAsia="zh-CN"/>
                                </w:rPr>
                                <w:t>4</w:t>
                              </w:r>
                              <w:r>
                                <w:rPr>
                                  <w:rFonts w:hint="eastAsia" w:ascii="Times New Roman" w:hAnsi="Times New Roman" w:eastAsia="黑体" w:cs="Times New Roman"/>
                                  <w:color w:val="FF0000"/>
                                  <w:sz w:val="18"/>
                                  <w:szCs w:val="18"/>
                                  <w:lang w:val="en-US" w:eastAsia="zh-CN"/>
                                </w:rPr>
                                <w:t>：</w:t>
                              </w:r>
                              <w:r>
                                <w:rPr>
                                  <w:rFonts w:hint="eastAsia" w:ascii="Times New Roman" w:hAnsi="Times New Roman" w:eastAsia="黑体" w:cs="Times New Roman"/>
                                  <w:color w:val="FF0000"/>
                                  <w:sz w:val="18"/>
                                  <w:szCs w:val="18"/>
                                </w:rPr>
                                <w:t>水帘喷漆定期更换的废液</w:t>
                              </w:r>
                            </w:p>
                          </w:txbxContent>
                        </v:textbox>
                      </v:shape>
                      <w10:wrap type="none"/>
                      <w10:anchorlock/>
                    </v:group>
                  </w:pict>
                </mc:Fallback>
              </mc:AlternateContent>
            </w:r>
          </w:p>
          <w:p w14:paraId="0F4D7B11">
            <w:pPr>
              <w:spacing w:line="360" w:lineRule="auto"/>
              <w:jc w:val="center"/>
              <w:rPr>
                <w:rFonts w:ascii="Times New Roman" w:hAnsi="Times New Roman" w:eastAsia="黑体" w:cs="Times New Roman"/>
                <w:color w:val="auto"/>
                <w:sz w:val="24"/>
                <w:szCs w:val="28"/>
              </w:rPr>
            </w:pPr>
            <w:r>
              <w:rPr>
                <w:rFonts w:hint="eastAsia" w:ascii="Times New Roman" w:hAnsi="黑体" w:eastAsia="黑体" w:cs="Times New Roman"/>
                <w:color w:val="auto"/>
                <w:sz w:val="24"/>
                <w:szCs w:val="28"/>
              </w:rPr>
              <w:t>图</w:t>
            </w:r>
            <w:r>
              <w:rPr>
                <w:rFonts w:ascii="Times New Roman" w:hAnsi="Times New Roman" w:eastAsia="黑体" w:cs="Times New Roman"/>
                <w:color w:val="auto"/>
                <w:sz w:val="24"/>
                <w:szCs w:val="28"/>
              </w:rPr>
              <w:t>2-</w:t>
            </w:r>
            <w:r>
              <w:rPr>
                <w:rFonts w:hint="eastAsia" w:ascii="Times New Roman" w:hAnsi="Times New Roman" w:eastAsia="黑体" w:cs="Times New Roman"/>
                <w:color w:val="auto"/>
                <w:sz w:val="24"/>
                <w:szCs w:val="28"/>
              </w:rPr>
              <w:t xml:space="preserve">2  </w:t>
            </w:r>
            <w:r>
              <w:rPr>
                <w:rFonts w:hint="eastAsia" w:ascii="Times New Roman" w:hAnsi="黑体" w:eastAsia="黑体"/>
                <w:bCs/>
                <w:color w:val="auto"/>
                <w:kern w:val="0"/>
                <w:sz w:val="24"/>
                <w:szCs w:val="24"/>
              </w:rPr>
              <w:t>涂装</w:t>
            </w:r>
            <w:r>
              <w:rPr>
                <w:rFonts w:ascii="Times New Roman" w:hAnsi="黑体" w:eastAsia="黑体"/>
                <w:bCs/>
                <w:color w:val="auto"/>
                <w:kern w:val="0"/>
                <w:sz w:val="24"/>
                <w:szCs w:val="24"/>
              </w:rPr>
              <w:t>生产线生产工艺及产污节点图</w:t>
            </w:r>
          </w:p>
          <w:p w14:paraId="25B5FE55">
            <w:pPr>
              <w:widowControl/>
              <w:adjustRightInd w:val="0"/>
              <w:snapToGrid w:val="0"/>
              <w:spacing w:line="360" w:lineRule="auto"/>
              <w:ind w:firstLine="480" w:firstLineChars="200"/>
              <w:rPr>
                <w:rFonts w:ascii="Times New Roman" w:hAnsi="Times New Roman" w:cs="Times New Roman"/>
                <w:sz w:val="24"/>
                <w:szCs w:val="28"/>
              </w:rPr>
            </w:pPr>
            <w:r>
              <w:rPr>
                <w:rFonts w:ascii="Times New Roman" w:hAnsi="Times New Roman" w:cs="Times New Roman"/>
                <w:sz w:val="24"/>
                <w:szCs w:val="28"/>
              </w:rPr>
              <w:t>生产工艺流程简述：</w:t>
            </w:r>
          </w:p>
          <w:p w14:paraId="5ECA8A06">
            <w:pPr>
              <w:widowControl/>
              <w:adjustRightInd w:val="0"/>
              <w:snapToGrid w:val="0"/>
              <w:spacing w:line="360" w:lineRule="auto"/>
              <w:ind w:firstLine="482" w:firstLineChars="200"/>
              <w:rPr>
                <w:color w:val="auto"/>
              </w:rPr>
            </w:pPr>
            <w:r>
              <w:rPr>
                <w:rFonts w:ascii="Times New Roman" w:hAnsi="Times New Roman" w:cs="Times New Roman"/>
                <w:b/>
                <w:bCs/>
                <w:sz w:val="24"/>
                <w:szCs w:val="24"/>
              </w:rPr>
              <w:t>1、打磨擦拭：</w:t>
            </w:r>
            <w:r>
              <w:rPr>
                <w:rFonts w:hint="eastAsia" w:ascii="Times New Roman" w:hAnsi="Times New Roman" w:cs="Times New Roman"/>
                <w:sz w:val="24"/>
                <w:szCs w:val="28"/>
              </w:rPr>
              <w:t>待喷涂的汽车零部件半成品需经人工采用磨砂纸</w:t>
            </w:r>
            <w:r>
              <w:rPr>
                <w:rFonts w:hint="eastAsia" w:ascii="Times New Roman" w:hAnsi="Times New Roman" w:cs="Times New Roman"/>
                <w:color w:val="auto"/>
                <w:sz w:val="24"/>
                <w:szCs w:val="28"/>
              </w:rPr>
              <w:t>沾水进行打磨擦拭，打磨擦拭之后才能进入喷涂工段。</w:t>
            </w:r>
          </w:p>
          <w:p w14:paraId="6DA7B993">
            <w:pPr>
              <w:widowControl/>
              <w:adjustRightInd w:val="0"/>
              <w:snapToGrid w:val="0"/>
              <w:spacing w:line="360" w:lineRule="auto"/>
              <w:ind w:firstLine="482" w:firstLineChars="200"/>
              <w:rPr>
                <w:color w:val="auto"/>
              </w:rPr>
            </w:pPr>
            <w:r>
              <w:rPr>
                <w:rFonts w:hint="eastAsia" w:ascii="Times New Roman" w:hAnsi="Times New Roman" w:cs="Times New Roman"/>
                <w:b/>
                <w:color w:val="auto"/>
                <w:sz w:val="24"/>
                <w:szCs w:val="28"/>
              </w:rPr>
              <w:t>产污环节分析及治理措施：</w:t>
            </w:r>
            <w:r>
              <w:rPr>
                <w:rFonts w:hint="eastAsia" w:ascii="Times New Roman" w:hAnsi="Times New Roman" w:cs="Times New Roman"/>
                <w:color w:val="auto"/>
                <w:sz w:val="24"/>
                <w:szCs w:val="28"/>
              </w:rPr>
              <w:t>打磨擦拭过程粉尘产生量较少，可忽略不计。</w:t>
            </w:r>
          </w:p>
          <w:p w14:paraId="18D8241E">
            <w:pPr>
              <w:adjustRightInd w:val="0"/>
              <w:snapToGrid w:val="0"/>
              <w:spacing w:line="360" w:lineRule="auto"/>
              <w:ind w:firstLine="482" w:firstLineChars="200"/>
              <w:rPr>
                <w:rFonts w:ascii="Times New Roman" w:hAnsi="Times New Roman" w:eastAsia="宋体" w:cs="Times New Roman"/>
                <w:sz w:val="24"/>
                <w:szCs w:val="24"/>
              </w:rPr>
            </w:pPr>
            <w:r>
              <w:rPr>
                <w:rFonts w:hint="eastAsia" w:ascii="Times New Roman" w:hAnsi="Times New Roman" w:cs="Times New Roman"/>
                <w:b/>
                <w:color w:val="auto"/>
                <w:sz w:val="24"/>
                <w:szCs w:val="28"/>
              </w:rPr>
              <w:t>2、调底漆：</w:t>
            </w:r>
            <w:r>
              <w:rPr>
                <w:rFonts w:hint="eastAsia" w:ascii="Times New Roman" w:hAnsi="Times New Roman" w:cs="Times New Roman"/>
                <w:color w:val="auto"/>
                <w:sz w:val="24"/>
                <w:szCs w:val="28"/>
              </w:rPr>
              <w:t>汽车零部件半成品需进行喷漆处理，以增加表面光滑度、亮度和抗老化性能。喷漆所用底漆为水性漆，喷漆前需要加水进行调配，水性涂料与水的比例为5:1</w:t>
            </w:r>
            <w:r>
              <w:rPr>
                <w:rFonts w:hint="eastAsia" w:ascii="Times New Roman" w:hAnsi="Times New Roman" w:cs="Times New Roman"/>
                <w:sz w:val="24"/>
                <w:szCs w:val="28"/>
              </w:rPr>
              <w:t>，</w:t>
            </w:r>
            <w:r>
              <w:rPr>
                <w:rFonts w:hint="eastAsia" w:ascii="Times New Roman" w:hAnsi="Times New Roman" w:eastAsia="宋体" w:cs="Times New Roman"/>
                <w:sz w:val="24"/>
                <w:szCs w:val="24"/>
              </w:rPr>
              <w:t>调漆过程在密闭调漆房房内进行。</w:t>
            </w:r>
          </w:p>
          <w:p w14:paraId="31D00240">
            <w:pPr>
              <w:adjustRightInd w:val="0"/>
              <w:snapToGrid w:val="0"/>
              <w:spacing w:line="360" w:lineRule="auto"/>
              <w:ind w:firstLine="482" w:firstLineChars="200"/>
              <w:rPr>
                <w:rFonts w:ascii="Times New Roman" w:hAnsi="Times New Roman" w:eastAsia="宋体" w:cs="Times New Roman"/>
                <w:sz w:val="24"/>
                <w:szCs w:val="24"/>
                <w:highlight w:val="none"/>
              </w:rPr>
            </w:pPr>
            <w:r>
              <w:rPr>
                <w:rFonts w:hint="eastAsia" w:ascii="Times New Roman" w:hAnsi="Times New Roman" w:cs="Times New Roman"/>
                <w:b/>
                <w:sz w:val="24"/>
                <w:szCs w:val="28"/>
              </w:rPr>
              <w:t>产污环节分析及治理措施：</w:t>
            </w:r>
            <w:r>
              <w:rPr>
                <w:rFonts w:hint="eastAsia" w:ascii="Times New Roman" w:hAnsi="Times New Roman" w:eastAsia="宋体" w:cs="Times New Roman"/>
                <w:sz w:val="24"/>
                <w:szCs w:val="24"/>
              </w:rPr>
              <w:t>调底漆过程中有调漆废气（</w:t>
            </w:r>
            <w:r>
              <w:rPr>
                <w:rFonts w:ascii="Times New Roman" w:hAnsi="Times New Roman" w:eastAsia="宋体" w:cs="Times New Roman"/>
                <w:sz w:val="24"/>
                <w:szCs w:val="24"/>
              </w:rPr>
              <w:t>G</w:t>
            </w:r>
            <w:r>
              <w:rPr>
                <w:rFonts w:hint="eastAsia" w:ascii="Times New Roman" w:hAnsi="Times New Roman" w:eastAsia="宋体" w:cs="Times New Roman"/>
                <w:sz w:val="24"/>
                <w:szCs w:val="24"/>
                <w:vertAlign w:val="subscript"/>
              </w:rPr>
              <w:t>1</w:t>
            </w:r>
            <w:r>
              <w:rPr>
                <w:rFonts w:hint="eastAsia" w:ascii="Times New Roman" w:hAnsi="Times New Roman" w:eastAsia="宋体" w:cs="Times New Roman"/>
                <w:sz w:val="24"/>
                <w:szCs w:val="24"/>
              </w:rPr>
              <w:t>）产生，调漆废气（</w:t>
            </w:r>
            <w:r>
              <w:rPr>
                <w:rFonts w:ascii="Times New Roman" w:hAnsi="Times New Roman" w:eastAsia="宋体" w:cs="Times New Roman"/>
                <w:sz w:val="24"/>
                <w:szCs w:val="24"/>
              </w:rPr>
              <w:t>G</w:t>
            </w:r>
            <w:r>
              <w:rPr>
                <w:rFonts w:hint="eastAsia" w:ascii="Times New Roman" w:hAnsi="Times New Roman" w:eastAsia="宋体" w:cs="Times New Roman"/>
                <w:sz w:val="24"/>
                <w:szCs w:val="24"/>
                <w:vertAlign w:val="subscript"/>
              </w:rPr>
              <w:t>1</w:t>
            </w:r>
            <w:r>
              <w:rPr>
                <w:rFonts w:hint="eastAsia" w:ascii="Times New Roman" w:hAnsi="Times New Roman" w:eastAsia="宋体" w:cs="Times New Roman"/>
                <w:sz w:val="24"/>
                <w:szCs w:val="24"/>
              </w:rPr>
              <w:t>）主要污染物为非甲烷总烃，调漆废气（</w:t>
            </w:r>
            <w:r>
              <w:rPr>
                <w:rFonts w:ascii="Times New Roman" w:hAnsi="Times New Roman" w:eastAsia="宋体" w:cs="Times New Roman"/>
                <w:sz w:val="24"/>
                <w:szCs w:val="24"/>
                <w:highlight w:val="none"/>
              </w:rPr>
              <w:t>G</w:t>
            </w:r>
            <w:r>
              <w:rPr>
                <w:rFonts w:hint="eastAsia" w:ascii="Times New Roman" w:hAnsi="Times New Roman" w:eastAsia="宋体" w:cs="Times New Roman"/>
                <w:sz w:val="24"/>
                <w:szCs w:val="24"/>
                <w:highlight w:val="none"/>
                <w:vertAlign w:val="subscript"/>
              </w:rPr>
              <w:t>1</w:t>
            </w:r>
            <w:r>
              <w:rPr>
                <w:rFonts w:hint="eastAsia" w:ascii="Times New Roman" w:hAnsi="Times New Roman" w:eastAsia="宋体" w:cs="Times New Roman"/>
                <w:sz w:val="24"/>
                <w:szCs w:val="24"/>
                <w:highlight w:val="none"/>
              </w:rPr>
              <w:t>）由负压收集后经</w:t>
            </w:r>
            <w:r>
              <w:rPr>
                <w:rFonts w:hint="eastAsia" w:ascii="Times New Roman" w:hAnsi="Times New Roman" w:cs="Times New Roman"/>
                <w:sz w:val="24"/>
                <w:szCs w:val="28"/>
                <w:highlight w:val="none"/>
              </w:rPr>
              <w:t>“两级活性炭吸附装置”（</w:t>
            </w:r>
            <w:r>
              <w:rPr>
                <w:rFonts w:ascii="Times New Roman" w:hAnsi="Times New Roman" w:cs="Times New Roman"/>
                <w:sz w:val="24"/>
                <w:szCs w:val="28"/>
                <w:highlight w:val="none"/>
              </w:rPr>
              <w:t>TA00</w:t>
            </w:r>
            <w:r>
              <w:rPr>
                <w:rFonts w:hint="eastAsia" w:ascii="Times New Roman" w:hAnsi="Times New Roman" w:cs="Times New Roman"/>
                <w:sz w:val="24"/>
                <w:szCs w:val="28"/>
                <w:highlight w:val="none"/>
              </w:rPr>
              <w:t>1）处理后通过20</w:t>
            </w:r>
            <w:r>
              <w:rPr>
                <w:rFonts w:ascii="Times New Roman" w:hAnsi="Times New Roman" w:cs="Times New Roman"/>
                <w:sz w:val="24"/>
                <w:szCs w:val="28"/>
                <w:highlight w:val="none"/>
              </w:rPr>
              <w:t>m</w:t>
            </w:r>
            <w:r>
              <w:rPr>
                <w:rFonts w:hint="eastAsia" w:ascii="Times New Roman" w:hAnsi="Times New Roman" w:cs="Times New Roman"/>
                <w:sz w:val="24"/>
                <w:szCs w:val="28"/>
                <w:highlight w:val="none"/>
              </w:rPr>
              <w:t>高</w:t>
            </w:r>
            <w:r>
              <w:rPr>
                <w:rFonts w:ascii="Times New Roman" w:hAnsi="Times New Roman" w:cs="Times New Roman"/>
                <w:sz w:val="24"/>
                <w:szCs w:val="28"/>
                <w:highlight w:val="none"/>
              </w:rPr>
              <w:t>DA00</w:t>
            </w:r>
            <w:r>
              <w:rPr>
                <w:rFonts w:hint="eastAsia" w:ascii="Times New Roman" w:hAnsi="Times New Roman" w:cs="Times New Roman"/>
                <w:sz w:val="24"/>
                <w:szCs w:val="28"/>
                <w:highlight w:val="none"/>
              </w:rPr>
              <w:t>1排气筒排放</w:t>
            </w:r>
            <w:r>
              <w:rPr>
                <w:rFonts w:hint="eastAsia" w:ascii="Times New Roman" w:hAnsi="Times New Roman" w:eastAsia="宋体" w:cs="Times New Roman"/>
                <w:sz w:val="24"/>
                <w:szCs w:val="24"/>
                <w:highlight w:val="none"/>
              </w:rPr>
              <w:t>。</w:t>
            </w:r>
          </w:p>
          <w:p w14:paraId="57B12EF8">
            <w:pPr>
              <w:widowControl/>
              <w:adjustRightInd w:val="0"/>
              <w:snapToGrid w:val="0"/>
              <w:spacing w:line="360" w:lineRule="auto"/>
              <w:ind w:firstLine="482" w:firstLineChars="200"/>
              <w:rPr>
                <w:rFonts w:ascii="Times New Roman" w:hAnsi="Times New Roman" w:cs="Times New Roman"/>
                <w:sz w:val="24"/>
                <w:szCs w:val="28"/>
                <w:highlight w:val="none"/>
              </w:rPr>
            </w:pPr>
            <w:r>
              <w:rPr>
                <w:rFonts w:hint="eastAsia" w:ascii="Times New Roman" w:hAnsi="Times New Roman" w:cs="Times New Roman"/>
                <w:b/>
                <w:sz w:val="24"/>
                <w:szCs w:val="28"/>
                <w:highlight w:val="none"/>
              </w:rPr>
              <w:t>3、喷底漆：</w:t>
            </w:r>
            <w:r>
              <w:rPr>
                <w:rFonts w:hint="eastAsia" w:ascii="Times New Roman" w:hAnsi="Times New Roman" w:cs="Times New Roman"/>
                <w:sz w:val="24"/>
                <w:szCs w:val="28"/>
                <w:highlight w:val="none"/>
              </w:rPr>
              <w:t>调配好的底漆通过管道泵至底漆房，对打磨擦拭后的汽车零部件在密闭的底漆房内进行喷漆处理，喷漆采用往复式喷枪自动喷漆。</w:t>
            </w:r>
          </w:p>
          <w:p w14:paraId="6E1378B8">
            <w:pPr>
              <w:widowControl/>
              <w:adjustRightInd w:val="0"/>
              <w:snapToGrid w:val="0"/>
              <w:spacing w:line="360" w:lineRule="auto"/>
              <w:ind w:firstLine="482" w:firstLineChars="200"/>
              <w:rPr>
                <w:rFonts w:ascii="Times New Roman" w:hAnsi="Times New Roman" w:cs="Times New Roman"/>
                <w:color w:val="auto"/>
                <w:sz w:val="24"/>
                <w:szCs w:val="28"/>
              </w:rPr>
            </w:pPr>
            <w:r>
              <w:rPr>
                <w:rFonts w:hint="eastAsia" w:ascii="Times New Roman" w:hAnsi="Times New Roman" w:cs="Times New Roman"/>
                <w:b/>
                <w:sz w:val="24"/>
                <w:szCs w:val="28"/>
                <w:highlight w:val="none"/>
              </w:rPr>
              <w:t>产污环节分析及治理措施：</w:t>
            </w:r>
            <w:r>
              <w:rPr>
                <w:rFonts w:hint="eastAsia" w:ascii="Times New Roman" w:hAnsi="Times New Roman" w:cs="Times New Roman"/>
                <w:sz w:val="24"/>
                <w:szCs w:val="28"/>
                <w:highlight w:val="none"/>
              </w:rPr>
              <w:t>此过程主要产生</w:t>
            </w:r>
            <w:r>
              <w:rPr>
                <w:rFonts w:ascii="Times New Roman" w:hAnsi="Times New Roman" w:cs="Times New Roman"/>
                <w:sz w:val="24"/>
                <w:szCs w:val="28"/>
                <w:highlight w:val="none"/>
              </w:rPr>
              <w:t>G</w:t>
            </w:r>
            <w:r>
              <w:rPr>
                <w:rFonts w:hint="eastAsia" w:ascii="Times New Roman" w:hAnsi="Times New Roman" w:cs="Times New Roman"/>
                <w:sz w:val="24"/>
                <w:szCs w:val="28"/>
                <w:highlight w:val="none"/>
                <w:vertAlign w:val="subscript"/>
              </w:rPr>
              <w:t>2</w:t>
            </w:r>
            <w:r>
              <w:rPr>
                <w:rFonts w:hint="eastAsia" w:ascii="Times New Roman" w:hAnsi="Times New Roman" w:cs="Times New Roman"/>
                <w:sz w:val="24"/>
                <w:szCs w:val="28"/>
                <w:highlight w:val="none"/>
              </w:rPr>
              <w:t>喷底漆废气和废漆渣（</w:t>
            </w:r>
            <w:r>
              <w:rPr>
                <w:rFonts w:ascii="Times New Roman" w:hAnsi="Times New Roman" w:cs="Times New Roman"/>
                <w:sz w:val="24"/>
                <w:szCs w:val="28"/>
                <w:highlight w:val="none"/>
              </w:rPr>
              <w:t>S</w:t>
            </w:r>
            <w:r>
              <w:rPr>
                <w:rFonts w:hint="eastAsia" w:ascii="Times New Roman" w:hAnsi="Times New Roman" w:cs="Times New Roman"/>
                <w:sz w:val="24"/>
                <w:szCs w:val="28"/>
                <w:highlight w:val="none"/>
                <w:vertAlign w:val="subscript"/>
              </w:rPr>
              <w:t>1</w:t>
            </w:r>
            <w:r>
              <w:rPr>
                <w:rFonts w:hint="eastAsia" w:ascii="Times New Roman" w:hAnsi="Times New Roman" w:cs="Times New Roman"/>
                <w:sz w:val="24"/>
                <w:szCs w:val="28"/>
                <w:highlight w:val="none"/>
              </w:rPr>
              <w:t>）。喷</w:t>
            </w:r>
            <w:r>
              <w:rPr>
                <w:rFonts w:hint="eastAsia" w:ascii="Times New Roman" w:hAnsi="Times New Roman" w:eastAsia="宋体" w:cs="Times New Roman"/>
                <w:sz w:val="24"/>
                <w:szCs w:val="24"/>
                <w:highlight w:val="none"/>
              </w:rPr>
              <w:t>底</w:t>
            </w:r>
            <w:r>
              <w:rPr>
                <w:rFonts w:hint="eastAsia" w:ascii="Times New Roman" w:hAnsi="Times New Roman" w:cs="Times New Roman"/>
                <w:sz w:val="24"/>
                <w:szCs w:val="28"/>
                <w:highlight w:val="none"/>
              </w:rPr>
              <w:t>漆废气（</w:t>
            </w:r>
            <w:r>
              <w:rPr>
                <w:rFonts w:ascii="Times New Roman" w:hAnsi="Times New Roman" w:cs="Times New Roman"/>
                <w:sz w:val="24"/>
                <w:szCs w:val="28"/>
                <w:highlight w:val="none"/>
              </w:rPr>
              <w:t>G</w:t>
            </w:r>
            <w:r>
              <w:rPr>
                <w:rFonts w:hint="eastAsia" w:ascii="Times New Roman" w:hAnsi="Times New Roman" w:cs="Times New Roman"/>
                <w:sz w:val="24"/>
                <w:szCs w:val="28"/>
                <w:highlight w:val="none"/>
                <w:vertAlign w:val="subscript"/>
              </w:rPr>
              <w:t>2</w:t>
            </w:r>
            <w:r>
              <w:rPr>
                <w:rFonts w:hint="eastAsia" w:ascii="Times New Roman" w:hAnsi="Times New Roman" w:cs="Times New Roman"/>
                <w:sz w:val="24"/>
                <w:szCs w:val="28"/>
                <w:highlight w:val="none"/>
              </w:rPr>
              <w:t>）由漆雾（颗粒物）和有机废气（非甲烷总烃）组成</w:t>
            </w:r>
            <w:r>
              <w:rPr>
                <w:rFonts w:hint="eastAsia" w:ascii="Times New Roman" w:hAnsi="Times New Roman" w:cs="Times New Roman"/>
                <w:b w:val="0"/>
                <w:bCs w:val="0"/>
                <w:sz w:val="24"/>
                <w:szCs w:val="28"/>
                <w:highlight w:val="none"/>
              </w:rPr>
              <w:t>，底漆房喷</w:t>
            </w:r>
            <w:r>
              <w:rPr>
                <w:rFonts w:hint="eastAsia" w:ascii="Times New Roman" w:hAnsi="Times New Roman" w:eastAsia="宋体" w:cs="Times New Roman"/>
                <w:b w:val="0"/>
                <w:bCs w:val="0"/>
                <w:sz w:val="24"/>
                <w:szCs w:val="24"/>
                <w:highlight w:val="none"/>
              </w:rPr>
              <w:t>底</w:t>
            </w:r>
            <w:r>
              <w:rPr>
                <w:rFonts w:hint="eastAsia" w:ascii="Times New Roman" w:hAnsi="Times New Roman" w:cs="Times New Roman"/>
                <w:b w:val="0"/>
                <w:bCs w:val="0"/>
                <w:sz w:val="24"/>
                <w:szCs w:val="28"/>
                <w:highlight w:val="none"/>
              </w:rPr>
              <w:t>漆废气</w:t>
            </w:r>
            <w:r>
              <w:rPr>
                <w:rFonts w:ascii="Times New Roman" w:hAnsi="Times New Roman" w:cs="Times New Roman"/>
                <w:b w:val="0"/>
                <w:bCs w:val="0"/>
                <w:sz w:val="24"/>
                <w:szCs w:val="28"/>
                <w:highlight w:val="none"/>
              </w:rPr>
              <w:t>G</w:t>
            </w:r>
            <w:r>
              <w:rPr>
                <w:rFonts w:hint="eastAsia" w:ascii="Times New Roman" w:hAnsi="Times New Roman" w:cs="Times New Roman"/>
                <w:b w:val="0"/>
                <w:bCs w:val="0"/>
                <w:sz w:val="24"/>
                <w:szCs w:val="28"/>
                <w:highlight w:val="none"/>
                <w:vertAlign w:val="subscript"/>
              </w:rPr>
              <w:t>2</w:t>
            </w:r>
            <w:r>
              <w:rPr>
                <w:rFonts w:hint="eastAsia" w:ascii="Times New Roman" w:hAnsi="Times New Roman" w:cs="Times New Roman"/>
                <w:sz w:val="24"/>
                <w:szCs w:val="28"/>
                <w:highlight w:val="none"/>
              </w:rPr>
              <w:t>经负压收集经“水帘</w:t>
            </w:r>
            <w:r>
              <w:rPr>
                <w:rFonts w:ascii="Times New Roman" w:hAnsi="Times New Roman" w:cs="Times New Roman"/>
                <w:sz w:val="24"/>
                <w:szCs w:val="28"/>
                <w:highlight w:val="none"/>
              </w:rPr>
              <w:t>+</w:t>
            </w:r>
            <w:r>
              <w:rPr>
                <w:rFonts w:hint="eastAsia" w:ascii="Times New Roman" w:hAnsi="Times New Roman" w:cs="Times New Roman"/>
                <w:sz w:val="24"/>
                <w:szCs w:val="28"/>
                <w:highlight w:val="none"/>
              </w:rPr>
              <w:t>两级过滤棉＋两级活性炭吸附装置”（</w:t>
            </w:r>
            <w:r>
              <w:rPr>
                <w:rFonts w:ascii="Times New Roman" w:hAnsi="Times New Roman" w:cs="Times New Roman"/>
                <w:sz w:val="24"/>
                <w:szCs w:val="28"/>
                <w:highlight w:val="none"/>
              </w:rPr>
              <w:t>TA00</w:t>
            </w:r>
            <w:r>
              <w:rPr>
                <w:rFonts w:hint="eastAsia" w:ascii="Times New Roman" w:hAnsi="Times New Roman" w:cs="Times New Roman"/>
                <w:sz w:val="24"/>
                <w:szCs w:val="28"/>
                <w:highlight w:val="none"/>
              </w:rPr>
              <w:t>1）处理后通过20</w:t>
            </w:r>
            <w:r>
              <w:rPr>
                <w:rFonts w:ascii="Times New Roman" w:hAnsi="Times New Roman" w:cs="Times New Roman"/>
                <w:sz w:val="24"/>
                <w:szCs w:val="28"/>
                <w:highlight w:val="none"/>
              </w:rPr>
              <w:t>m</w:t>
            </w:r>
            <w:r>
              <w:rPr>
                <w:rFonts w:hint="eastAsia" w:ascii="Times New Roman" w:hAnsi="Times New Roman" w:cs="Times New Roman"/>
                <w:sz w:val="24"/>
                <w:szCs w:val="28"/>
                <w:highlight w:val="none"/>
              </w:rPr>
              <w:t>高排气筒（</w:t>
            </w:r>
            <w:r>
              <w:rPr>
                <w:rFonts w:ascii="Times New Roman" w:hAnsi="Times New Roman" w:cs="Times New Roman"/>
                <w:sz w:val="24"/>
                <w:szCs w:val="28"/>
                <w:highlight w:val="none"/>
              </w:rPr>
              <w:t>DA00</w:t>
            </w:r>
            <w:r>
              <w:rPr>
                <w:rFonts w:hint="eastAsia" w:ascii="Times New Roman" w:hAnsi="Times New Roman" w:cs="Times New Roman"/>
                <w:sz w:val="24"/>
                <w:szCs w:val="28"/>
                <w:highlight w:val="none"/>
              </w:rPr>
              <w:t>1）排放。喷底漆过程中固体份有5%</w:t>
            </w:r>
            <w:r>
              <w:rPr>
                <w:rFonts w:hint="eastAsia" w:ascii="Times New Roman" w:hAnsi="Times New Roman" w:cs="Times New Roman"/>
                <w:sz w:val="24"/>
                <w:szCs w:val="28"/>
              </w:rPr>
              <w:t>散落在喷漆房内形成漆渣，漆雾经水帘处理形成漆渣，废漆渣（</w:t>
            </w:r>
            <w:r>
              <w:rPr>
                <w:rFonts w:ascii="Times New Roman" w:hAnsi="Times New Roman" w:cs="Times New Roman"/>
                <w:sz w:val="24"/>
                <w:szCs w:val="28"/>
              </w:rPr>
              <w:t>S</w:t>
            </w:r>
            <w:r>
              <w:rPr>
                <w:rFonts w:hint="eastAsia" w:ascii="Times New Roman" w:hAnsi="Times New Roman" w:cs="Times New Roman"/>
                <w:sz w:val="24"/>
                <w:szCs w:val="28"/>
                <w:vertAlign w:val="subscript"/>
              </w:rPr>
              <w:t>1</w:t>
            </w:r>
            <w:r>
              <w:rPr>
                <w:rFonts w:hint="eastAsia" w:ascii="Times New Roman" w:hAnsi="Times New Roman" w:cs="Times New Roman"/>
                <w:sz w:val="24"/>
                <w:szCs w:val="28"/>
              </w:rPr>
              <w:t>）</w:t>
            </w:r>
            <w:r>
              <w:rPr>
                <w:rFonts w:hint="eastAsia" w:ascii="Times New Roman" w:hAnsi="Times New Roman" w:cs="Times New Roman"/>
                <w:sz w:val="24"/>
                <w:szCs w:val="28"/>
                <w:lang w:val="en-US" w:eastAsia="zh-CN"/>
              </w:rPr>
              <w:t>和水帘喷漆定期更换的废液（</w:t>
            </w:r>
            <w:r>
              <w:rPr>
                <w:rFonts w:ascii="Times New Roman" w:hAnsi="Times New Roman" w:cs="Times New Roman"/>
                <w:color w:val="auto"/>
                <w:sz w:val="24"/>
                <w:szCs w:val="28"/>
              </w:rPr>
              <w:t>S</w:t>
            </w:r>
            <w:r>
              <w:rPr>
                <w:rFonts w:hint="eastAsia" w:ascii="Times New Roman" w:hAnsi="Times New Roman" w:cs="Times New Roman"/>
                <w:color w:val="auto"/>
                <w:sz w:val="24"/>
                <w:szCs w:val="28"/>
                <w:vertAlign w:val="subscript"/>
                <w:lang w:val="en-US" w:eastAsia="zh-CN"/>
              </w:rPr>
              <w:t>2</w:t>
            </w:r>
            <w:r>
              <w:rPr>
                <w:rFonts w:hint="eastAsia" w:ascii="Times New Roman" w:hAnsi="Times New Roman" w:cs="Times New Roman"/>
                <w:color w:val="auto"/>
                <w:sz w:val="24"/>
                <w:szCs w:val="28"/>
                <w:lang w:val="en-US" w:eastAsia="zh-CN"/>
              </w:rPr>
              <w:t>）</w:t>
            </w:r>
            <w:r>
              <w:rPr>
                <w:rFonts w:hint="eastAsia" w:ascii="Times New Roman" w:hAnsi="Times New Roman" w:cs="Times New Roman"/>
                <w:color w:val="auto"/>
                <w:sz w:val="24"/>
                <w:szCs w:val="28"/>
              </w:rPr>
              <w:t>收集暂存到危险废物暂存间，定期委托有资质单位进行处置。</w:t>
            </w:r>
          </w:p>
          <w:p w14:paraId="52F35CF6">
            <w:pPr>
              <w:widowControl/>
              <w:numPr>
                <w:ilvl w:val="0"/>
                <w:numId w:val="0"/>
              </w:numPr>
              <w:adjustRightInd w:val="0"/>
              <w:snapToGrid w:val="0"/>
              <w:spacing w:line="360" w:lineRule="auto"/>
              <w:ind w:firstLine="482" w:firstLineChars="200"/>
              <w:rPr>
                <w:rFonts w:hint="eastAsia" w:ascii="Times New Roman" w:hAnsi="Times New Roman" w:cs="Times New Roman"/>
                <w:color w:val="0070C0"/>
                <w:sz w:val="24"/>
                <w:szCs w:val="28"/>
                <w:lang w:eastAsia="zh-CN"/>
              </w:rPr>
            </w:pPr>
            <w:r>
              <w:rPr>
                <w:rFonts w:hint="eastAsia" w:ascii="Times New Roman" w:hAnsi="Times New Roman" w:cs="Times New Roman"/>
                <w:b/>
                <w:color w:val="auto"/>
                <w:sz w:val="24"/>
                <w:szCs w:val="28"/>
              </w:rPr>
              <w:t>4、烘干：</w:t>
            </w:r>
            <w:r>
              <w:rPr>
                <w:rFonts w:hint="eastAsia" w:ascii="Times New Roman" w:hAnsi="Times New Roman" w:cs="Times New Roman"/>
                <w:b w:val="0"/>
                <w:bCs/>
                <w:color w:val="auto"/>
                <w:sz w:val="24"/>
                <w:szCs w:val="28"/>
                <w:lang w:val="en-US" w:eastAsia="zh-CN"/>
              </w:rPr>
              <w:t>3楼</w:t>
            </w:r>
            <w:r>
              <w:rPr>
                <w:rFonts w:hint="eastAsia" w:ascii="Times New Roman" w:hAnsi="Times New Roman" w:cs="Times New Roman"/>
                <w:color w:val="auto"/>
                <w:sz w:val="24"/>
                <w:szCs w:val="28"/>
              </w:rPr>
              <w:t>喷漆后的汽车零部件通过密闭输</w:t>
            </w:r>
            <w:r>
              <w:rPr>
                <w:rFonts w:ascii="Times New Roman" w:hAnsi="Times New Roman" w:cs="Times New Roman"/>
                <w:color w:val="auto"/>
                <w:sz w:val="24"/>
                <w:szCs w:val="28"/>
              </w:rPr>
              <w:t>送带输送至烘烤箱中烘干，</w:t>
            </w:r>
            <w:r>
              <w:rPr>
                <w:rFonts w:hint="eastAsia" w:ascii="Times New Roman" w:hAnsi="Times New Roman" w:cs="Times New Roman"/>
                <w:b w:val="0"/>
                <w:bCs/>
                <w:color w:val="auto"/>
                <w:sz w:val="24"/>
                <w:szCs w:val="28"/>
                <w:lang w:val="en-US" w:eastAsia="zh-CN"/>
              </w:rPr>
              <w:t>2楼</w:t>
            </w:r>
            <w:r>
              <w:rPr>
                <w:rFonts w:hint="eastAsia" w:ascii="Times New Roman" w:hAnsi="Times New Roman" w:cs="Times New Roman"/>
                <w:color w:val="auto"/>
                <w:sz w:val="24"/>
                <w:szCs w:val="28"/>
              </w:rPr>
              <w:t>喷漆后的汽车零部件</w:t>
            </w:r>
            <w:r>
              <w:rPr>
                <w:rFonts w:hint="eastAsia" w:ascii="Times New Roman" w:hAnsi="Times New Roman" w:cs="Times New Roman"/>
                <w:color w:val="auto"/>
                <w:sz w:val="24"/>
                <w:szCs w:val="28"/>
                <w:lang w:val="en-US" w:eastAsia="zh-CN"/>
              </w:rPr>
              <w:t>随轨道进入120米烘道中进行烘干，</w:t>
            </w:r>
            <w:r>
              <w:rPr>
                <w:rFonts w:ascii="Times New Roman" w:hAnsi="Times New Roman" w:cs="Times New Roman"/>
                <w:color w:val="auto"/>
                <w:sz w:val="24"/>
                <w:szCs w:val="28"/>
              </w:rPr>
              <w:t>烘干工序烘烤箱内密闭作业，烘箱</w:t>
            </w:r>
            <w:r>
              <w:rPr>
                <w:rFonts w:hint="eastAsia" w:ascii="Times New Roman" w:hAnsi="Times New Roman" w:cs="Times New Roman"/>
                <w:color w:val="auto"/>
                <w:sz w:val="24"/>
                <w:szCs w:val="28"/>
                <w:lang w:val="en-US" w:eastAsia="zh-CN"/>
              </w:rPr>
              <w:t>和烘道</w:t>
            </w:r>
            <w:r>
              <w:rPr>
                <w:rFonts w:ascii="Times New Roman" w:hAnsi="Times New Roman" w:cs="Times New Roman"/>
                <w:color w:val="auto"/>
                <w:sz w:val="24"/>
                <w:szCs w:val="28"/>
              </w:rPr>
              <w:t>采用电加热，烘干温度</w:t>
            </w:r>
            <w:r>
              <w:rPr>
                <w:rFonts w:hint="eastAsia" w:ascii="Times New Roman" w:hAnsi="Times New Roman" w:cs="Times New Roman"/>
                <w:color w:val="auto"/>
                <w:sz w:val="24"/>
                <w:szCs w:val="28"/>
                <w:lang w:val="en-US" w:eastAsia="zh-CN"/>
              </w:rPr>
              <w:t>80</w:t>
            </w:r>
            <w:r>
              <w:rPr>
                <w:rFonts w:ascii="Times New Roman" w:hAnsi="Times New Roman" w:cs="Times New Roman"/>
                <w:color w:val="auto"/>
                <w:sz w:val="24"/>
                <w:szCs w:val="28"/>
              </w:rPr>
              <w:t>℃，</w:t>
            </w:r>
            <w:r>
              <w:rPr>
                <w:rFonts w:hint="eastAsia" w:ascii="Times New Roman" w:hAnsi="Times New Roman" w:cs="Times New Roman"/>
                <w:color w:val="auto"/>
                <w:sz w:val="24"/>
                <w:szCs w:val="28"/>
              </w:rPr>
              <w:t>烘干时间</w:t>
            </w:r>
            <w:r>
              <w:rPr>
                <w:rFonts w:ascii="Times New Roman" w:hAnsi="Times New Roman" w:cs="Times New Roman"/>
                <w:color w:val="auto"/>
                <w:sz w:val="24"/>
                <w:szCs w:val="28"/>
              </w:rPr>
              <w:t>30</w:t>
            </w:r>
            <w:r>
              <w:rPr>
                <w:rFonts w:ascii="Times New Roman" w:hAnsi="Times New Roman" w:cs="Times New Roman"/>
                <w:sz w:val="24"/>
                <w:szCs w:val="28"/>
              </w:rPr>
              <w:t>min</w:t>
            </w:r>
            <w:r>
              <w:rPr>
                <w:rFonts w:hint="eastAsia" w:ascii="Times New Roman" w:hAnsi="Times New Roman" w:cs="Times New Roman"/>
                <w:sz w:val="24"/>
                <w:szCs w:val="28"/>
              </w:rPr>
              <w:t>。烘干完成后运至面漆房待喷涂。</w:t>
            </w:r>
          </w:p>
          <w:p w14:paraId="740F3789">
            <w:pPr>
              <w:widowControl/>
              <w:adjustRightInd w:val="0"/>
              <w:snapToGrid w:val="0"/>
              <w:spacing w:line="360" w:lineRule="auto"/>
              <w:ind w:firstLine="482" w:firstLineChars="200"/>
              <w:rPr>
                <w:rFonts w:ascii="Times New Roman" w:hAnsi="Times New Roman" w:cs="Times New Roman"/>
                <w:sz w:val="24"/>
                <w:szCs w:val="28"/>
              </w:rPr>
            </w:pPr>
            <w:r>
              <w:rPr>
                <w:rFonts w:hint="eastAsia" w:ascii="Times New Roman" w:hAnsi="Times New Roman" w:cs="Times New Roman"/>
                <w:b/>
                <w:sz w:val="24"/>
                <w:szCs w:val="28"/>
              </w:rPr>
              <w:t>产污环节分析及治理措施：</w:t>
            </w:r>
            <w:r>
              <w:rPr>
                <w:rFonts w:hint="eastAsia" w:ascii="Times New Roman" w:hAnsi="Times New Roman" w:cs="Times New Roman"/>
                <w:sz w:val="24"/>
                <w:szCs w:val="28"/>
              </w:rPr>
              <w:t>此过程主要产生</w:t>
            </w:r>
            <w:r>
              <w:rPr>
                <w:rFonts w:ascii="Times New Roman" w:hAnsi="Times New Roman" w:cs="Times New Roman"/>
                <w:sz w:val="24"/>
                <w:szCs w:val="28"/>
              </w:rPr>
              <w:t>G</w:t>
            </w:r>
            <w:r>
              <w:rPr>
                <w:rFonts w:hint="eastAsia" w:ascii="Times New Roman" w:hAnsi="Times New Roman" w:cs="Times New Roman"/>
                <w:sz w:val="24"/>
                <w:szCs w:val="28"/>
                <w:vertAlign w:val="subscript"/>
              </w:rPr>
              <w:t>3</w:t>
            </w:r>
            <w:r>
              <w:rPr>
                <w:rFonts w:hint="eastAsia" w:ascii="Times New Roman" w:hAnsi="Times New Roman" w:cs="Times New Roman"/>
                <w:sz w:val="24"/>
                <w:szCs w:val="28"/>
              </w:rPr>
              <w:t>烘干废气，经密闭收集后经“两级活性炭吸附装置”（</w:t>
            </w:r>
            <w:r>
              <w:rPr>
                <w:rFonts w:ascii="Times New Roman" w:hAnsi="Times New Roman" w:cs="Times New Roman"/>
                <w:sz w:val="24"/>
                <w:szCs w:val="28"/>
              </w:rPr>
              <w:t>TA0</w:t>
            </w:r>
            <w:r>
              <w:rPr>
                <w:rFonts w:hint="eastAsia" w:ascii="Times New Roman" w:hAnsi="Times New Roman" w:cs="Times New Roman"/>
                <w:sz w:val="24"/>
                <w:szCs w:val="28"/>
              </w:rPr>
              <w:t>01）处理后通过20</w:t>
            </w:r>
            <w:r>
              <w:rPr>
                <w:rFonts w:ascii="Times New Roman" w:hAnsi="Times New Roman" w:cs="Times New Roman"/>
                <w:sz w:val="24"/>
                <w:szCs w:val="28"/>
              </w:rPr>
              <w:t>m</w:t>
            </w:r>
            <w:r>
              <w:rPr>
                <w:rFonts w:hint="eastAsia" w:ascii="Times New Roman" w:hAnsi="Times New Roman" w:cs="Times New Roman"/>
                <w:sz w:val="24"/>
                <w:szCs w:val="28"/>
              </w:rPr>
              <w:t>高排气筒（</w:t>
            </w:r>
            <w:r>
              <w:rPr>
                <w:rFonts w:ascii="Times New Roman" w:hAnsi="Times New Roman" w:cs="Times New Roman"/>
                <w:sz w:val="24"/>
                <w:szCs w:val="28"/>
              </w:rPr>
              <w:t>DA00</w:t>
            </w:r>
            <w:r>
              <w:rPr>
                <w:rFonts w:hint="eastAsia" w:ascii="Times New Roman" w:hAnsi="Times New Roman" w:cs="Times New Roman"/>
                <w:sz w:val="24"/>
                <w:szCs w:val="28"/>
              </w:rPr>
              <w:t>1）排放。</w:t>
            </w:r>
          </w:p>
          <w:p w14:paraId="329838E8">
            <w:pPr>
              <w:adjustRightInd w:val="0"/>
              <w:snapToGrid w:val="0"/>
              <w:spacing w:line="360" w:lineRule="auto"/>
              <w:ind w:firstLine="482" w:firstLineChars="200"/>
              <w:rPr>
                <w:rFonts w:ascii="Times New Roman" w:hAnsi="Times New Roman" w:eastAsia="宋体" w:cs="Times New Roman"/>
                <w:sz w:val="24"/>
                <w:szCs w:val="24"/>
              </w:rPr>
            </w:pPr>
            <w:r>
              <w:rPr>
                <w:rFonts w:hint="eastAsia" w:ascii="Times New Roman" w:hAnsi="Times New Roman" w:cs="Times New Roman"/>
                <w:b/>
                <w:sz w:val="24"/>
                <w:szCs w:val="28"/>
              </w:rPr>
              <w:t>5、调面漆：</w:t>
            </w:r>
            <w:r>
              <w:rPr>
                <w:rFonts w:hint="eastAsia" w:ascii="Times New Roman" w:hAnsi="Times New Roman" w:cs="Times New Roman"/>
                <w:sz w:val="24"/>
                <w:szCs w:val="28"/>
              </w:rPr>
              <w:t>喷漆所用面漆为水性漆，喷漆前需要加水进行调配，水性涂料与水的比例为5:1，</w:t>
            </w:r>
            <w:r>
              <w:rPr>
                <w:rFonts w:hint="eastAsia" w:ascii="Times New Roman" w:hAnsi="Times New Roman" w:eastAsia="宋体" w:cs="Times New Roman"/>
                <w:sz w:val="24"/>
                <w:szCs w:val="24"/>
              </w:rPr>
              <w:t>调漆过程在密闭调漆房房内进行。</w:t>
            </w:r>
            <w:r>
              <w:rPr>
                <w:rFonts w:hint="eastAsia" w:ascii="Times New Roman" w:hAnsi="Times New Roman" w:cs="Times New Roman"/>
                <w:sz w:val="24"/>
                <w:szCs w:val="28"/>
              </w:rPr>
              <w:t>本项目汽车零部件面漆使用水性面漆，需要加水5:1使用。</w:t>
            </w:r>
            <w:r>
              <w:rPr>
                <w:rFonts w:hint="eastAsia" w:ascii="Times New Roman" w:hAnsi="Times New Roman" w:eastAsia="宋体" w:cs="Times New Roman"/>
                <w:sz w:val="24"/>
                <w:szCs w:val="24"/>
              </w:rPr>
              <w:t>调漆过程在密闭调漆房内进行。</w:t>
            </w:r>
          </w:p>
          <w:p w14:paraId="2D0986E1">
            <w:pPr>
              <w:adjustRightInd w:val="0"/>
              <w:snapToGrid w:val="0"/>
              <w:spacing w:line="360" w:lineRule="auto"/>
              <w:ind w:firstLine="482" w:firstLineChars="200"/>
              <w:rPr>
                <w:rFonts w:ascii="Times New Roman" w:hAnsi="Times New Roman" w:eastAsia="宋体" w:cs="Times New Roman"/>
                <w:b/>
                <w:bCs/>
                <w:sz w:val="24"/>
                <w:szCs w:val="24"/>
              </w:rPr>
            </w:pPr>
            <w:r>
              <w:rPr>
                <w:rFonts w:hint="eastAsia" w:ascii="Times New Roman" w:hAnsi="Times New Roman" w:cs="Times New Roman"/>
                <w:b/>
                <w:sz w:val="24"/>
                <w:szCs w:val="28"/>
              </w:rPr>
              <w:t>产污环节分析及治理措施：</w:t>
            </w:r>
            <w:r>
              <w:rPr>
                <w:rFonts w:hint="eastAsia" w:ascii="Times New Roman" w:hAnsi="Times New Roman" w:eastAsia="宋体" w:cs="Times New Roman"/>
                <w:sz w:val="24"/>
                <w:szCs w:val="24"/>
              </w:rPr>
              <w:t>调漆过程中有调面漆废气（</w:t>
            </w:r>
            <w:r>
              <w:rPr>
                <w:rFonts w:ascii="Times New Roman" w:hAnsi="Times New Roman" w:eastAsia="宋体" w:cs="Times New Roman"/>
                <w:sz w:val="24"/>
                <w:szCs w:val="24"/>
              </w:rPr>
              <w:t>G</w:t>
            </w:r>
            <w:r>
              <w:rPr>
                <w:rFonts w:hint="eastAsia" w:ascii="Times New Roman" w:hAnsi="Times New Roman" w:eastAsia="宋体" w:cs="Times New Roman"/>
                <w:sz w:val="24"/>
                <w:szCs w:val="24"/>
                <w:vertAlign w:val="subscript"/>
              </w:rPr>
              <w:t>4</w:t>
            </w:r>
            <w:r>
              <w:rPr>
                <w:rFonts w:hint="eastAsia" w:ascii="Times New Roman" w:hAnsi="Times New Roman" w:eastAsia="宋体" w:cs="Times New Roman"/>
                <w:sz w:val="24"/>
                <w:szCs w:val="24"/>
              </w:rPr>
              <w:t>）产生，调面漆废气（</w:t>
            </w:r>
            <w:r>
              <w:rPr>
                <w:rFonts w:ascii="Times New Roman" w:hAnsi="Times New Roman" w:eastAsia="宋体" w:cs="Times New Roman"/>
                <w:sz w:val="24"/>
                <w:szCs w:val="24"/>
              </w:rPr>
              <w:t>G</w:t>
            </w:r>
            <w:r>
              <w:rPr>
                <w:rFonts w:hint="eastAsia" w:ascii="Times New Roman" w:hAnsi="Times New Roman" w:eastAsia="宋体" w:cs="Times New Roman"/>
                <w:sz w:val="24"/>
                <w:szCs w:val="24"/>
                <w:vertAlign w:val="subscript"/>
              </w:rPr>
              <w:t>4</w:t>
            </w:r>
            <w:r>
              <w:rPr>
                <w:rFonts w:hint="eastAsia" w:ascii="Times New Roman" w:hAnsi="Times New Roman" w:eastAsia="宋体" w:cs="Times New Roman"/>
                <w:sz w:val="24"/>
                <w:szCs w:val="24"/>
              </w:rPr>
              <w:t>）主要污染物为非甲烷总烃，调面漆废气（</w:t>
            </w:r>
            <w:r>
              <w:rPr>
                <w:rFonts w:ascii="Times New Roman" w:hAnsi="Times New Roman" w:eastAsia="宋体" w:cs="Times New Roman"/>
                <w:sz w:val="24"/>
                <w:szCs w:val="24"/>
              </w:rPr>
              <w:t>G</w:t>
            </w:r>
            <w:r>
              <w:rPr>
                <w:rFonts w:hint="eastAsia" w:ascii="Times New Roman" w:hAnsi="Times New Roman" w:eastAsia="宋体" w:cs="Times New Roman"/>
                <w:sz w:val="24"/>
                <w:szCs w:val="24"/>
                <w:vertAlign w:val="subscript"/>
              </w:rPr>
              <w:t>4</w:t>
            </w:r>
            <w:r>
              <w:rPr>
                <w:rFonts w:hint="eastAsia" w:ascii="Times New Roman" w:hAnsi="Times New Roman" w:eastAsia="宋体" w:cs="Times New Roman"/>
                <w:sz w:val="24"/>
                <w:szCs w:val="24"/>
              </w:rPr>
              <w:t>）由负压收集后经</w:t>
            </w:r>
            <w:r>
              <w:rPr>
                <w:rFonts w:hint="eastAsia" w:ascii="Times New Roman" w:hAnsi="Times New Roman" w:cs="Times New Roman"/>
                <w:sz w:val="24"/>
                <w:szCs w:val="28"/>
              </w:rPr>
              <w:t>“两级活性炭吸附装置”（</w:t>
            </w:r>
            <w:r>
              <w:rPr>
                <w:rFonts w:ascii="Times New Roman" w:hAnsi="Times New Roman" w:cs="Times New Roman"/>
                <w:sz w:val="24"/>
                <w:szCs w:val="28"/>
              </w:rPr>
              <w:t>TA00</w:t>
            </w:r>
            <w:r>
              <w:rPr>
                <w:rFonts w:hint="eastAsia" w:ascii="Times New Roman" w:hAnsi="Times New Roman" w:cs="Times New Roman"/>
                <w:sz w:val="24"/>
                <w:szCs w:val="28"/>
              </w:rPr>
              <w:t>1）处理后通过20</w:t>
            </w:r>
            <w:r>
              <w:rPr>
                <w:rFonts w:ascii="Times New Roman" w:hAnsi="Times New Roman" w:cs="Times New Roman"/>
                <w:sz w:val="24"/>
                <w:szCs w:val="28"/>
              </w:rPr>
              <w:t>m</w:t>
            </w:r>
            <w:r>
              <w:rPr>
                <w:rFonts w:hint="eastAsia" w:ascii="Times New Roman" w:hAnsi="Times New Roman" w:cs="Times New Roman"/>
                <w:sz w:val="24"/>
                <w:szCs w:val="28"/>
              </w:rPr>
              <w:t>高</w:t>
            </w:r>
            <w:r>
              <w:rPr>
                <w:rFonts w:ascii="Times New Roman" w:hAnsi="Times New Roman" w:cs="Times New Roman"/>
                <w:sz w:val="24"/>
                <w:szCs w:val="28"/>
              </w:rPr>
              <w:t>DA00</w:t>
            </w:r>
            <w:r>
              <w:rPr>
                <w:rFonts w:hint="eastAsia" w:ascii="Times New Roman" w:hAnsi="Times New Roman" w:cs="Times New Roman"/>
                <w:sz w:val="24"/>
                <w:szCs w:val="28"/>
              </w:rPr>
              <w:t>1排气筒排放</w:t>
            </w:r>
            <w:r>
              <w:rPr>
                <w:rFonts w:hint="eastAsia" w:ascii="Times New Roman" w:hAnsi="Times New Roman" w:eastAsia="宋体" w:cs="Times New Roman"/>
                <w:sz w:val="24"/>
                <w:szCs w:val="24"/>
              </w:rPr>
              <w:t>。</w:t>
            </w:r>
          </w:p>
          <w:p w14:paraId="0E7F0411">
            <w:pPr>
              <w:widowControl/>
              <w:adjustRightInd w:val="0"/>
              <w:snapToGrid w:val="0"/>
              <w:spacing w:line="360" w:lineRule="auto"/>
              <w:ind w:firstLine="482" w:firstLineChars="200"/>
              <w:rPr>
                <w:rFonts w:ascii="Times New Roman" w:hAnsi="Times New Roman" w:cs="Times New Roman"/>
                <w:sz w:val="24"/>
                <w:szCs w:val="28"/>
              </w:rPr>
            </w:pPr>
            <w:r>
              <w:rPr>
                <w:rFonts w:hint="eastAsia" w:ascii="Times New Roman" w:hAnsi="Times New Roman" w:cs="Times New Roman"/>
                <w:b/>
                <w:sz w:val="24"/>
                <w:szCs w:val="28"/>
              </w:rPr>
              <w:t>6、喷面漆：</w:t>
            </w:r>
            <w:r>
              <w:rPr>
                <w:rFonts w:hint="eastAsia" w:ascii="Times New Roman" w:hAnsi="Times New Roman" w:cs="Times New Roman"/>
                <w:sz w:val="24"/>
                <w:szCs w:val="28"/>
              </w:rPr>
              <w:t>调配好的面漆通过管道泵至喷面漆</w:t>
            </w:r>
            <w:r>
              <w:rPr>
                <w:rFonts w:hint="eastAsia" w:ascii="Times New Roman" w:hAnsi="Times New Roman" w:cs="Times New Roman"/>
                <w:sz w:val="24"/>
                <w:szCs w:val="24"/>
              </w:rPr>
              <w:t>房内，对</w:t>
            </w:r>
            <w:r>
              <w:rPr>
                <w:rStyle w:val="22"/>
                <w:rFonts w:hint="eastAsia"/>
                <w:sz w:val="24"/>
                <w:szCs w:val="24"/>
              </w:rPr>
              <w:t>底漆</w:t>
            </w:r>
            <w:r>
              <w:rPr>
                <w:rFonts w:hint="eastAsia" w:ascii="Times New Roman" w:hAnsi="Times New Roman" w:cs="Times New Roman"/>
                <w:sz w:val="24"/>
                <w:szCs w:val="24"/>
              </w:rPr>
              <w:t>烘干后的</w:t>
            </w:r>
            <w:r>
              <w:rPr>
                <w:rFonts w:hint="eastAsia" w:ascii="Times New Roman" w:hAnsi="Times New Roman" w:cs="Times New Roman"/>
                <w:sz w:val="24"/>
                <w:szCs w:val="28"/>
              </w:rPr>
              <w:t>汽车零部件运进行喷面漆处理。</w:t>
            </w:r>
          </w:p>
          <w:p w14:paraId="6D3AFE6D">
            <w:pPr>
              <w:widowControl/>
              <w:adjustRightInd w:val="0"/>
              <w:snapToGrid w:val="0"/>
              <w:spacing w:line="360" w:lineRule="auto"/>
              <w:ind w:firstLine="482" w:firstLineChars="200"/>
              <w:rPr>
                <w:rFonts w:ascii="Times New Roman" w:hAnsi="Times New Roman" w:cs="Times New Roman"/>
                <w:sz w:val="24"/>
                <w:szCs w:val="28"/>
              </w:rPr>
            </w:pPr>
            <w:r>
              <w:rPr>
                <w:rFonts w:hint="eastAsia" w:ascii="Times New Roman" w:hAnsi="Times New Roman" w:cs="Times New Roman"/>
                <w:b/>
                <w:sz w:val="24"/>
                <w:szCs w:val="28"/>
              </w:rPr>
              <w:t>产污环节分析及治理措施：</w:t>
            </w:r>
            <w:r>
              <w:rPr>
                <w:rFonts w:hint="eastAsia" w:ascii="Times New Roman" w:hAnsi="Times New Roman" w:cs="Times New Roman"/>
                <w:sz w:val="24"/>
                <w:szCs w:val="28"/>
              </w:rPr>
              <w:t>此过程主要产生</w:t>
            </w:r>
            <w:r>
              <w:rPr>
                <w:rFonts w:ascii="Times New Roman" w:hAnsi="Times New Roman" w:cs="Times New Roman"/>
                <w:sz w:val="24"/>
                <w:szCs w:val="28"/>
              </w:rPr>
              <w:t>G</w:t>
            </w:r>
            <w:r>
              <w:rPr>
                <w:rFonts w:hint="eastAsia" w:ascii="Times New Roman" w:hAnsi="Times New Roman" w:cs="Times New Roman"/>
                <w:sz w:val="24"/>
                <w:szCs w:val="28"/>
                <w:vertAlign w:val="subscript"/>
              </w:rPr>
              <w:t>5</w:t>
            </w:r>
            <w:r>
              <w:rPr>
                <w:rFonts w:hint="eastAsia" w:ascii="Times New Roman" w:hAnsi="Times New Roman" w:cs="Times New Roman"/>
                <w:sz w:val="24"/>
                <w:szCs w:val="28"/>
              </w:rPr>
              <w:t>喷面漆废气和废漆渣（</w:t>
            </w:r>
            <w:r>
              <w:rPr>
                <w:rFonts w:ascii="Times New Roman" w:hAnsi="Times New Roman" w:cs="Times New Roman"/>
                <w:sz w:val="24"/>
                <w:szCs w:val="28"/>
              </w:rPr>
              <w:t>S</w:t>
            </w:r>
            <w:r>
              <w:rPr>
                <w:rFonts w:hint="eastAsia" w:ascii="Times New Roman" w:hAnsi="Times New Roman" w:cs="Times New Roman"/>
                <w:sz w:val="24"/>
                <w:szCs w:val="28"/>
                <w:vertAlign w:val="subscript"/>
              </w:rPr>
              <w:t>2</w:t>
            </w:r>
            <w:r>
              <w:rPr>
                <w:rFonts w:hint="eastAsia" w:ascii="Times New Roman" w:hAnsi="Times New Roman" w:cs="Times New Roman"/>
                <w:sz w:val="24"/>
                <w:szCs w:val="28"/>
              </w:rPr>
              <w:t>）。喷</w:t>
            </w:r>
            <w:r>
              <w:rPr>
                <w:rFonts w:hint="eastAsia" w:ascii="Times New Roman" w:hAnsi="Times New Roman" w:eastAsia="宋体" w:cs="Times New Roman"/>
                <w:sz w:val="24"/>
                <w:szCs w:val="24"/>
              </w:rPr>
              <w:t>面</w:t>
            </w:r>
            <w:r>
              <w:rPr>
                <w:rFonts w:hint="eastAsia" w:ascii="Times New Roman" w:hAnsi="Times New Roman" w:cs="Times New Roman"/>
                <w:sz w:val="24"/>
                <w:szCs w:val="28"/>
              </w:rPr>
              <w:t>漆废气（</w:t>
            </w:r>
            <w:r>
              <w:rPr>
                <w:rFonts w:ascii="Times New Roman" w:hAnsi="Times New Roman" w:cs="Times New Roman"/>
                <w:sz w:val="24"/>
                <w:szCs w:val="28"/>
              </w:rPr>
              <w:t>G</w:t>
            </w:r>
            <w:r>
              <w:rPr>
                <w:rFonts w:hint="eastAsia" w:ascii="Times New Roman" w:hAnsi="Times New Roman" w:cs="Times New Roman"/>
                <w:sz w:val="24"/>
                <w:szCs w:val="28"/>
                <w:vertAlign w:val="subscript"/>
              </w:rPr>
              <w:t>5</w:t>
            </w:r>
            <w:r>
              <w:rPr>
                <w:rFonts w:hint="eastAsia" w:ascii="Times New Roman" w:hAnsi="Times New Roman" w:cs="Times New Roman"/>
                <w:sz w:val="24"/>
                <w:szCs w:val="28"/>
              </w:rPr>
              <w:t>）由漆雾（颗粒物）和有机废气（非甲烷总烃）组成，面漆生产线喷漆废气</w:t>
            </w:r>
            <w:r>
              <w:rPr>
                <w:rFonts w:ascii="Times New Roman" w:hAnsi="Times New Roman" w:cs="Times New Roman"/>
                <w:sz w:val="24"/>
                <w:szCs w:val="28"/>
              </w:rPr>
              <w:t>G</w:t>
            </w:r>
            <w:r>
              <w:rPr>
                <w:rFonts w:hint="eastAsia" w:ascii="Times New Roman" w:hAnsi="Times New Roman" w:cs="Times New Roman"/>
                <w:sz w:val="24"/>
                <w:szCs w:val="28"/>
                <w:vertAlign w:val="subscript"/>
              </w:rPr>
              <w:t>5</w:t>
            </w:r>
            <w:r>
              <w:rPr>
                <w:rFonts w:hint="eastAsia" w:ascii="Times New Roman" w:hAnsi="Times New Roman" w:cs="Times New Roman"/>
                <w:sz w:val="24"/>
                <w:szCs w:val="28"/>
              </w:rPr>
              <w:t>经负压收集经“水帘</w:t>
            </w:r>
            <w:r>
              <w:rPr>
                <w:rFonts w:ascii="Times New Roman" w:hAnsi="Times New Roman" w:cs="Times New Roman"/>
                <w:sz w:val="24"/>
                <w:szCs w:val="28"/>
              </w:rPr>
              <w:t>+</w:t>
            </w:r>
            <w:r>
              <w:rPr>
                <w:rFonts w:hint="eastAsia" w:ascii="Times New Roman" w:hAnsi="Times New Roman" w:cs="Times New Roman"/>
                <w:sz w:val="24"/>
                <w:szCs w:val="28"/>
              </w:rPr>
              <w:t>两级过滤棉＋两级活性炭吸附装置”（</w:t>
            </w:r>
            <w:r>
              <w:rPr>
                <w:rFonts w:ascii="Times New Roman" w:hAnsi="Times New Roman" w:cs="Times New Roman"/>
                <w:sz w:val="24"/>
                <w:szCs w:val="28"/>
              </w:rPr>
              <w:t>TA00</w:t>
            </w:r>
            <w:r>
              <w:rPr>
                <w:rFonts w:hint="eastAsia" w:ascii="Times New Roman" w:hAnsi="Times New Roman" w:cs="Times New Roman"/>
                <w:sz w:val="24"/>
                <w:szCs w:val="28"/>
              </w:rPr>
              <w:t>1</w:t>
            </w:r>
            <w:r>
              <w:rPr>
                <w:rFonts w:ascii="Times New Roman" w:hAnsi="Times New Roman" w:cs="Times New Roman"/>
                <w:sz w:val="24"/>
                <w:szCs w:val="28"/>
              </w:rPr>
              <w:t>）处理后通过</w:t>
            </w:r>
            <w:r>
              <w:rPr>
                <w:rFonts w:hint="eastAsia" w:ascii="Times New Roman" w:hAnsi="Times New Roman" w:cs="Times New Roman"/>
                <w:sz w:val="24"/>
                <w:szCs w:val="28"/>
              </w:rPr>
              <w:t>20</w:t>
            </w:r>
            <w:r>
              <w:rPr>
                <w:rFonts w:ascii="Times New Roman" w:hAnsi="Times New Roman" w:cs="Times New Roman"/>
                <w:sz w:val="24"/>
                <w:szCs w:val="28"/>
              </w:rPr>
              <w:t>m高排气筒（DA00</w:t>
            </w:r>
            <w:r>
              <w:rPr>
                <w:rFonts w:hint="eastAsia" w:ascii="Times New Roman" w:hAnsi="Times New Roman" w:cs="Times New Roman"/>
                <w:sz w:val="24"/>
                <w:szCs w:val="28"/>
              </w:rPr>
              <w:t>1</w:t>
            </w:r>
            <w:r>
              <w:rPr>
                <w:rFonts w:ascii="Times New Roman" w:hAnsi="Times New Roman" w:cs="Times New Roman"/>
                <w:sz w:val="24"/>
                <w:szCs w:val="28"/>
              </w:rPr>
              <w:t>）排放</w:t>
            </w:r>
            <w:r>
              <w:rPr>
                <w:rFonts w:hint="eastAsia" w:ascii="Times New Roman" w:hAnsi="Times New Roman" w:cs="Times New Roman"/>
                <w:sz w:val="24"/>
                <w:szCs w:val="28"/>
              </w:rPr>
              <w:t>。喷面漆过程中固体份有5%散落在喷漆房内形成漆渣，漆雾经水帘处理形成漆渣，</w:t>
            </w:r>
            <w:r>
              <w:rPr>
                <w:rFonts w:ascii="Times New Roman" w:hAnsi="Times New Roman" w:cs="Times New Roman"/>
                <w:sz w:val="24"/>
                <w:szCs w:val="28"/>
              </w:rPr>
              <w:t>废漆渣（S</w:t>
            </w:r>
            <w:r>
              <w:rPr>
                <w:rFonts w:hint="eastAsia" w:ascii="Times New Roman" w:hAnsi="Times New Roman" w:cs="Times New Roman"/>
                <w:sz w:val="24"/>
                <w:szCs w:val="28"/>
                <w:vertAlign w:val="subscript"/>
                <w:lang w:val="en-US" w:eastAsia="zh-CN"/>
              </w:rPr>
              <w:t>3</w:t>
            </w:r>
            <w:r>
              <w:rPr>
                <w:rFonts w:ascii="Times New Roman" w:hAnsi="Times New Roman" w:cs="Times New Roman"/>
                <w:sz w:val="24"/>
                <w:szCs w:val="28"/>
              </w:rPr>
              <w:t>）</w:t>
            </w:r>
            <w:r>
              <w:rPr>
                <w:rFonts w:hint="eastAsia" w:ascii="Times New Roman" w:hAnsi="Times New Roman" w:cs="Times New Roman"/>
                <w:sz w:val="24"/>
                <w:szCs w:val="28"/>
                <w:lang w:val="en-US" w:eastAsia="zh-CN"/>
              </w:rPr>
              <w:t>和水帘喷漆定期更换的废液（</w:t>
            </w:r>
            <w:r>
              <w:rPr>
                <w:rFonts w:ascii="Times New Roman" w:hAnsi="Times New Roman" w:cs="Times New Roman"/>
                <w:sz w:val="24"/>
                <w:szCs w:val="28"/>
              </w:rPr>
              <w:t>S</w:t>
            </w:r>
            <w:r>
              <w:rPr>
                <w:rFonts w:hint="eastAsia" w:ascii="Times New Roman" w:hAnsi="Times New Roman" w:cs="Times New Roman"/>
                <w:sz w:val="24"/>
                <w:szCs w:val="28"/>
                <w:vertAlign w:val="subscript"/>
                <w:lang w:val="en-US" w:eastAsia="zh-CN"/>
              </w:rPr>
              <w:t>4</w:t>
            </w:r>
            <w:r>
              <w:rPr>
                <w:rFonts w:hint="eastAsia" w:ascii="Times New Roman" w:hAnsi="Times New Roman" w:cs="Times New Roman"/>
                <w:sz w:val="24"/>
                <w:szCs w:val="28"/>
                <w:lang w:val="en-US" w:eastAsia="zh-CN"/>
              </w:rPr>
              <w:t>）</w:t>
            </w:r>
            <w:r>
              <w:rPr>
                <w:rFonts w:ascii="Times New Roman" w:hAnsi="Times New Roman" w:cs="Times New Roman"/>
                <w:sz w:val="24"/>
                <w:szCs w:val="28"/>
              </w:rPr>
              <w:t>收集暂存到危险废物暂存间，定期委托有资质单位进行处置。</w:t>
            </w:r>
          </w:p>
          <w:p w14:paraId="0102B35A">
            <w:pPr>
              <w:widowControl/>
              <w:numPr>
                <w:ilvl w:val="0"/>
                <w:numId w:val="0"/>
              </w:numPr>
              <w:adjustRightInd w:val="0"/>
              <w:snapToGrid w:val="0"/>
              <w:spacing w:line="360" w:lineRule="auto"/>
              <w:ind w:firstLine="482" w:firstLineChars="200"/>
              <w:rPr>
                <w:rFonts w:hint="eastAsia" w:ascii="Times New Roman" w:hAnsi="Times New Roman" w:cs="Times New Roman"/>
                <w:color w:val="auto"/>
                <w:sz w:val="24"/>
                <w:szCs w:val="28"/>
                <w:lang w:eastAsia="zh-CN"/>
              </w:rPr>
            </w:pPr>
            <w:r>
              <w:rPr>
                <w:rFonts w:hint="eastAsia" w:ascii="Times New Roman" w:hAnsi="Times New Roman" w:cs="Times New Roman"/>
                <w:b/>
                <w:sz w:val="24"/>
                <w:szCs w:val="28"/>
                <w:lang w:val="en-US" w:eastAsia="zh-CN"/>
              </w:rPr>
              <w:t>7、</w:t>
            </w:r>
            <w:r>
              <w:rPr>
                <w:rFonts w:ascii="Times New Roman" w:hAnsi="Times New Roman" w:cs="Times New Roman"/>
                <w:b/>
                <w:sz w:val="24"/>
                <w:szCs w:val="28"/>
              </w:rPr>
              <w:t>烘干</w:t>
            </w:r>
            <w:r>
              <w:rPr>
                <w:rFonts w:ascii="Times New Roman" w:hAnsi="Times New Roman" w:cs="Times New Roman"/>
                <w:b/>
                <w:color w:val="auto"/>
                <w:sz w:val="24"/>
                <w:szCs w:val="28"/>
              </w:rPr>
              <w:t>：</w:t>
            </w:r>
            <w:r>
              <w:rPr>
                <w:rFonts w:hint="eastAsia" w:ascii="Times New Roman" w:hAnsi="Times New Roman" w:cs="Times New Roman"/>
                <w:b w:val="0"/>
                <w:bCs/>
                <w:color w:val="auto"/>
                <w:sz w:val="24"/>
                <w:szCs w:val="28"/>
                <w:lang w:val="en-US" w:eastAsia="zh-CN"/>
              </w:rPr>
              <w:t>3楼</w:t>
            </w:r>
            <w:r>
              <w:rPr>
                <w:rFonts w:ascii="Times New Roman" w:hAnsi="Times New Roman" w:cs="Times New Roman"/>
                <w:b w:val="0"/>
                <w:bCs/>
                <w:color w:val="auto"/>
                <w:sz w:val="24"/>
                <w:szCs w:val="28"/>
              </w:rPr>
              <w:t>经过喷面漆处理后的汽车零部件通过密闭输送带输送到烘烤箱中烘干，</w:t>
            </w:r>
            <w:r>
              <w:rPr>
                <w:rFonts w:hint="eastAsia" w:ascii="Times New Roman" w:hAnsi="Times New Roman" w:cs="Times New Roman"/>
                <w:b w:val="0"/>
                <w:bCs/>
                <w:color w:val="auto"/>
                <w:sz w:val="24"/>
                <w:szCs w:val="28"/>
                <w:lang w:val="en-US" w:eastAsia="zh-CN"/>
              </w:rPr>
              <w:t>2楼</w:t>
            </w:r>
            <w:r>
              <w:rPr>
                <w:rFonts w:ascii="Times New Roman" w:hAnsi="Times New Roman" w:cs="Times New Roman"/>
                <w:b w:val="0"/>
                <w:bCs/>
                <w:color w:val="auto"/>
                <w:sz w:val="24"/>
                <w:szCs w:val="28"/>
              </w:rPr>
              <w:t>经过</w:t>
            </w:r>
            <w:r>
              <w:rPr>
                <w:rFonts w:ascii="Times New Roman" w:hAnsi="Times New Roman" w:cs="Times New Roman"/>
                <w:color w:val="auto"/>
                <w:sz w:val="24"/>
                <w:szCs w:val="28"/>
              </w:rPr>
              <w:t>喷面漆处理后的汽车零部件</w:t>
            </w:r>
            <w:r>
              <w:rPr>
                <w:rFonts w:hint="eastAsia" w:ascii="Times New Roman" w:hAnsi="Times New Roman" w:cs="Times New Roman"/>
                <w:color w:val="auto"/>
                <w:sz w:val="24"/>
                <w:szCs w:val="28"/>
                <w:lang w:val="en-US" w:eastAsia="zh-CN"/>
              </w:rPr>
              <w:t>随轨道进入120米烘道中进行烘干。</w:t>
            </w:r>
          </w:p>
          <w:p w14:paraId="3E424870">
            <w:pPr>
              <w:widowControl/>
              <w:adjustRightInd w:val="0"/>
              <w:snapToGrid w:val="0"/>
              <w:spacing w:line="360" w:lineRule="auto"/>
              <w:ind w:firstLine="482" w:firstLineChars="200"/>
              <w:rPr>
                <w:rFonts w:ascii="Times New Roman" w:hAnsi="Times New Roman" w:cs="Times New Roman"/>
                <w:sz w:val="24"/>
                <w:szCs w:val="28"/>
              </w:rPr>
            </w:pPr>
            <w:r>
              <w:rPr>
                <w:rFonts w:hint="eastAsia" w:ascii="Times New Roman" w:hAnsi="Times New Roman" w:cs="Times New Roman"/>
                <w:b/>
                <w:color w:val="auto"/>
                <w:sz w:val="24"/>
                <w:szCs w:val="28"/>
              </w:rPr>
              <w:t>产污环节分析及治理措施：</w:t>
            </w:r>
            <w:r>
              <w:rPr>
                <w:rFonts w:hint="eastAsia" w:ascii="Times New Roman" w:hAnsi="Times New Roman" w:cs="Times New Roman"/>
                <w:color w:val="auto"/>
                <w:sz w:val="24"/>
                <w:szCs w:val="28"/>
              </w:rPr>
              <w:t>此过程主要产生</w:t>
            </w:r>
            <w:r>
              <w:rPr>
                <w:rFonts w:ascii="Times New Roman" w:hAnsi="Times New Roman" w:cs="Times New Roman"/>
                <w:color w:val="auto"/>
                <w:sz w:val="24"/>
                <w:szCs w:val="28"/>
              </w:rPr>
              <w:t>G</w:t>
            </w:r>
            <w:r>
              <w:rPr>
                <w:rFonts w:hint="eastAsia" w:ascii="Times New Roman" w:hAnsi="Times New Roman" w:cs="Times New Roman"/>
                <w:color w:val="auto"/>
                <w:sz w:val="24"/>
                <w:szCs w:val="28"/>
                <w:vertAlign w:val="subscript"/>
              </w:rPr>
              <w:t>3</w:t>
            </w:r>
            <w:r>
              <w:rPr>
                <w:rFonts w:hint="eastAsia" w:ascii="Times New Roman" w:hAnsi="Times New Roman" w:cs="Times New Roman"/>
                <w:color w:val="auto"/>
                <w:sz w:val="24"/>
                <w:szCs w:val="28"/>
              </w:rPr>
              <w:t>烘干废气，经密闭收集经</w:t>
            </w:r>
            <w:r>
              <w:rPr>
                <w:rFonts w:hint="eastAsia" w:ascii="Times New Roman" w:hAnsi="Times New Roman" w:cs="Times New Roman"/>
                <w:sz w:val="24"/>
                <w:szCs w:val="28"/>
              </w:rPr>
              <w:t>“两级活性炭吸附装置”（</w:t>
            </w:r>
            <w:r>
              <w:rPr>
                <w:rFonts w:ascii="Times New Roman" w:hAnsi="Times New Roman" w:cs="Times New Roman"/>
                <w:sz w:val="24"/>
                <w:szCs w:val="28"/>
              </w:rPr>
              <w:t>TA00</w:t>
            </w:r>
            <w:r>
              <w:rPr>
                <w:rFonts w:hint="eastAsia" w:ascii="Times New Roman" w:hAnsi="Times New Roman" w:cs="Times New Roman"/>
                <w:sz w:val="24"/>
                <w:szCs w:val="28"/>
              </w:rPr>
              <w:t>1）处理后通过20</w:t>
            </w:r>
            <w:r>
              <w:rPr>
                <w:rFonts w:ascii="Times New Roman" w:hAnsi="Times New Roman" w:cs="Times New Roman"/>
                <w:sz w:val="24"/>
                <w:szCs w:val="28"/>
              </w:rPr>
              <w:t>m</w:t>
            </w:r>
            <w:r>
              <w:rPr>
                <w:rFonts w:hint="eastAsia" w:ascii="Times New Roman" w:hAnsi="Times New Roman" w:cs="Times New Roman"/>
                <w:sz w:val="24"/>
                <w:szCs w:val="28"/>
              </w:rPr>
              <w:t>高排气筒（</w:t>
            </w:r>
            <w:r>
              <w:rPr>
                <w:rFonts w:ascii="Times New Roman" w:hAnsi="Times New Roman" w:cs="Times New Roman"/>
                <w:sz w:val="24"/>
                <w:szCs w:val="28"/>
              </w:rPr>
              <w:t>DA00</w:t>
            </w:r>
            <w:r>
              <w:rPr>
                <w:rFonts w:hint="eastAsia" w:ascii="Times New Roman" w:hAnsi="Times New Roman" w:cs="Times New Roman"/>
                <w:sz w:val="24"/>
                <w:szCs w:val="28"/>
              </w:rPr>
              <w:t>1）排放。</w:t>
            </w:r>
          </w:p>
          <w:p w14:paraId="0643EA77">
            <w:pPr>
              <w:widowControl/>
              <w:adjustRightInd w:val="0"/>
              <w:snapToGrid w:val="0"/>
              <w:spacing w:line="360" w:lineRule="auto"/>
              <w:ind w:firstLine="482" w:firstLineChars="200"/>
              <w:rPr>
                <w:rFonts w:ascii="Times New Roman" w:hAnsi="Times New Roman" w:cs="Times New Roman"/>
                <w:b/>
                <w:sz w:val="24"/>
                <w:szCs w:val="28"/>
              </w:rPr>
            </w:pPr>
            <w:r>
              <w:rPr>
                <w:rFonts w:hint="eastAsia" w:ascii="Times New Roman" w:hAnsi="Times New Roman" w:cs="Times New Roman"/>
                <w:b/>
                <w:sz w:val="24"/>
                <w:szCs w:val="28"/>
              </w:rPr>
              <w:t>8、镭雕：</w:t>
            </w:r>
            <w:r>
              <w:rPr>
                <w:rFonts w:hint="eastAsia" w:ascii="Times New Roman" w:hAnsi="Times New Roman" w:cs="Times New Roman"/>
                <w:sz w:val="24"/>
                <w:szCs w:val="28"/>
              </w:rPr>
              <w:t>烘干后的部分汽车零部件按照客户需求再进行3D镭雕和平面镭雕，镭雕比例约占总量的10%。</w:t>
            </w:r>
          </w:p>
          <w:p w14:paraId="6FFF4816">
            <w:pPr>
              <w:widowControl/>
              <w:adjustRightInd w:val="0"/>
              <w:snapToGrid w:val="0"/>
              <w:spacing w:line="360" w:lineRule="auto"/>
              <w:ind w:firstLine="482" w:firstLineChars="200"/>
              <w:rPr>
                <w:rFonts w:ascii="Times New Roman" w:hAnsi="Times New Roman" w:cs="Times New Roman"/>
                <w:sz w:val="24"/>
                <w:szCs w:val="28"/>
              </w:rPr>
            </w:pPr>
            <w:r>
              <w:rPr>
                <w:rFonts w:hint="eastAsia" w:ascii="Times New Roman" w:hAnsi="Times New Roman" w:cs="Times New Roman"/>
                <w:b/>
                <w:sz w:val="24"/>
                <w:szCs w:val="28"/>
              </w:rPr>
              <w:t>产污环节分析及治理措施：</w:t>
            </w:r>
            <w:r>
              <w:rPr>
                <w:rFonts w:hint="eastAsia" w:ascii="Times New Roman" w:hAnsi="Times New Roman" w:cs="Times New Roman"/>
                <w:sz w:val="24"/>
                <w:szCs w:val="28"/>
              </w:rPr>
              <w:t>此过程粉尘产生量较小，可忽略不计，本次评价不做定量分析。</w:t>
            </w:r>
          </w:p>
          <w:p w14:paraId="042C7569">
            <w:pPr>
              <w:adjustRightInd w:val="0"/>
              <w:snapToGrid w:val="0"/>
              <w:spacing w:line="360" w:lineRule="auto"/>
              <w:ind w:firstLine="482" w:firstLineChars="200"/>
              <w:jc w:val="left"/>
              <w:rPr>
                <w:sz w:val="24"/>
              </w:rPr>
            </w:pPr>
            <w:r>
              <w:rPr>
                <w:rFonts w:hint="eastAsia" w:ascii="Times New Roman" w:hAnsi="Times New Roman" w:cs="Times New Roman"/>
                <w:b/>
                <w:sz w:val="24"/>
                <w:szCs w:val="28"/>
              </w:rPr>
              <w:t>9、抛光：</w:t>
            </w:r>
            <w:r>
              <w:rPr>
                <w:rFonts w:hint="eastAsia"/>
                <w:sz w:val="24"/>
              </w:rPr>
              <w:t>项目抛光用抛光蜡，借助小型抛光机上的羊毛球，在其面上轻微摩擦进行抛光，抛掉汽车零部件漆面的毛孔。抛光过程均为局部浅抛，即在喷漆后，根据有经验的工人观察，将喷漆有问题部位抛去，同时为防止汽车零部件漆面变薄，不能抛得太深。</w:t>
            </w:r>
          </w:p>
          <w:p w14:paraId="6D0982E9">
            <w:pPr>
              <w:adjustRightInd w:val="0"/>
              <w:snapToGrid w:val="0"/>
              <w:spacing w:line="360" w:lineRule="auto"/>
              <w:ind w:firstLine="482" w:firstLineChars="200"/>
              <w:jc w:val="left"/>
              <w:rPr>
                <w:bCs/>
                <w:sz w:val="24"/>
              </w:rPr>
            </w:pPr>
            <w:r>
              <w:rPr>
                <w:rFonts w:hint="eastAsia" w:ascii="Times New Roman" w:hAnsi="Times New Roman" w:cs="Times New Roman"/>
                <w:b/>
                <w:sz w:val="24"/>
                <w:szCs w:val="28"/>
              </w:rPr>
              <w:t>产污环节分析及治理措施：</w:t>
            </w:r>
            <w:r>
              <w:rPr>
                <w:rFonts w:hint="eastAsia" w:ascii="Times New Roman" w:hAnsi="Times New Roman" w:cs="Times New Roman"/>
                <w:bCs/>
                <w:sz w:val="24"/>
                <w:szCs w:val="28"/>
              </w:rPr>
              <w:t>此过程主要产生废羊毛球（S</w:t>
            </w:r>
            <w:r>
              <w:rPr>
                <w:rFonts w:hint="eastAsia" w:ascii="Times New Roman" w:hAnsi="Times New Roman" w:cs="Times New Roman"/>
                <w:bCs/>
                <w:sz w:val="24"/>
                <w:szCs w:val="28"/>
                <w:vertAlign w:val="subscript"/>
                <w:lang w:val="en-US" w:eastAsia="zh-CN"/>
              </w:rPr>
              <w:t>5</w:t>
            </w:r>
            <w:r>
              <w:rPr>
                <w:rFonts w:hint="eastAsia" w:ascii="Times New Roman" w:hAnsi="Times New Roman" w:cs="Times New Roman"/>
                <w:bCs/>
                <w:sz w:val="24"/>
                <w:szCs w:val="28"/>
              </w:rPr>
              <w:t>），经统一收集后定期外售，综合利用。</w:t>
            </w:r>
          </w:p>
          <w:p w14:paraId="432896A2">
            <w:pPr>
              <w:widowControl/>
              <w:adjustRightInd w:val="0"/>
              <w:snapToGrid w:val="0"/>
              <w:spacing w:line="360" w:lineRule="auto"/>
              <w:ind w:firstLine="482" w:firstLineChars="200"/>
              <w:rPr>
                <w:rFonts w:ascii="Times New Roman" w:hAnsi="Times New Roman" w:cs="Times New Roman"/>
                <w:b/>
                <w:bCs/>
                <w:sz w:val="24"/>
                <w:szCs w:val="28"/>
              </w:rPr>
            </w:pPr>
            <w:r>
              <w:rPr>
                <w:rFonts w:hint="eastAsia" w:ascii="Times New Roman" w:hAnsi="Times New Roman" w:cs="Times New Roman"/>
                <w:b/>
                <w:sz w:val="24"/>
                <w:szCs w:val="28"/>
              </w:rPr>
              <w:t>10、委外拼装：</w:t>
            </w:r>
            <w:r>
              <w:rPr>
                <w:rFonts w:hint="eastAsia" w:ascii="Times New Roman" w:hAnsi="Times New Roman" w:cs="Times New Roman"/>
                <w:sz w:val="24"/>
                <w:szCs w:val="28"/>
              </w:rPr>
              <w:t>将生产完成的产品委外拼装，拼装完成后再运至厂区成品仓库，及时外运销售。</w:t>
            </w:r>
          </w:p>
          <w:p w14:paraId="1C1F7F04">
            <w:pPr>
              <w:widowControl/>
              <w:adjustRightInd w:val="0"/>
              <w:snapToGrid w:val="0"/>
              <w:spacing w:line="360" w:lineRule="auto"/>
              <w:ind w:firstLine="482" w:firstLineChars="200"/>
              <w:rPr>
                <w:rFonts w:hint="eastAsia" w:ascii="Times New Roman" w:hAnsi="Times New Roman" w:cs="Times New Roman"/>
                <w:sz w:val="24"/>
                <w:szCs w:val="28"/>
              </w:rPr>
            </w:pPr>
            <w:r>
              <w:rPr>
                <w:rFonts w:hint="eastAsia" w:ascii="Times New Roman" w:hAnsi="Times New Roman" w:cs="Times New Roman"/>
                <w:b/>
                <w:sz w:val="24"/>
                <w:szCs w:val="28"/>
              </w:rPr>
              <w:t>11、包装入库：</w:t>
            </w:r>
            <w:r>
              <w:rPr>
                <w:rFonts w:hint="eastAsia" w:ascii="Times New Roman" w:hAnsi="Times New Roman" w:cs="Times New Roman"/>
                <w:sz w:val="24"/>
                <w:szCs w:val="28"/>
              </w:rPr>
              <w:t>将生产完成的产品，按照不同客户、不同产品类型进行分类存放。</w:t>
            </w:r>
          </w:p>
        </w:tc>
      </w:tr>
    </w:tbl>
    <w:p w14:paraId="32A72719">
      <w:pPr>
        <w:rPr>
          <w:rFonts w:ascii="Times New Roman" w:hAnsi="Times New Roman"/>
        </w:rPr>
        <w:sectPr>
          <w:headerReference r:id="rId6" w:type="default"/>
          <w:footerReference r:id="rId7" w:type="default"/>
          <w:pgSz w:w="11906" w:h="16838"/>
          <w:pgMar w:top="1701" w:right="1531" w:bottom="1701" w:left="1531" w:header="851" w:footer="992" w:gutter="0"/>
          <w:pgBorders>
            <w:top w:val="none" w:sz="0" w:space="0"/>
            <w:left w:val="none" w:sz="0" w:space="0"/>
            <w:bottom w:val="none" w:sz="0" w:space="0"/>
            <w:right w:val="none" w:sz="0" w:space="0"/>
          </w:pgBorders>
          <w:cols w:space="425" w:num="1"/>
          <w:docGrid w:type="lines" w:linePitch="312" w:charSpace="0"/>
        </w:sectPr>
      </w:pPr>
    </w:p>
    <w:tbl>
      <w:tblPr>
        <w:tblStyle w:val="1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74"/>
      </w:tblGrid>
      <w:tr w14:paraId="67B803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7648" w:hRule="atLeast"/>
        </w:trPr>
        <w:tc>
          <w:tcPr>
            <w:tcW w:w="14174" w:type="dxa"/>
          </w:tcPr>
          <w:p w14:paraId="2ADEEDE6">
            <w:pPr>
              <w:tabs>
                <w:tab w:val="center" w:pos="4456"/>
                <w:tab w:val="left" w:pos="7350"/>
              </w:tabs>
              <w:spacing w:line="360" w:lineRule="auto"/>
              <w:jc w:val="center"/>
              <w:rPr>
                <w:rFonts w:ascii="Times New Roman" w:hAnsi="Times New Roman" w:eastAsia="黑体" w:cs="Times New Roman"/>
                <w:sz w:val="24"/>
                <w:szCs w:val="28"/>
              </w:rPr>
            </w:pPr>
            <w:r>
              <w:rPr>
                <w:rFonts w:ascii="Times New Roman" w:hAnsi="黑体" w:eastAsia="黑体" w:cs="Times New Roman"/>
                <w:sz w:val="24"/>
                <w:szCs w:val="28"/>
              </w:rPr>
              <w:t>表</w:t>
            </w:r>
            <w:r>
              <w:rPr>
                <w:rFonts w:ascii="Times New Roman" w:hAnsi="Times New Roman" w:eastAsia="黑体" w:cs="Times New Roman"/>
                <w:sz w:val="24"/>
                <w:szCs w:val="28"/>
              </w:rPr>
              <w:t>2-</w:t>
            </w:r>
            <w:r>
              <w:rPr>
                <w:rFonts w:hint="eastAsia" w:ascii="Times New Roman" w:hAnsi="Times New Roman" w:eastAsia="黑体" w:cs="Times New Roman"/>
                <w:sz w:val="24"/>
                <w:szCs w:val="28"/>
              </w:rPr>
              <w:t>1</w:t>
            </w:r>
            <w:r>
              <w:rPr>
                <w:rFonts w:hint="eastAsia" w:ascii="Times New Roman" w:hAnsi="Times New Roman" w:eastAsia="黑体" w:cs="Times New Roman"/>
                <w:sz w:val="24"/>
                <w:szCs w:val="28"/>
                <w:lang w:val="en-US" w:eastAsia="zh-CN"/>
              </w:rPr>
              <w:t>0</w:t>
            </w:r>
            <w:r>
              <w:rPr>
                <w:rFonts w:ascii="Times New Roman" w:hAnsi="Times New Roman" w:eastAsia="黑体" w:cs="Times New Roman"/>
                <w:sz w:val="24"/>
                <w:szCs w:val="28"/>
              </w:rPr>
              <w:t xml:space="preserve">  涂装生产线生产过程</w:t>
            </w:r>
            <w:r>
              <w:rPr>
                <w:rFonts w:ascii="Times New Roman" w:hAnsi="黑体" w:eastAsia="黑体" w:cs="Times New Roman"/>
                <w:sz w:val="24"/>
                <w:szCs w:val="28"/>
              </w:rPr>
              <w:t>产污环节</w:t>
            </w:r>
            <w:r>
              <w:rPr>
                <w:rFonts w:hint="eastAsia" w:ascii="Times New Roman" w:hAnsi="黑体" w:eastAsia="黑体" w:cs="Times New Roman"/>
                <w:sz w:val="24"/>
                <w:szCs w:val="28"/>
              </w:rPr>
              <w:t>统计</w:t>
            </w:r>
            <w:r>
              <w:rPr>
                <w:rFonts w:ascii="Times New Roman" w:hAnsi="黑体" w:eastAsia="黑体" w:cs="Times New Roman"/>
                <w:sz w:val="24"/>
                <w:szCs w:val="28"/>
              </w:rPr>
              <w:t>表</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1463"/>
              <w:gridCol w:w="930"/>
              <w:gridCol w:w="2323"/>
              <w:gridCol w:w="8541"/>
            </w:tblGrid>
            <w:tr w14:paraId="5429AE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Align w:val="center"/>
                </w:tcPr>
                <w:p w14:paraId="77C77A35">
                  <w:pPr>
                    <w:spacing w:line="276" w:lineRule="auto"/>
                    <w:jc w:val="center"/>
                    <w:rPr>
                      <w:rFonts w:ascii="Times New Roman" w:hAnsi="Times New Roman" w:cs="Times New Roman"/>
                      <w:b/>
                      <w:szCs w:val="21"/>
                    </w:rPr>
                  </w:pPr>
                  <w:r>
                    <w:rPr>
                      <w:rFonts w:ascii="Times New Roman" w:hAnsi="Times New Roman" w:cs="Times New Roman"/>
                      <w:b/>
                      <w:szCs w:val="21"/>
                    </w:rPr>
                    <w:t>类别</w:t>
                  </w:r>
                </w:p>
              </w:tc>
              <w:tc>
                <w:tcPr>
                  <w:tcW w:w="524" w:type="pct"/>
                  <w:vAlign w:val="center"/>
                </w:tcPr>
                <w:p w14:paraId="7F944AB0">
                  <w:pPr>
                    <w:spacing w:line="276" w:lineRule="auto"/>
                    <w:jc w:val="center"/>
                    <w:rPr>
                      <w:rFonts w:ascii="Times New Roman" w:hAnsi="Times New Roman" w:cs="Times New Roman"/>
                      <w:b/>
                      <w:szCs w:val="21"/>
                    </w:rPr>
                  </w:pPr>
                  <w:r>
                    <w:rPr>
                      <w:rFonts w:hint="eastAsia" w:ascii="Times New Roman" w:hAnsi="Times New Roman" w:cs="Times New Roman"/>
                      <w:b/>
                      <w:szCs w:val="21"/>
                    </w:rPr>
                    <w:t>产污环节</w:t>
                  </w:r>
                </w:p>
              </w:tc>
              <w:tc>
                <w:tcPr>
                  <w:tcW w:w="333" w:type="pct"/>
                  <w:vAlign w:val="center"/>
                </w:tcPr>
                <w:p w14:paraId="3A8A6DE5">
                  <w:pPr>
                    <w:spacing w:line="276" w:lineRule="auto"/>
                    <w:jc w:val="center"/>
                    <w:rPr>
                      <w:rFonts w:ascii="Times New Roman" w:hAnsi="Times New Roman" w:cs="Times New Roman"/>
                      <w:b/>
                      <w:szCs w:val="21"/>
                    </w:rPr>
                  </w:pPr>
                  <w:r>
                    <w:rPr>
                      <w:rFonts w:hint="eastAsia" w:ascii="Times New Roman" w:hAnsi="Times New Roman" w:cs="Times New Roman"/>
                      <w:b/>
                      <w:szCs w:val="21"/>
                    </w:rPr>
                    <w:t>污染源</w:t>
                  </w:r>
                </w:p>
              </w:tc>
              <w:tc>
                <w:tcPr>
                  <w:tcW w:w="832" w:type="pct"/>
                  <w:vAlign w:val="center"/>
                </w:tcPr>
                <w:p w14:paraId="2323A858">
                  <w:pPr>
                    <w:spacing w:line="276" w:lineRule="auto"/>
                    <w:jc w:val="center"/>
                    <w:rPr>
                      <w:rFonts w:ascii="Times New Roman" w:hAnsi="Times New Roman" w:cs="Times New Roman"/>
                      <w:b/>
                      <w:szCs w:val="21"/>
                    </w:rPr>
                  </w:pPr>
                  <w:r>
                    <w:rPr>
                      <w:rFonts w:ascii="Times New Roman" w:hAnsi="Times New Roman" w:cs="Times New Roman"/>
                      <w:b/>
                      <w:szCs w:val="21"/>
                    </w:rPr>
                    <w:t>主要</w:t>
                  </w:r>
                  <w:r>
                    <w:rPr>
                      <w:rFonts w:hint="eastAsia" w:ascii="Times New Roman" w:hAnsi="Times New Roman" w:cs="Times New Roman"/>
                      <w:b/>
                      <w:szCs w:val="21"/>
                    </w:rPr>
                    <w:t>污染物</w:t>
                  </w:r>
                  <w:r>
                    <w:rPr>
                      <w:rFonts w:ascii="Times New Roman" w:hAnsi="Times New Roman" w:cs="Times New Roman"/>
                      <w:b/>
                      <w:szCs w:val="21"/>
                    </w:rPr>
                    <w:t>名称</w:t>
                  </w:r>
                </w:p>
              </w:tc>
              <w:tc>
                <w:tcPr>
                  <w:tcW w:w="3059" w:type="pct"/>
                  <w:vAlign w:val="center"/>
                </w:tcPr>
                <w:p w14:paraId="0E94FD42">
                  <w:pPr>
                    <w:spacing w:line="276" w:lineRule="auto"/>
                    <w:jc w:val="center"/>
                    <w:rPr>
                      <w:rFonts w:ascii="Times New Roman" w:hAnsi="Times New Roman" w:cs="Times New Roman"/>
                      <w:b/>
                      <w:szCs w:val="21"/>
                    </w:rPr>
                  </w:pPr>
                  <w:r>
                    <w:rPr>
                      <w:rFonts w:ascii="Times New Roman" w:hAnsi="Times New Roman" w:cs="Times New Roman"/>
                      <w:b/>
                      <w:szCs w:val="21"/>
                    </w:rPr>
                    <w:t>收集方式及治理措施</w:t>
                  </w:r>
                </w:p>
              </w:tc>
            </w:tr>
            <w:tr w14:paraId="0B8F5E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Merge w:val="restart"/>
                  <w:vAlign w:val="center"/>
                </w:tcPr>
                <w:p w14:paraId="01D49A9B">
                  <w:pPr>
                    <w:spacing w:line="276" w:lineRule="auto"/>
                    <w:jc w:val="center"/>
                    <w:rPr>
                      <w:rFonts w:ascii="Times New Roman" w:hAnsi="Times New Roman" w:cs="Times New Roman"/>
                      <w:b/>
                      <w:szCs w:val="21"/>
                    </w:rPr>
                  </w:pPr>
                  <w:r>
                    <w:rPr>
                      <w:rFonts w:hint="eastAsia" w:ascii="Times New Roman" w:hAnsi="Times New Roman" w:cs="Times New Roman"/>
                      <w:szCs w:val="21"/>
                    </w:rPr>
                    <w:t>废气</w:t>
                  </w:r>
                </w:p>
              </w:tc>
              <w:tc>
                <w:tcPr>
                  <w:tcW w:w="524" w:type="pct"/>
                  <w:vAlign w:val="center"/>
                </w:tcPr>
                <w:p w14:paraId="2B648636">
                  <w:pPr>
                    <w:spacing w:line="276" w:lineRule="auto"/>
                    <w:jc w:val="center"/>
                    <w:rPr>
                      <w:rFonts w:ascii="Times New Roman" w:hAnsi="Times New Roman" w:cs="Times New Roman"/>
                      <w:szCs w:val="21"/>
                    </w:rPr>
                  </w:pPr>
                  <w:r>
                    <w:rPr>
                      <w:rFonts w:hint="eastAsia" w:ascii="Times New Roman" w:hAnsi="Times New Roman" w:cs="Times New Roman"/>
                      <w:szCs w:val="21"/>
                    </w:rPr>
                    <w:t>调底漆</w:t>
                  </w:r>
                </w:p>
              </w:tc>
              <w:tc>
                <w:tcPr>
                  <w:tcW w:w="333" w:type="pct"/>
                  <w:vAlign w:val="center"/>
                </w:tcPr>
                <w:p w14:paraId="09223BC9">
                  <w:pPr>
                    <w:spacing w:line="276" w:lineRule="auto"/>
                    <w:jc w:val="center"/>
                    <w:rPr>
                      <w:rFonts w:ascii="Times New Roman" w:hAnsi="Times New Roman" w:cs="Times New Roman"/>
                      <w:szCs w:val="21"/>
                    </w:rPr>
                  </w:pPr>
                  <w:r>
                    <w:rPr>
                      <w:rFonts w:hint="eastAsia" w:ascii="Times New Roman" w:hAnsi="Times New Roman" w:cs="Times New Roman"/>
                      <w:szCs w:val="21"/>
                    </w:rPr>
                    <w:t>G</w:t>
                  </w:r>
                  <w:r>
                    <w:rPr>
                      <w:rFonts w:hint="eastAsia" w:ascii="Times New Roman" w:hAnsi="Times New Roman" w:cs="Times New Roman"/>
                      <w:szCs w:val="21"/>
                      <w:vertAlign w:val="subscript"/>
                    </w:rPr>
                    <w:t>1</w:t>
                  </w:r>
                </w:p>
              </w:tc>
              <w:tc>
                <w:tcPr>
                  <w:tcW w:w="832" w:type="pct"/>
                  <w:vAlign w:val="center"/>
                </w:tcPr>
                <w:p w14:paraId="5FDCEB7E">
                  <w:pPr>
                    <w:spacing w:line="276" w:lineRule="auto"/>
                    <w:jc w:val="center"/>
                    <w:rPr>
                      <w:rFonts w:ascii="Times New Roman" w:hAnsi="Times New Roman" w:cs="Times New Roman"/>
                      <w:szCs w:val="21"/>
                    </w:rPr>
                  </w:pPr>
                  <w:r>
                    <w:rPr>
                      <w:rFonts w:hint="eastAsia" w:ascii="Times New Roman" w:hAnsi="Times New Roman" w:cs="Times New Roman"/>
                      <w:szCs w:val="21"/>
                    </w:rPr>
                    <w:t>非甲烷总烃</w:t>
                  </w:r>
                </w:p>
              </w:tc>
              <w:tc>
                <w:tcPr>
                  <w:tcW w:w="3059" w:type="pct"/>
                  <w:vAlign w:val="center"/>
                </w:tcPr>
                <w:p w14:paraId="65A9F263">
                  <w:pPr>
                    <w:spacing w:line="276" w:lineRule="auto"/>
                    <w:jc w:val="center"/>
                    <w:rPr>
                      <w:rFonts w:ascii="Times New Roman" w:hAnsi="Times New Roman" w:cs="Times New Roman"/>
                      <w:b/>
                      <w:szCs w:val="21"/>
                      <w:highlight w:val="none"/>
                    </w:rPr>
                  </w:pPr>
                  <w:r>
                    <w:rPr>
                      <w:rFonts w:hint="eastAsia" w:ascii="Times New Roman" w:hAnsi="Times New Roman" w:cs="Times New Roman"/>
                      <w:szCs w:val="21"/>
                      <w:highlight w:val="none"/>
                    </w:rPr>
                    <w:t>“两级活性炭吸附装置”（TA001）＋20m高排气筒（DA001）</w:t>
                  </w:r>
                </w:p>
              </w:tc>
            </w:tr>
            <w:tr w14:paraId="1BD3583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Merge w:val="continue"/>
                  <w:vAlign w:val="center"/>
                </w:tcPr>
                <w:p w14:paraId="5207D6E2">
                  <w:pPr>
                    <w:spacing w:line="276" w:lineRule="auto"/>
                    <w:jc w:val="center"/>
                    <w:rPr>
                      <w:rFonts w:ascii="Times New Roman" w:hAnsi="Times New Roman" w:cs="Times New Roman"/>
                      <w:b/>
                      <w:szCs w:val="21"/>
                    </w:rPr>
                  </w:pPr>
                </w:p>
              </w:tc>
              <w:tc>
                <w:tcPr>
                  <w:tcW w:w="524" w:type="pct"/>
                  <w:vAlign w:val="center"/>
                </w:tcPr>
                <w:p w14:paraId="7C783D34">
                  <w:pPr>
                    <w:spacing w:line="276" w:lineRule="auto"/>
                    <w:jc w:val="center"/>
                    <w:rPr>
                      <w:rFonts w:ascii="Times New Roman" w:hAnsi="Times New Roman" w:cs="Times New Roman"/>
                      <w:szCs w:val="21"/>
                    </w:rPr>
                  </w:pPr>
                  <w:r>
                    <w:rPr>
                      <w:rFonts w:hint="eastAsia" w:ascii="Times New Roman" w:hAnsi="Times New Roman" w:cs="Times New Roman"/>
                      <w:szCs w:val="21"/>
                    </w:rPr>
                    <w:t>喷底漆</w:t>
                  </w:r>
                </w:p>
              </w:tc>
              <w:tc>
                <w:tcPr>
                  <w:tcW w:w="333" w:type="pct"/>
                  <w:vAlign w:val="center"/>
                </w:tcPr>
                <w:p w14:paraId="1D334AEB">
                  <w:pPr>
                    <w:spacing w:line="276" w:lineRule="auto"/>
                    <w:jc w:val="center"/>
                    <w:rPr>
                      <w:rFonts w:ascii="Times New Roman" w:hAnsi="Times New Roman" w:cs="Times New Roman"/>
                      <w:szCs w:val="21"/>
                    </w:rPr>
                  </w:pPr>
                  <w:r>
                    <w:rPr>
                      <w:rFonts w:hint="eastAsia" w:ascii="Times New Roman" w:hAnsi="Times New Roman" w:cs="Times New Roman"/>
                      <w:szCs w:val="21"/>
                    </w:rPr>
                    <w:t>G</w:t>
                  </w:r>
                  <w:r>
                    <w:rPr>
                      <w:rFonts w:hint="eastAsia" w:ascii="Times New Roman" w:hAnsi="Times New Roman" w:cs="Times New Roman"/>
                      <w:szCs w:val="21"/>
                      <w:vertAlign w:val="subscript"/>
                    </w:rPr>
                    <w:t>2</w:t>
                  </w:r>
                </w:p>
              </w:tc>
              <w:tc>
                <w:tcPr>
                  <w:tcW w:w="832" w:type="pct"/>
                  <w:vAlign w:val="center"/>
                </w:tcPr>
                <w:p w14:paraId="36810AAD">
                  <w:pPr>
                    <w:spacing w:line="276" w:lineRule="auto"/>
                    <w:jc w:val="center"/>
                    <w:rPr>
                      <w:rFonts w:ascii="Times New Roman" w:hAnsi="Times New Roman" w:cs="Times New Roman"/>
                      <w:szCs w:val="21"/>
                    </w:rPr>
                  </w:pPr>
                  <w:r>
                    <w:rPr>
                      <w:rFonts w:ascii="Times New Roman" w:hAnsi="Times New Roman" w:cs="Times New Roman"/>
                      <w:szCs w:val="21"/>
                    </w:rPr>
                    <w:t>颗粒物</w:t>
                  </w:r>
                  <w:r>
                    <w:rPr>
                      <w:rFonts w:hint="eastAsia" w:ascii="Times New Roman" w:hAnsi="Times New Roman" w:cs="Times New Roman"/>
                      <w:szCs w:val="21"/>
                    </w:rPr>
                    <w:t>、非甲烷总烃</w:t>
                  </w:r>
                </w:p>
              </w:tc>
              <w:tc>
                <w:tcPr>
                  <w:tcW w:w="3059" w:type="pct"/>
                  <w:vAlign w:val="center"/>
                </w:tcPr>
                <w:p w14:paraId="4F7B5273">
                  <w:pPr>
                    <w:spacing w:line="276" w:lineRule="auto"/>
                    <w:jc w:val="center"/>
                    <w:rPr>
                      <w:rFonts w:ascii="Times New Roman" w:hAnsi="Times New Roman" w:cs="Times New Roman"/>
                      <w:b/>
                      <w:szCs w:val="21"/>
                      <w:highlight w:val="none"/>
                    </w:rPr>
                  </w:pPr>
                  <w:r>
                    <w:rPr>
                      <w:rFonts w:hint="eastAsia" w:ascii="Times New Roman" w:hAnsi="Times New Roman" w:cs="Times New Roman"/>
                      <w:szCs w:val="21"/>
                      <w:highlight w:val="none"/>
                    </w:rPr>
                    <w:t>“水帘+两级过滤棉＋两级活性炭吸附装置”（TA001）＋20m高排气筒（DA001）</w:t>
                  </w:r>
                </w:p>
              </w:tc>
            </w:tr>
            <w:tr w14:paraId="5B1D226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Merge w:val="continue"/>
                  <w:vAlign w:val="center"/>
                </w:tcPr>
                <w:p w14:paraId="290DC4D4">
                  <w:pPr>
                    <w:spacing w:line="276" w:lineRule="auto"/>
                    <w:jc w:val="center"/>
                    <w:rPr>
                      <w:rFonts w:ascii="Times New Roman" w:hAnsi="Times New Roman" w:cs="Times New Roman"/>
                      <w:szCs w:val="21"/>
                    </w:rPr>
                  </w:pPr>
                </w:p>
              </w:tc>
              <w:tc>
                <w:tcPr>
                  <w:tcW w:w="524" w:type="pct"/>
                  <w:vAlign w:val="center"/>
                </w:tcPr>
                <w:p w14:paraId="161EB041">
                  <w:pPr>
                    <w:spacing w:line="276" w:lineRule="auto"/>
                    <w:jc w:val="center"/>
                    <w:rPr>
                      <w:rFonts w:ascii="Times New Roman" w:hAnsi="Times New Roman" w:cs="Times New Roman"/>
                      <w:szCs w:val="21"/>
                    </w:rPr>
                  </w:pPr>
                  <w:r>
                    <w:rPr>
                      <w:rFonts w:hint="eastAsia" w:ascii="Times New Roman" w:hAnsi="Times New Roman" w:cs="Times New Roman"/>
                      <w:szCs w:val="21"/>
                    </w:rPr>
                    <w:t>调面漆</w:t>
                  </w:r>
                </w:p>
              </w:tc>
              <w:tc>
                <w:tcPr>
                  <w:tcW w:w="333" w:type="pct"/>
                  <w:vAlign w:val="center"/>
                </w:tcPr>
                <w:p w14:paraId="4C4B278A">
                  <w:pPr>
                    <w:spacing w:line="276" w:lineRule="auto"/>
                    <w:jc w:val="center"/>
                    <w:rPr>
                      <w:rFonts w:ascii="Times New Roman" w:hAnsi="Times New Roman" w:cs="Times New Roman"/>
                      <w:szCs w:val="21"/>
                    </w:rPr>
                  </w:pPr>
                  <w:r>
                    <w:rPr>
                      <w:rFonts w:hint="eastAsia" w:ascii="Times New Roman" w:hAnsi="Times New Roman" w:cs="Times New Roman"/>
                      <w:szCs w:val="21"/>
                    </w:rPr>
                    <w:t>G</w:t>
                  </w:r>
                  <w:r>
                    <w:rPr>
                      <w:rFonts w:hint="eastAsia" w:ascii="Times New Roman" w:hAnsi="Times New Roman" w:cs="Times New Roman"/>
                      <w:szCs w:val="21"/>
                      <w:vertAlign w:val="subscript"/>
                    </w:rPr>
                    <w:t>4</w:t>
                  </w:r>
                </w:p>
              </w:tc>
              <w:tc>
                <w:tcPr>
                  <w:tcW w:w="832" w:type="pct"/>
                  <w:vAlign w:val="center"/>
                </w:tcPr>
                <w:p w14:paraId="59663746">
                  <w:pPr>
                    <w:spacing w:line="276" w:lineRule="auto"/>
                    <w:jc w:val="center"/>
                    <w:rPr>
                      <w:rFonts w:ascii="Times New Roman" w:hAnsi="Times New Roman" w:cs="Times New Roman"/>
                      <w:szCs w:val="21"/>
                    </w:rPr>
                  </w:pPr>
                  <w:r>
                    <w:rPr>
                      <w:rFonts w:hint="eastAsia" w:ascii="Times New Roman" w:hAnsi="Times New Roman" w:cs="Times New Roman"/>
                      <w:szCs w:val="21"/>
                    </w:rPr>
                    <w:t>非甲烷总烃</w:t>
                  </w:r>
                </w:p>
              </w:tc>
              <w:tc>
                <w:tcPr>
                  <w:tcW w:w="3059" w:type="pct"/>
                  <w:vAlign w:val="center"/>
                </w:tcPr>
                <w:p w14:paraId="3623DEDB">
                  <w:pPr>
                    <w:jc w:val="center"/>
                    <w:rPr>
                      <w:highlight w:val="none"/>
                    </w:rPr>
                  </w:pPr>
                  <w:r>
                    <w:rPr>
                      <w:rFonts w:hint="eastAsia" w:ascii="Times New Roman" w:hAnsi="Times New Roman" w:cs="Times New Roman"/>
                      <w:szCs w:val="21"/>
                      <w:highlight w:val="none"/>
                    </w:rPr>
                    <w:t>“两级活性炭吸附装置”（TA001）＋20m高排气筒（DA001）</w:t>
                  </w:r>
                </w:p>
              </w:tc>
            </w:tr>
            <w:tr w14:paraId="05A2B0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Merge w:val="continue"/>
                  <w:vAlign w:val="center"/>
                </w:tcPr>
                <w:p w14:paraId="0282000E">
                  <w:pPr>
                    <w:spacing w:line="276" w:lineRule="auto"/>
                    <w:jc w:val="center"/>
                    <w:rPr>
                      <w:rFonts w:ascii="Times New Roman" w:hAnsi="Times New Roman" w:cs="Times New Roman"/>
                      <w:szCs w:val="21"/>
                    </w:rPr>
                  </w:pPr>
                </w:p>
              </w:tc>
              <w:tc>
                <w:tcPr>
                  <w:tcW w:w="524" w:type="pct"/>
                  <w:vAlign w:val="center"/>
                </w:tcPr>
                <w:p w14:paraId="6E2C57D2">
                  <w:pPr>
                    <w:spacing w:line="276" w:lineRule="auto"/>
                    <w:jc w:val="center"/>
                    <w:rPr>
                      <w:rFonts w:ascii="Times New Roman" w:hAnsi="Times New Roman" w:cs="Times New Roman"/>
                      <w:szCs w:val="21"/>
                    </w:rPr>
                  </w:pPr>
                  <w:r>
                    <w:rPr>
                      <w:rFonts w:hint="eastAsia" w:ascii="Times New Roman" w:hAnsi="Times New Roman" w:cs="Times New Roman"/>
                      <w:szCs w:val="21"/>
                    </w:rPr>
                    <w:t>喷面漆</w:t>
                  </w:r>
                </w:p>
              </w:tc>
              <w:tc>
                <w:tcPr>
                  <w:tcW w:w="333" w:type="pct"/>
                  <w:vAlign w:val="center"/>
                </w:tcPr>
                <w:p w14:paraId="79FDC54E">
                  <w:pPr>
                    <w:spacing w:line="276" w:lineRule="auto"/>
                    <w:jc w:val="center"/>
                    <w:rPr>
                      <w:rFonts w:ascii="Times New Roman" w:hAnsi="Times New Roman" w:cs="Times New Roman"/>
                      <w:szCs w:val="21"/>
                    </w:rPr>
                  </w:pPr>
                  <w:r>
                    <w:rPr>
                      <w:rFonts w:hint="eastAsia" w:ascii="Times New Roman" w:hAnsi="Times New Roman" w:cs="Times New Roman"/>
                      <w:szCs w:val="21"/>
                    </w:rPr>
                    <w:t>G</w:t>
                  </w:r>
                  <w:r>
                    <w:rPr>
                      <w:rFonts w:hint="eastAsia" w:ascii="Times New Roman" w:hAnsi="Times New Roman" w:cs="Times New Roman"/>
                      <w:szCs w:val="21"/>
                      <w:vertAlign w:val="subscript"/>
                    </w:rPr>
                    <w:t>5</w:t>
                  </w:r>
                </w:p>
              </w:tc>
              <w:tc>
                <w:tcPr>
                  <w:tcW w:w="832" w:type="pct"/>
                  <w:vAlign w:val="center"/>
                </w:tcPr>
                <w:p w14:paraId="23B575E3">
                  <w:pPr>
                    <w:spacing w:line="276" w:lineRule="auto"/>
                    <w:jc w:val="center"/>
                    <w:rPr>
                      <w:rFonts w:ascii="Times New Roman" w:hAnsi="Times New Roman" w:cs="Times New Roman"/>
                      <w:szCs w:val="21"/>
                    </w:rPr>
                  </w:pPr>
                  <w:r>
                    <w:rPr>
                      <w:rFonts w:ascii="Times New Roman" w:hAnsi="Times New Roman" w:cs="Times New Roman"/>
                      <w:szCs w:val="21"/>
                    </w:rPr>
                    <w:t>颗粒物</w:t>
                  </w:r>
                  <w:r>
                    <w:rPr>
                      <w:rFonts w:hint="eastAsia" w:ascii="Times New Roman" w:hAnsi="Times New Roman" w:cs="Times New Roman"/>
                      <w:szCs w:val="21"/>
                    </w:rPr>
                    <w:t>、非甲烷总烃</w:t>
                  </w:r>
                </w:p>
              </w:tc>
              <w:tc>
                <w:tcPr>
                  <w:tcW w:w="3059" w:type="pct"/>
                  <w:vAlign w:val="center"/>
                </w:tcPr>
                <w:p w14:paraId="13C17122">
                  <w:pPr>
                    <w:jc w:val="center"/>
                    <w:rPr>
                      <w:highlight w:val="none"/>
                    </w:rPr>
                  </w:pPr>
                  <w:r>
                    <w:rPr>
                      <w:rFonts w:hint="eastAsia" w:ascii="Times New Roman" w:hAnsi="Times New Roman" w:cs="Times New Roman"/>
                      <w:szCs w:val="21"/>
                      <w:highlight w:val="none"/>
                    </w:rPr>
                    <w:t>“水帘+两级过滤棉＋两级活性炭吸附装置”（TA001）＋20m高排气筒（DA001）</w:t>
                  </w:r>
                </w:p>
              </w:tc>
            </w:tr>
            <w:tr w14:paraId="069312F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Merge w:val="continue"/>
                  <w:vAlign w:val="center"/>
                </w:tcPr>
                <w:p w14:paraId="378DA8D0">
                  <w:pPr>
                    <w:spacing w:line="276" w:lineRule="auto"/>
                    <w:jc w:val="center"/>
                    <w:rPr>
                      <w:rFonts w:ascii="Times New Roman" w:hAnsi="Times New Roman" w:cs="Times New Roman"/>
                      <w:szCs w:val="21"/>
                    </w:rPr>
                  </w:pPr>
                </w:p>
              </w:tc>
              <w:tc>
                <w:tcPr>
                  <w:tcW w:w="524" w:type="pct"/>
                  <w:vAlign w:val="center"/>
                </w:tcPr>
                <w:p w14:paraId="075F0CB3">
                  <w:pPr>
                    <w:spacing w:line="276" w:lineRule="auto"/>
                    <w:jc w:val="center"/>
                    <w:rPr>
                      <w:rFonts w:ascii="Times New Roman" w:hAnsi="Times New Roman" w:cs="Times New Roman"/>
                      <w:szCs w:val="21"/>
                    </w:rPr>
                  </w:pPr>
                  <w:r>
                    <w:rPr>
                      <w:rFonts w:ascii="Times New Roman" w:hAnsi="Times New Roman" w:cs="Times New Roman"/>
                      <w:szCs w:val="21"/>
                    </w:rPr>
                    <w:t>烘</w:t>
                  </w:r>
                  <w:r>
                    <w:rPr>
                      <w:rFonts w:hint="eastAsia" w:ascii="Times New Roman" w:hAnsi="Times New Roman" w:cs="Times New Roman"/>
                      <w:szCs w:val="21"/>
                    </w:rPr>
                    <w:t>烤</w:t>
                  </w:r>
                </w:p>
              </w:tc>
              <w:tc>
                <w:tcPr>
                  <w:tcW w:w="333" w:type="pct"/>
                  <w:vAlign w:val="center"/>
                </w:tcPr>
                <w:p w14:paraId="78CA0BCA">
                  <w:pPr>
                    <w:spacing w:line="276" w:lineRule="auto"/>
                    <w:jc w:val="center"/>
                    <w:rPr>
                      <w:rFonts w:ascii="Times New Roman" w:hAnsi="Times New Roman" w:cs="Times New Roman"/>
                      <w:szCs w:val="21"/>
                    </w:rPr>
                  </w:pPr>
                  <w:r>
                    <w:rPr>
                      <w:rFonts w:hint="eastAsia" w:ascii="Times New Roman" w:hAnsi="Times New Roman" w:cs="Times New Roman"/>
                      <w:szCs w:val="21"/>
                    </w:rPr>
                    <w:t>G</w:t>
                  </w:r>
                  <w:r>
                    <w:rPr>
                      <w:rFonts w:hint="eastAsia" w:ascii="Times New Roman" w:hAnsi="Times New Roman" w:cs="Times New Roman"/>
                      <w:szCs w:val="21"/>
                      <w:vertAlign w:val="subscript"/>
                    </w:rPr>
                    <w:t>3</w:t>
                  </w:r>
                </w:p>
              </w:tc>
              <w:tc>
                <w:tcPr>
                  <w:tcW w:w="832" w:type="pct"/>
                  <w:vAlign w:val="center"/>
                </w:tcPr>
                <w:p w14:paraId="024AF86B">
                  <w:pPr>
                    <w:spacing w:line="276" w:lineRule="auto"/>
                    <w:jc w:val="center"/>
                    <w:rPr>
                      <w:rFonts w:ascii="Times New Roman" w:hAnsi="Times New Roman" w:cs="Times New Roman"/>
                      <w:szCs w:val="21"/>
                    </w:rPr>
                  </w:pPr>
                  <w:r>
                    <w:rPr>
                      <w:rFonts w:hint="eastAsia" w:ascii="Times New Roman" w:hAnsi="Times New Roman" w:cs="Times New Roman"/>
                      <w:szCs w:val="21"/>
                    </w:rPr>
                    <w:t>非甲烷总烃</w:t>
                  </w:r>
                </w:p>
              </w:tc>
              <w:tc>
                <w:tcPr>
                  <w:tcW w:w="3059" w:type="pct"/>
                  <w:vAlign w:val="center"/>
                </w:tcPr>
                <w:p w14:paraId="65A75B5A">
                  <w:pPr>
                    <w:jc w:val="center"/>
                    <w:rPr>
                      <w:highlight w:val="none"/>
                    </w:rPr>
                  </w:pPr>
                  <w:r>
                    <w:rPr>
                      <w:rFonts w:hint="eastAsia" w:ascii="Times New Roman" w:hAnsi="Times New Roman" w:cs="Times New Roman"/>
                      <w:szCs w:val="21"/>
                      <w:highlight w:val="none"/>
                    </w:rPr>
                    <w:t>“两级活性炭吸附装置”（TA001）＋20m高排气筒（DA001）</w:t>
                  </w:r>
                </w:p>
              </w:tc>
            </w:tr>
            <w:tr w14:paraId="69D436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Merge w:val="restart"/>
                  <w:vAlign w:val="center"/>
                </w:tcPr>
                <w:p w14:paraId="54626672">
                  <w:pPr>
                    <w:spacing w:line="276" w:lineRule="auto"/>
                    <w:jc w:val="center"/>
                    <w:rPr>
                      <w:rFonts w:ascii="Times New Roman" w:hAnsi="Times New Roman" w:cs="Times New Roman"/>
                      <w:szCs w:val="21"/>
                    </w:rPr>
                  </w:pPr>
                  <w:r>
                    <w:rPr>
                      <w:rFonts w:hint="eastAsia" w:ascii="Times New Roman" w:hAnsi="Times New Roman" w:cs="Times New Roman"/>
                      <w:szCs w:val="21"/>
                    </w:rPr>
                    <w:t>固废</w:t>
                  </w:r>
                </w:p>
              </w:tc>
              <w:tc>
                <w:tcPr>
                  <w:tcW w:w="524" w:type="pct"/>
                  <w:vAlign w:val="center"/>
                </w:tcPr>
                <w:p w14:paraId="776C632A">
                  <w:pPr>
                    <w:spacing w:line="276" w:lineRule="auto"/>
                    <w:jc w:val="center"/>
                    <w:rPr>
                      <w:rFonts w:ascii="Times New Roman" w:hAnsi="Times New Roman" w:cs="Times New Roman"/>
                      <w:szCs w:val="21"/>
                    </w:rPr>
                  </w:pPr>
                  <w:r>
                    <w:rPr>
                      <w:rFonts w:hint="eastAsia" w:ascii="Times New Roman" w:hAnsi="Times New Roman" w:cs="Times New Roman"/>
                      <w:szCs w:val="21"/>
                    </w:rPr>
                    <w:t>喷漆、烘干</w:t>
                  </w:r>
                </w:p>
              </w:tc>
              <w:tc>
                <w:tcPr>
                  <w:tcW w:w="333" w:type="pct"/>
                  <w:vAlign w:val="center"/>
                </w:tcPr>
                <w:p w14:paraId="063EF27C">
                  <w:pPr>
                    <w:spacing w:line="276" w:lineRule="auto"/>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rPr>
                    <w:t>S</w:t>
                  </w:r>
                  <w:r>
                    <w:rPr>
                      <w:rFonts w:hint="eastAsia" w:ascii="Times New Roman" w:hAnsi="Times New Roman" w:cs="Times New Roman"/>
                      <w:szCs w:val="21"/>
                      <w:vertAlign w:val="subscript"/>
                    </w:rPr>
                    <w:t>1</w:t>
                  </w:r>
                  <w:r>
                    <w:rPr>
                      <w:rFonts w:hint="eastAsia" w:ascii="Times New Roman" w:hAnsi="Times New Roman" w:cs="Times New Roman"/>
                      <w:szCs w:val="21"/>
                    </w:rPr>
                    <w:t>、S</w:t>
                  </w:r>
                  <w:r>
                    <w:rPr>
                      <w:rFonts w:hint="eastAsia" w:ascii="Times New Roman" w:hAnsi="Times New Roman" w:cs="Times New Roman"/>
                      <w:szCs w:val="21"/>
                      <w:vertAlign w:val="subscript"/>
                      <w:lang w:val="en-US" w:eastAsia="zh-CN"/>
                    </w:rPr>
                    <w:t>3</w:t>
                  </w:r>
                </w:p>
              </w:tc>
              <w:tc>
                <w:tcPr>
                  <w:tcW w:w="832" w:type="pct"/>
                  <w:vAlign w:val="center"/>
                </w:tcPr>
                <w:p w14:paraId="18B62FA0">
                  <w:pPr>
                    <w:spacing w:line="276" w:lineRule="auto"/>
                    <w:jc w:val="center"/>
                    <w:rPr>
                      <w:rFonts w:ascii="Times New Roman" w:hAnsi="Times New Roman" w:cs="Times New Roman"/>
                      <w:szCs w:val="21"/>
                    </w:rPr>
                  </w:pPr>
                  <w:r>
                    <w:rPr>
                      <w:rFonts w:ascii="Times New Roman" w:hAnsi="Times New Roman" w:cs="Times New Roman"/>
                      <w:szCs w:val="21"/>
                    </w:rPr>
                    <w:t>废漆渣</w:t>
                  </w:r>
                </w:p>
              </w:tc>
              <w:tc>
                <w:tcPr>
                  <w:tcW w:w="3059" w:type="pct"/>
                  <w:vMerge w:val="restart"/>
                  <w:vAlign w:val="center"/>
                </w:tcPr>
                <w:p w14:paraId="0B1E9A4E">
                  <w:pPr>
                    <w:spacing w:line="276" w:lineRule="auto"/>
                    <w:jc w:val="center"/>
                    <w:rPr>
                      <w:rFonts w:ascii="Times New Roman" w:hAnsi="Times New Roman" w:cs="Times New Roman"/>
                      <w:szCs w:val="21"/>
                    </w:rPr>
                  </w:pPr>
                  <w:r>
                    <w:rPr>
                      <w:rFonts w:ascii="Times New Roman" w:hAnsi="Times New Roman" w:cs="Times New Roman"/>
                      <w:szCs w:val="21"/>
                    </w:rPr>
                    <w:t>收集后暂存与危险废物暂存间，委托有资质单位定期处置</w:t>
                  </w:r>
                </w:p>
              </w:tc>
            </w:tr>
            <w:tr w14:paraId="36CB124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Merge w:val="continue"/>
                  <w:vAlign w:val="center"/>
                </w:tcPr>
                <w:p w14:paraId="60A2068E">
                  <w:pPr>
                    <w:spacing w:line="276" w:lineRule="auto"/>
                    <w:jc w:val="center"/>
                    <w:rPr>
                      <w:rFonts w:hint="eastAsia" w:ascii="Times New Roman" w:hAnsi="Times New Roman" w:cs="Times New Roman"/>
                      <w:szCs w:val="21"/>
                    </w:rPr>
                  </w:pPr>
                </w:p>
              </w:tc>
              <w:tc>
                <w:tcPr>
                  <w:tcW w:w="524" w:type="pct"/>
                  <w:vAlign w:val="center"/>
                </w:tcPr>
                <w:p w14:paraId="68A15DF6">
                  <w:pPr>
                    <w:spacing w:line="276" w:lineRule="auto"/>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喷漆</w:t>
                  </w:r>
                </w:p>
              </w:tc>
              <w:tc>
                <w:tcPr>
                  <w:tcW w:w="333" w:type="pct"/>
                  <w:vAlign w:val="center"/>
                </w:tcPr>
                <w:p w14:paraId="297D04CA">
                  <w:pPr>
                    <w:spacing w:line="276" w:lineRule="auto"/>
                    <w:jc w:val="center"/>
                    <w:rPr>
                      <w:rFonts w:hint="eastAsia" w:ascii="Times New Roman" w:hAnsi="Times New Roman" w:cs="Times New Roman"/>
                      <w:szCs w:val="21"/>
                    </w:rPr>
                  </w:pPr>
                  <w:r>
                    <w:rPr>
                      <w:rFonts w:hint="eastAsia" w:ascii="Times New Roman" w:hAnsi="Times New Roman" w:cs="Times New Roman"/>
                      <w:szCs w:val="21"/>
                    </w:rPr>
                    <w:t>S</w:t>
                  </w:r>
                  <w:r>
                    <w:rPr>
                      <w:rFonts w:hint="eastAsia" w:ascii="Times New Roman" w:hAnsi="Times New Roman" w:cs="Times New Roman"/>
                      <w:szCs w:val="21"/>
                      <w:vertAlign w:val="subscript"/>
                    </w:rPr>
                    <w:t>2</w:t>
                  </w:r>
                  <w:r>
                    <w:rPr>
                      <w:rFonts w:hint="eastAsia" w:ascii="Times New Roman" w:hAnsi="Times New Roman" w:cs="Times New Roman"/>
                      <w:szCs w:val="21"/>
                    </w:rPr>
                    <w:t>、S</w:t>
                  </w:r>
                  <w:r>
                    <w:rPr>
                      <w:rFonts w:hint="eastAsia" w:ascii="Times New Roman" w:hAnsi="Times New Roman" w:cs="Times New Roman"/>
                      <w:szCs w:val="21"/>
                      <w:vertAlign w:val="subscript"/>
                      <w:lang w:val="en-US" w:eastAsia="zh-CN"/>
                    </w:rPr>
                    <w:t>4</w:t>
                  </w:r>
                </w:p>
              </w:tc>
              <w:tc>
                <w:tcPr>
                  <w:tcW w:w="832" w:type="pct"/>
                  <w:vAlign w:val="center"/>
                </w:tcPr>
                <w:p w14:paraId="2A2FDF1F">
                  <w:pPr>
                    <w:spacing w:line="276" w:lineRule="auto"/>
                    <w:jc w:val="center"/>
                    <w:rPr>
                      <w:rFonts w:hint="eastAsia" w:ascii="Times New Roman" w:hAnsi="Times New Roman" w:cs="Times New Roman" w:eastAsiaTheme="minorEastAsia"/>
                      <w:szCs w:val="21"/>
                      <w:lang w:val="en-US" w:eastAsia="zh-CN"/>
                    </w:rPr>
                  </w:pPr>
                  <w:r>
                    <w:t>水帘喷漆定期更换的废液</w:t>
                  </w:r>
                </w:p>
              </w:tc>
              <w:tc>
                <w:tcPr>
                  <w:tcW w:w="3059" w:type="pct"/>
                  <w:vMerge w:val="continue"/>
                  <w:vAlign w:val="center"/>
                </w:tcPr>
                <w:p w14:paraId="16760AAF">
                  <w:pPr>
                    <w:spacing w:line="276" w:lineRule="auto"/>
                    <w:jc w:val="center"/>
                    <w:rPr>
                      <w:rFonts w:ascii="Times New Roman" w:hAnsi="Times New Roman" w:cs="Times New Roman"/>
                      <w:szCs w:val="21"/>
                    </w:rPr>
                  </w:pPr>
                </w:p>
              </w:tc>
            </w:tr>
            <w:tr w14:paraId="5D1BAF0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1" w:type="pct"/>
                  <w:vMerge w:val="continue"/>
                  <w:vAlign w:val="center"/>
                </w:tcPr>
                <w:p w14:paraId="6D5B8049">
                  <w:pPr>
                    <w:spacing w:line="276" w:lineRule="auto"/>
                    <w:jc w:val="center"/>
                    <w:rPr>
                      <w:rFonts w:ascii="Times New Roman" w:hAnsi="Times New Roman" w:cs="Times New Roman"/>
                      <w:szCs w:val="21"/>
                    </w:rPr>
                  </w:pPr>
                </w:p>
              </w:tc>
              <w:tc>
                <w:tcPr>
                  <w:tcW w:w="524" w:type="pct"/>
                  <w:vAlign w:val="center"/>
                </w:tcPr>
                <w:p w14:paraId="45234380">
                  <w:pPr>
                    <w:spacing w:line="276" w:lineRule="auto"/>
                    <w:jc w:val="center"/>
                    <w:rPr>
                      <w:rFonts w:ascii="Times New Roman" w:hAnsi="Times New Roman" w:cs="Times New Roman"/>
                      <w:szCs w:val="21"/>
                    </w:rPr>
                  </w:pPr>
                  <w:r>
                    <w:rPr>
                      <w:rFonts w:hint="eastAsia" w:ascii="Times New Roman" w:hAnsi="Times New Roman" w:cs="Times New Roman"/>
                      <w:szCs w:val="21"/>
                    </w:rPr>
                    <w:t>抛光</w:t>
                  </w:r>
                </w:p>
              </w:tc>
              <w:tc>
                <w:tcPr>
                  <w:tcW w:w="333" w:type="pct"/>
                  <w:vAlign w:val="center"/>
                </w:tcPr>
                <w:p w14:paraId="656234FB">
                  <w:pPr>
                    <w:spacing w:line="276" w:lineRule="auto"/>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rPr>
                    <w:t>S</w:t>
                  </w:r>
                  <w:r>
                    <w:rPr>
                      <w:rFonts w:hint="eastAsia" w:ascii="Times New Roman" w:hAnsi="Times New Roman" w:cs="Times New Roman"/>
                      <w:szCs w:val="21"/>
                      <w:vertAlign w:val="subscript"/>
                      <w:lang w:val="en-US" w:eastAsia="zh-CN"/>
                    </w:rPr>
                    <w:t>5</w:t>
                  </w:r>
                </w:p>
              </w:tc>
              <w:tc>
                <w:tcPr>
                  <w:tcW w:w="832" w:type="pct"/>
                  <w:vAlign w:val="center"/>
                </w:tcPr>
                <w:p w14:paraId="617DE294">
                  <w:pPr>
                    <w:spacing w:line="276" w:lineRule="auto"/>
                    <w:jc w:val="center"/>
                    <w:rPr>
                      <w:rFonts w:ascii="Times New Roman" w:hAnsi="Times New Roman" w:cs="Times New Roman"/>
                      <w:szCs w:val="21"/>
                    </w:rPr>
                  </w:pPr>
                  <w:r>
                    <w:rPr>
                      <w:rFonts w:hint="eastAsia" w:ascii="Times New Roman" w:hAnsi="Times New Roman" w:cs="Times New Roman"/>
                      <w:szCs w:val="21"/>
                    </w:rPr>
                    <w:t>废羊毛球</w:t>
                  </w:r>
                </w:p>
              </w:tc>
              <w:tc>
                <w:tcPr>
                  <w:tcW w:w="3059" w:type="pct"/>
                  <w:vAlign w:val="center"/>
                </w:tcPr>
                <w:p w14:paraId="396DEF15">
                  <w:pPr>
                    <w:spacing w:line="276" w:lineRule="auto"/>
                    <w:jc w:val="center"/>
                    <w:rPr>
                      <w:rFonts w:ascii="Times New Roman" w:hAnsi="Times New Roman" w:cs="Times New Roman"/>
                      <w:szCs w:val="21"/>
                    </w:rPr>
                  </w:pPr>
                  <w:r>
                    <w:rPr>
                      <w:rFonts w:hint="eastAsia" w:ascii="Times New Roman" w:hAnsi="Times New Roman" w:cs="Times New Roman"/>
                      <w:szCs w:val="21"/>
                    </w:rPr>
                    <w:t>收集后暂存于一般固废间，定期外售，综合利用</w:t>
                  </w:r>
                </w:p>
              </w:tc>
            </w:tr>
          </w:tbl>
          <w:p w14:paraId="2CFBD05A">
            <w:pPr>
              <w:spacing w:line="360" w:lineRule="auto"/>
              <w:ind w:firstLine="480" w:firstLineChars="200"/>
              <w:jc w:val="center"/>
              <w:rPr>
                <w:rFonts w:ascii="Times New Roman" w:hAnsi="Times New Roman" w:cs="Times New Roman"/>
                <w:bCs/>
                <w:sz w:val="24"/>
                <w:szCs w:val="28"/>
              </w:rPr>
            </w:pPr>
          </w:p>
          <w:p w14:paraId="2AE4B341">
            <w:pPr>
              <w:spacing w:line="360" w:lineRule="auto"/>
              <w:ind w:firstLine="480" w:firstLineChars="200"/>
              <w:jc w:val="center"/>
              <w:rPr>
                <w:rFonts w:ascii="Times New Roman" w:hAnsi="Times New Roman" w:cs="Times New Roman"/>
                <w:bCs/>
                <w:sz w:val="24"/>
                <w:szCs w:val="28"/>
              </w:rPr>
            </w:pPr>
          </w:p>
          <w:p w14:paraId="6C9D8D07">
            <w:pPr>
              <w:spacing w:line="360" w:lineRule="auto"/>
              <w:ind w:firstLine="480" w:firstLineChars="200"/>
              <w:jc w:val="center"/>
              <w:rPr>
                <w:rFonts w:ascii="Times New Roman" w:hAnsi="Times New Roman" w:cs="Times New Roman"/>
                <w:bCs/>
                <w:sz w:val="24"/>
                <w:szCs w:val="28"/>
              </w:rPr>
            </w:pPr>
          </w:p>
          <w:p w14:paraId="2D1ABD20">
            <w:pPr>
              <w:spacing w:line="360" w:lineRule="auto"/>
              <w:ind w:firstLine="480" w:firstLineChars="200"/>
              <w:jc w:val="center"/>
              <w:rPr>
                <w:rFonts w:ascii="Times New Roman" w:hAnsi="Times New Roman" w:cs="Times New Roman"/>
                <w:bCs/>
                <w:sz w:val="24"/>
                <w:szCs w:val="28"/>
              </w:rPr>
            </w:pPr>
          </w:p>
          <w:p w14:paraId="55FC5AF9">
            <w:pPr>
              <w:spacing w:line="360" w:lineRule="auto"/>
              <w:ind w:firstLine="480" w:firstLineChars="200"/>
              <w:jc w:val="center"/>
              <w:rPr>
                <w:rFonts w:ascii="Times New Roman" w:hAnsi="Times New Roman" w:cs="Times New Roman"/>
                <w:bCs/>
                <w:sz w:val="24"/>
                <w:szCs w:val="28"/>
              </w:rPr>
            </w:pPr>
          </w:p>
          <w:p w14:paraId="77638696">
            <w:pPr>
              <w:spacing w:line="360" w:lineRule="auto"/>
              <w:ind w:firstLine="480" w:firstLineChars="200"/>
              <w:jc w:val="center"/>
              <w:rPr>
                <w:rFonts w:ascii="Times New Roman" w:hAnsi="Times New Roman" w:cs="Times New Roman"/>
                <w:bCs/>
                <w:sz w:val="24"/>
                <w:szCs w:val="28"/>
              </w:rPr>
            </w:pPr>
          </w:p>
          <w:p w14:paraId="7ADE2A52">
            <w:pPr>
              <w:spacing w:line="360" w:lineRule="auto"/>
              <w:ind w:firstLine="480" w:firstLineChars="200"/>
              <w:jc w:val="center"/>
              <w:rPr>
                <w:rFonts w:ascii="Times New Roman" w:hAnsi="Times New Roman" w:cs="Times New Roman"/>
                <w:bCs/>
                <w:sz w:val="24"/>
                <w:szCs w:val="28"/>
              </w:rPr>
            </w:pPr>
          </w:p>
          <w:p w14:paraId="0C9B56C0">
            <w:pPr>
              <w:spacing w:line="360" w:lineRule="auto"/>
              <w:jc w:val="both"/>
              <w:rPr>
                <w:rFonts w:ascii="Times New Roman" w:hAnsi="Times New Roman" w:cs="Times New Roman"/>
                <w:bCs/>
                <w:sz w:val="24"/>
                <w:szCs w:val="28"/>
              </w:rPr>
            </w:pPr>
          </w:p>
        </w:tc>
      </w:tr>
      <w:tr w14:paraId="747D2B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48" w:hRule="atLeast"/>
        </w:trPr>
        <w:tc>
          <w:tcPr>
            <w:tcW w:w="14174" w:type="dxa"/>
          </w:tcPr>
          <w:p w14:paraId="0ADFBBCF">
            <w:pPr>
              <w:spacing w:line="360" w:lineRule="auto"/>
              <w:ind w:firstLine="480" w:firstLineChars="200"/>
              <w:rPr>
                <w:rFonts w:ascii="Times New Roman" w:hAnsi="Times New Roman" w:cs="Times New Roman"/>
                <w:bCs/>
                <w:sz w:val="24"/>
                <w:szCs w:val="28"/>
              </w:rPr>
            </w:pPr>
            <w:r>
              <w:rPr>
                <w:rFonts w:ascii="宋体" w:hAnsi="宋体" w:eastAsia="宋体" w:cs="宋体"/>
                <w:sz w:val="24"/>
                <w:szCs w:val="24"/>
              </w:rPr>
              <mc:AlternateContent>
                <mc:Choice Requires="wpc">
                  <w:drawing>
                    <wp:anchor distT="0" distB="0" distL="114300" distR="114300" simplePos="0" relativeHeight="251664384" behindDoc="0" locked="0" layoutInCell="1" allowOverlap="1">
                      <wp:simplePos x="0" y="0"/>
                      <wp:positionH relativeFrom="column">
                        <wp:posOffset>109855</wp:posOffset>
                      </wp:positionH>
                      <wp:positionV relativeFrom="paragraph">
                        <wp:posOffset>234315</wp:posOffset>
                      </wp:positionV>
                      <wp:extent cx="9549130" cy="4521200"/>
                      <wp:effectExtent l="0" t="0" r="0" b="20320"/>
                      <wp:wrapNone/>
                      <wp:docPr id="241" name="画布 8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 name="自选图形 819"/>
                              <wps:cNvCnPr/>
                              <wps:spPr>
                                <a:xfrm>
                                  <a:off x="1151332" y="616672"/>
                                  <a:ext cx="504224" cy="635"/>
                                </a:xfrm>
                                <a:prstGeom prst="straightConnector1">
                                  <a:avLst/>
                                </a:prstGeom>
                                <a:ln w="9525" cap="flat" cmpd="sng">
                                  <a:solidFill>
                                    <a:srgbClr val="000000"/>
                                  </a:solidFill>
                                  <a:prstDash val="solid"/>
                                  <a:headEnd type="none" w="med" len="med"/>
                                  <a:tailEnd type="triangle" w="sm" len="med"/>
                                </a:ln>
                              </wps:spPr>
                              <wps:bodyPr/>
                            </wps:wsp>
                            <wps:wsp>
                              <wps:cNvPr id="161" name="矩形 820"/>
                              <wps:cNvSpPr/>
                              <wps:spPr>
                                <a:xfrm>
                                  <a:off x="1660635" y="454089"/>
                                  <a:ext cx="643933" cy="3238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8DB567">
                                    <w:pPr>
                                      <w:snapToGrid w:val="0"/>
                                      <w:jc w:val="center"/>
                                      <w:rPr>
                                        <w:rFonts w:ascii="Times New Roman" w:hAnsi="Times New Roman" w:eastAsia="黑体" w:cs="Times New Roman"/>
                                        <w:color w:val="000000"/>
                                        <w:sz w:val="15"/>
                                        <w:szCs w:val="15"/>
                                      </w:rPr>
                                    </w:pPr>
                                    <w:r>
                                      <w:rPr>
                                        <w:rFonts w:hint="eastAsia" w:ascii="Times New Roman" w:hAnsi="Times New Roman" w:eastAsia="黑体" w:cs="Times New Roman"/>
                                        <w:color w:val="000000"/>
                                        <w:sz w:val="15"/>
                                        <w:szCs w:val="15"/>
                                      </w:rPr>
                                      <w:t>固体份</w:t>
                                    </w:r>
                                  </w:p>
                                  <w:p w14:paraId="36252604">
                                    <w:pPr>
                                      <w:snapToGrid w:val="0"/>
                                      <w:jc w:val="center"/>
                                      <w:rPr>
                                        <w:rFonts w:hint="default" w:ascii="Times New Roman" w:hAnsi="Times New Roman" w:eastAsia="黑体" w:cs="Times New Roman"/>
                                        <w:sz w:val="15"/>
                                        <w:szCs w:val="15"/>
                                        <w:lang w:val="en-US" w:eastAsia="zh-CN"/>
                                      </w:rPr>
                                    </w:pPr>
                                    <w:r>
                                      <w:rPr>
                                        <w:rFonts w:ascii="Times New Roman" w:hAnsi="Times New Roman" w:eastAsia="黑体" w:cs="Times New Roman"/>
                                        <w:color w:val="000000"/>
                                        <w:sz w:val="15"/>
                                        <w:szCs w:val="15"/>
                                      </w:rPr>
                                      <w:t>3</w:t>
                                    </w:r>
                                    <w:r>
                                      <w:rPr>
                                        <w:rFonts w:hint="eastAsia" w:ascii="Times New Roman" w:hAnsi="Times New Roman" w:eastAsia="黑体" w:cs="Times New Roman"/>
                                        <w:color w:val="000000"/>
                                        <w:sz w:val="15"/>
                                        <w:szCs w:val="15"/>
                                        <w:lang w:val="en-US" w:eastAsia="zh-CN"/>
                                      </w:rPr>
                                      <w:t>7.26</w:t>
                                    </w:r>
                                  </w:p>
                                </w:txbxContent>
                              </wps:txbx>
                              <wps:bodyPr upright="1"/>
                            </wps:wsp>
                            <wps:wsp>
                              <wps:cNvPr id="162" name="自选图形 821"/>
                              <wps:cNvCnPr/>
                              <wps:spPr>
                                <a:xfrm>
                                  <a:off x="2302663" y="611591"/>
                                  <a:ext cx="1583795" cy="635"/>
                                </a:xfrm>
                                <a:prstGeom prst="straightConnector1">
                                  <a:avLst/>
                                </a:prstGeom>
                                <a:ln w="9525" cap="flat" cmpd="sng">
                                  <a:solidFill>
                                    <a:srgbClr val="000000"/>
                                  </a:solidFill>
                                  <a:prstDash val="solid"/>
                                  <a:headEnd type="none" w="med" len="med"/>
                                  <a:tailEnd type="triangle" w="sm" len="med"/>
                                </a:ln>
                              </wps:spPr>
                              <wps:bodyPr/>
                            </wps:wsp>
                            <wps:wsp>
                              <wps:cNvPr id="163" name="自选图形 822"/>
                              <wps:cNvCnPr/>
                              <wps:spPr>
                                <a:xfrm>
                                  <a:off x="3213314" y="238158"/>
                                  <a:ext cx="635" cy="756391"/>
                                </a:xfrm>
                                <a:prstGeom prst="straightConnector1">
                                  <a:avLst/>
                                </a:prstGeom>
                                <a:ln w="9525" cap="flat" cmpd="sng">
                                  <a:solidFill>
                                    <a:srgbClr val="000000"/>
                                  </a:solidFill>
                                  <a:prstDash val="solid"/>
                                  <a:headEnd type="none" w="med" len="med"/>
                                  <a:tailEnd type="none" w="med" len="med"/>
                                </a:ln>
                              </wps:spPr>
                              <wps:bodyPr/>
                            </wps:wsp>
                            <wps:wsp>
                              <wps:cNvPr id="164" name="自选图形 823"/>
                              <wps:cNvCnPr/>
                              <wps:spPr>
                                <a:xfrm>
                                  <a:off x="3214584" y="233078"/>
                                  <a:ext cx="683940" cy="635"/>
                                </a:xfrm>
                                <a:prstGeom prst="straightConnector1">
                                  <a:avLst/>
                                </a:prstGeom>
                                <a:ln w="9525" cap="flat" cmpd="sng">
                                  <a:solidFill>
                                    <a:srgbClr val="000000"/>
                                  </a:solidFill>
                                  <a:prstDash val="solid"/>
                                  <a:headEnd type="none" w="med" len="med"/>
                                  <a:tailEnd type="triangle" w="sm" len="med"/>
                                </a:ln>
                              </wps:spPr>
                              <wps:bodyPr/>
                            </wps:wsp>
                            <wps:wsp>
                              <wps:cNvPr id="165" name="自选图形 824"/>
                              <wps:cNvCnPr/>
                              <wps:spPr>
                                <a:xfrm>
                                  <a:off x="3213949" y="992009"/>
                                  <a:ext cx="683940" cy="635"/>
                                </a:xfrm>
                                <a:prstGeom prst="straightConnector1">
                                  <a:avLst/>
                                </a:prstGeom>
                                <a:ln w="9525" cap="flat" cmpd="sng">
                                  <a:solidFill>
                                    <a:srgbClr val="000000"/>
                                  </a:solidFill>
                                  <a:prstDash val="solid"/>
                                  <a:headEnd type="none" w="med" len="med"/>
                                  <a:tailEnd type="triangle" w="sm" len="med"/>
                                </a:ln>
                              </wps:spPr>
                              <wps:bodyPr/>
                            </wps:wsp>
                            <wps:wsp>
                              <wps:cNvPr id="166" name="矩形 825"/>
                              <wps:cNvSpPr/>
                              <wps:spPr>
                                <a:xfrm>
                                  <a:off x="3886458" y="106695"/>
                                  <a:ext cx="904300" cy="21593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C9A410">
                                    <w:pPr>
                                      <w:snapToGrid w:val="0"/>
                                      <w:rPr>
                                        <w:rFonts w:hint="default"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废漆渣：</w:t>
                                    </w:r>
                                    <w:r>
                                      <w:rPr>
                                        <w:rFonts w:ascii="Times New Roman" w:hAnsi="Times New Roman" w:eastAsia="黑体" w:cs="Times New Roman"/>
                                        <w:color w:val="000000"/>
                                        <w:sz w:val="15"/>
                                        <w:szCs w:val="15"/>
                                      </w:rPr>
                                      <w:t>1.8</w:t>
                                    </w:r>
                                    <w:r>
                                      <w:rPr>
                                        <w:rFonts w:hint="eastAsia" w:ascii="Times New Roman" w:hAnsi="Times New Roman" w:eastAsia="黑体" w:cs="Times New Roman"/>
                                        <w:color w:val="000000"/>
                                        <w:sz w:val="15"/>
                                        <w:szCs w:val="15"/>
                                        <w:lang w:val="en-US" w:eastAsia="zh-CN"/>
                                      </w:rPr>
                                      <w:t>63</w:t>
                                    </w:r>
                                  </w:p>
                                  <w:p w14:paraId="40BC65BB">
                                    <w:pPr>
                                      <w:snapToGrid w:val="0"/>
                                      <w:rPr>
                                        <w:rFonts w:ascii="Times New Roman" w:hAnsi="Times New Roman" w:eastAsia="黑体" w:cs="Times New Roman"/>
                                        <w:sz w:val="15"/>
                                        <w:szCs w:val="15"/>
                                      </w:rPr>
                                    </w:pPr>
                                  </w:p>
                                  <w:p w14:paraId="319E066E">
                                    <w:pPr>
                                      <w:snapToGrid w:val="0"/>
                                      <w:rPr>
                                        <w:rFonts w:ascii="Times New Roman" w:hAnsi="Times New Roman" w:eastAsia="黑体" w:cs="Times New Roman"/>
                                        <w:sz w:val="15"/>
                                        <w:szCs w:val="15"/>
                                      </w:rPr>
                                    </w:pPr>
                                  </w:p>
                                </w:txbxContent>
                              </wps:txbx>
                              <wps:bodyPr upright="1"/>
                            </wps:wsp>
                            <wps:wsp>
                              <wps:cNvPr id="167" name="矩形 826"/>
                              <wps:cNvSpPr/>
                              <wps:spPr>
                                <a:xfrm>
                                  <a:off x="3897889" y="506166"/>
                                  <a:ext cx="892869" cy="21593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5F40C5">
                                    <w:pPr>
                                      <w:snapToGrid w:val="0"/>
                                      <w:rPr>
                                        <w:rFonts w:hint="default"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漆雾：</w:t>
                                    </w:r>
                                    <w:r>
                                      <w:rPr>
                                        <w:rFonts w:ascii="Times New Roman" w:hAnsi="Times New Roman" w:eastAsia="黑体" w:cs="Times New Roman"/>
                                        <w:color w:val="000000"/>
                                        <w:sz w:val="15"/>
                                        <w:szCs w:val="15"/>
                                      </w:rPr>
                                      <w:t>9.</w:t>
                                    </w:r>
                                    <w:r>
                                      <w:rPr>
                                        <w:rFonts w:hint="eastAsia" w:ascii="Times New Roman" w:hAnsi="Times New Roman" w:eastAsia="黑体" w:cs="Times New Roman"/>
                                        <w:color w:val="000000"/>
                                        <w:sz w:val="15"/>
                                        <w:szCs w:val="15"/>
                                        <w:lang w:val="en-US" w:eastAsia="zh-CN"/>
                                      </w:rPr>
                                      <w:t>315</w:t>
                                    </w:r>
                                  </w:p>
                                </w:txbxContent>
                              </wps:txbx>
                              <wps:bodyPr upright="1"/>
                            </wps:wsp>
                            <wps:wsp>
                              <wps:cNvPr id="168" name="矩形 827"/>
                              <wps:cNvSpPr/>
                              <wps:spPr>
                                <a:xfrm>
                                  <a:off x="3897889" y="885314"/>
                                  <a:ext cx="1095448" cy="21593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ABBFE5">
                                    <w:pPr>
                                      <w:snapToGrid w:val="0"/>
                                      <w:rPr>
                                        <w:rFonts w:hint="default" w:ascii="Times New Roman" w:hAnsi="Times New Roman" w:eastAsia="黑体" w:cs="Times New Roman"/>
                                        <w:sz w:val="15"/>
                                        <w:szCs w:val="15"/>
                                        <w:lang w:val="en-US" w:eastAsia="zh-CN"/>
                                      </w:rPr>
                                    </w:pPr>
                                    <w:r>
                                      <w:rPr>
                                        <w:rFonts w:hint="eastAsia" w:ascii="Times New Roman" w:hAnsi="Times New Roman" w:eastAsia="黑体" w:cs="Times New Roman"/>
                                        <w:color w:val="000000"/>
                                        <w:sz w:val="15"/>
                                        <w:szCs w:val="15"/>
                                      </w:rPr>
                                      <w:t>工件附着：</w:t>
                                    </w:r>
                                    <w:r>
                                      <w:rPr>
                                        <w:rFonts w:ascii="Times New Roman" w:hAnsi="Times New Roman" w:eastAsia="黑体" w:cs="Times New Roman"/>
                                        <w:color w:val="000000"/>
                                        <w:sz w:val="15"/>
                                        <w:szCs w:val="15"/>
                                      </w:rPr>
                                      <w:t>2</w:t>
                                    </w:r>
                                    <w:r>
                                      <w:rPr>
                                        <w:rFonts w:hint="eastAsia" w:ascii="Times New Roman" w:hAnsi="Times New Roman" w:eastAsia="黑体" w:cs="Times New Roman"/>
                                        <w:color w:val="000000"/>
                                        <w:sz w:val="15"/>
                                        <w:szCs w:val="15"/>
                                        <w:lang w:val="en-US" w:eastAsia="zh-CN"/>
                                      </w:rPr>
                                      <w:t>6.082</w:t>
                                    </w:r>
                                  </w:p>
                                </w:txbxContent>
                              </wps:txbx>
                              <wps:bodyPr upright="1"/>
                            </wps:wsp>
                            <wps:wsp>
                              <wps:cNvPr id="169" name="矩形 828"/>
                              <wps:cNvSpPr/>
                              <wps:spPr>
                                <a:xfrm>
                                  <a:off x="6569512" y="155597"/>
                                  <a:ext cx="1180544" cy="21593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5A830E">
                                    <w:pPr>
                                      <w:snapToGrid w:val="0"/>
                                      <w:rPr>
                                        <w:rFonts w:hint="default"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吸附的漆雾：</w:t>
                                    </w:r>
                                    <w:r>
                                      <w:rPr>
                                        <w:rFonts w:ascii="Times New Roman" w:hAnsi="Times New Roman" w:eastAsia="黑体" w:cs="Times New Roman"/>
                                        <w:color w:val="000000"/>
                                        <w:sz w:val="15"/>
                                        <w:szCs w:val="15"/>
                                      </w:rPr>
                                      <w:t>8.</w:t>
                                    </w:r>
                                    <w:r>
                                      <w:rPr>
                                        <w:rFonts w:hint="eastAsia" w:ascii="Times New Roman" w:hAnsi="Times New Roman" w:eastAsia="黑体" w:cs="Times New Roman"/>
                                        <w:color w:val="000000"/>
                                        <w:sz w:val="15"/>
                                        <w:szCs w:val="15"/>
                                        <w:lang w:val="en-US" w:eastAsia="zh-CN"/>
                                      </w:rPr>
                                      <w:t>80</w:t>
                                    </w:r>
                                  </w:p>
                                  <w:p w14:paraId="35020500">
                                    <w:pPr>
                                      <w:snapToGrid w:val="0"/>
                                      <w:rPr>
                                        <w:rFonts w:ascii="Times New Roman" w:hAnsi="Times New Roman" w:eastAsia="黑体" w:cs="Times New Roman"/>
                                        <w:sz w:val="15"/>
                                        <w:szCs w:val="15"/>
                                      </w:rPr>
                                    </w:pPr>
                                  </w:p>
                                </w:txbxContent>
                              </wps:txbx>
                              <wps:bodyPr upright="1"/>
                            </wps:wsp>
                            <wps:wsp>
                              <wps:cNvPr id="170" name="矩形 829"/>
                              <wps:cNvSpPr/>
                              <wps:spPr>
                                <a:xfrm>
                                  <a:off x="6597454" y="890395"/>
                                  <a:ext cx="856672" cy="21593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19C70B">
                                    <w:pPr>
                                      <w:snapToGrid w:val="0"/>
                                      <w:rPr>
                                        <w:rFonts w:hint="eastAsia"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无组织：</w:t>
                                    </w:r>
                                    <w:r>
                                      <w:rPr>
                                        <w:rFonts w:ascii="Times New Roman" w:hAnsi="Times New Roman" w:eastAsia="黑体" w:cs="Times New Roman"/>
                                        <w:color w:val="000000"/>
                                        <w:sz w:val="15"/>
                                        <w:szCs w:val="15"/>
                                      </w:rPr>
                                      <w:t>0.46</w:t>
                                    </w:r>
                                    <w:r>
                                      <w:rPr>
                                        <w:rFonts w:hint="eastAsia" w:ascii="Times New Roman" w:hAnsi="Times New Roman" w:eastAsia="黑体" w:cs="Times New Roman"/>
                                        <w:color w:val="000000"/>
                                        <w:sz w:val="15"/>
                                        <w:szCs w:val="15"/>
                                        <w:lang w:val="en-US" w:eastAsia="zh-CN"/>
                                      </w:rPr>
                                      <w:t>6</w:t>
                                    </w:r>
                                  </w:p>
                                  <w:p w14:paraId="6D86D93C">
                                    <w:pPr>
                                      <w:snapToGrid w:val="0"/>
                                      <w:rPr>
                                        <w:rFonts w:ascii="Times New Roman" w:hAnsi="Times New Roman" w:eastAsia="黑体" w:cs="Times New Roman"/>
                                        <w:sz w:val="15"/>
                                        <w:szCs w:val="15"/>
                                      </w:rPr>
                                    </w:pPr>
                                  </w:p>
                                </w:txbxContent>
                              </wps:txbx>
                              <wps:bodyPr upright="1"/>
                            </wps:wsp>
                            <wps:wsp>
                              <wps:cNvPr id="171" name="自选图形 830"/>
                              <wps:cNvCnPr/>
                              <wps:spPr>
                                <a:xfrm>
                                  <a:off x="1450436" y="2030380"/>
                                  <a:ext cx="504224" cy="635"/>
                                </a:xfrm>
                                <a:prstGeom prst="straightConnector1">
                                  <a:avLst/>
                                </a:prstGeom>
                                <a:ln w="9525" cap="flat" cmpd="sng">
                                  <a:solidFill>
                                    <a:srgbClr val="000000"/>
                                  </a:solidFill>
                                  <a:prstDash val="solid"/>
                                  <a:headEnd type="none" w="med" len="med"/>
                                  <a:tailEnd type="triangle" w="sm" len="med"/>
                                </a:ln>
                              </wps:spPr>
                              <wps:bodyPr/>
                            </wps:wsp>
                            <wps:wsp>
                              <wps:cNvPr id="172" name="矩形 831"/>
                              <wps:cNvSpPr/>
                              <wps:spPr>
                                <a:xfrm>
                                  <a:off x="1974346" y="2621648"/>
                                  <a:ext cx="705532" cy="36898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82699F">
                                    <w:pPr>
                                      <w:snapToGrid w:val="0"/>
                                      <w:jc w:val="center"/>
                                      <w:rPr>
                                        <w:rFonts w:ascii="Times New Roman" w:hAnsi="Times New Roman" w:eastAsia="黑体" w:cs="Times New Roman"/>
                                        <w:sz w:val="15"/>
                                        <w:szCs w:val="15"/>
                                      </w:rPr>
                                    </w:pPr>
                                    <w:r>
                                      <w:rPr>
                                        <w:rFonts w:hint="eastAsia" w:ascii="Times New Roman" w:hAnsi="Times New Roman" w:eastAsia="黑体" w:cs="Times New Roman"/>
                                        <w:sz w:val="15"/>
                                        <w:szCs w:val="15"/>
                                      </w:rPr>
                                      <w:t>非甲烷总烃</w:t>
                                    </w:r>
                                  </w:p>
                                  <w:p w14:paraId="600A77CB">
                                    <w:pPr>
                                      <w:snapToGrid w:val="0"/>
                                      <w:jc w:val="center"/>
                                      <w:rPr>
                                        <w:rFonts w:hint="eastAsia" w:ascii="Times New Roman" w:hAnsi="Times New Roman" w:eastAsia="黑体" w:cs="Times New Roman"/>
                                        <w:sz w:val="15"/>
                                        <w:szCs w:val="15"/>
                                        <w:lang w:val="en-US" w:eastAsia="zh-CN"/>
                                      </w:rPr>
                                    </w:pPr>
                                    <w:r>
                                      <w:rPr>
                                        <w:rFonts w:ascii="Times New Roman" w:hAnsi="Times New Roman" w:eastAsia="黑体" w:cs="Times New Roman"/>
                                        <w:sz w:val="15"/>
                                        <w:szCs w:val="15"/>
                                      </w:rPr>
                                      <w:t>0.86</w:t>
                                    </w:r>
                                    <w:r>
                                      <w:rPr>
                                        <w:rFonts w:hint="eastAsia" w:ascii="Times New Roman" w:hAnsi="Times New Roman" w:eastAsia="黑体" w:cs="Times New Roman"/>
                                        <w:sz w:val="15"/>
                                        <w:szCs w:val="15"/>
                                        <w:lang w:val="en-US" w:eastAsia="zh-CN"/>
                                      </w:rPr>
                                      <w:t>8</w:t>
                                    </w:r>
                                  </w:p>
                                </w:txbxContent>
                              </wps:txbx>
                              <wps:bodyPr upright="1"/>
                            </wps:wsp>
                            <wps:wsp>
                              <wps:cNvPr id="173" name="自选图形 832"/>
                              <wps:cNvCnPr/>
                              <wps:spPr>
                                <a:xfrm>
                                  <a:off x="2669718" y="2024029"/>
                                  <a:ext cx="1080207" cy="635"/>
                                </a:xfrm>
                                <a:prstGeom prst="straightConnector1">
                                  <a:avLst/>
                                </a:prstGeom>
                                <a:ln w="9525" cap="flat" cmpd="sng">
                                  <a:solidFill>
                                    <a:srgbClr val="000000"/>
                                  </a:solidFill>
                                  <a:prstDash val="solid"/>
                                  <a:headEnd type="none" w="med" len="med"/>
                                  <a:tailEnd type="triangle" w="sm" len="med"/>
                                </a:ln>
                              </wps:spPr>
                              <wps:bodyPr/>
                            </wps:wsp>
                            <wps:wsp>
                              <wps:cNvPr id="174" name="矩形 833"/>
                              <wps:cNvSpPr/>
                              <wps:spPr>
                                <a:xfrm>
                                  <a:off x="3746114" y="1810004"/>
                                  <a:ext cx="1087192" cy="38803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7CBD85">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0.041</w:t>
                                    </w:r>
                                  </w:p>
                                </w:txbxContent>
                              </wps:txbx>
                              <wps:bodyPr upright="1"/>
                            </wps:wsp>
                            <wps:wsp>
                              <wps:cNvPr id="175" name="矩形 834"/>
                              <wps:cNvSpPr/>
                              <wps:spPr>
                                <a:xfrm>
                                  <a:off x="3760085" y="1222547"/>
                                  <a:ext cx="1044009" cy="47123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98B23C">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无组织非甲烷总烃：</w:t>
                                    </w:r>
                                    <w:r>
                                      <w:rPr>
                                        <w:rFonts w:ascii="Times New Roman" w:hAnsi="Calibri" w:eastAsia="黑体" w:cs="Times New Roman"/>
                                        <w:color w:val="000000"/>
                                        <w:sz w:val="15"/>
                                        <w:szCs w:val="15"/>
                                      </w:rPr>
                                      <w:t>0.002</w:t>
                                    </w:r>
                                  </w:p>
                                </w:txbxContent>
                              </wps:txbx>
                              <wps:bodyPr upright="1"/>
                            </wps:wsp>
                            <wps:wsp>
                              <wps:cNvPr id="176" name="自选图形 835"/>
                              <wps:cNvCnPr/>
                              <wps:spPr>
                                <a:xfrm rot="-5400000">
                                  <a:off x="3302220" y="1563590"/>
                                  <a:ext cx="575983" cy="323895"/>
                                </a:xfrm>
                                <a:prstGeom prst="bentConnector2">
                                  <a:avLst/>
                                </a:prstGeom>
                                <a:ln w="9525" cap="flat" cmpd="sng">
                                  <a:solidFill>
                                    <a:srgbClr val="000000"/>
                                  </a:solidFill>
                                  <a:prstDash val="solid"/>
                                  <a:miter/>
                                  <a:headEnd type="none" w="med" len="med"/>
                                  <a:tailEnd type="triangle" w="sm" len="med"/>
                                </a:ln>
                              </wps:spPr>
                              <wps:bodyPr/>
                            </wps:wsp>
                            <wps:wsp>
                              <wps:cNvPr id="177" name="文本框 836"/>
                              <wps:cNvSpPr txBox="1"/>
                              <wps:spPr>
                                <a:xfrm>
                                  <a:off x="3360008" y="371527"/>
                                  <a:ext cx="462311" cy="364541"/>
                                </a:xfrm>
                                <a:prstGeom prst="rect">
                                  <a:avLst/>
                                </a:prstGeom>
                                <a:noFill/>
                                <a:ln>
                                  <a:noFill/>
                                </a:ln>
                              </wps:spPr>
                              <wps:txbx>
                                <w:txbxContent>
                                  <w:p w14:paraId="437C0001">
                                    <w:pPr>
                                      <w:rPr>
                                        <w:rFonts w:ascii="Times New Roman" w:hAnsi="Times New Roman" w:cs="Times New Roman"/>
                                        <w:color w:val="000000"/>
                                        <w:sz w:val="15"/>
                                        <w:szCs w:val="15"/>
                                      </w:rPr>
                                    </w:pPr>
                                    <w:r>
                                      <w:rPr>
                                        <w:rFonts w:ascii="Times New Roman" w:hAnsi="Times New Roman" w:eastAsia="宋体" w:cs="Times New Roman"/>
                                        <w:color w:val="000000"/>
                                        <w:sz w:val="15"/>
                                        <w:szCs w:val="15"/>
                                      </w:rPr>
                                      <w:t>25%</w:t>
                                    </w:r>
                                  </w:p>
                                </w:txbxContent>
                              </wps:txbx>
                              <wps:bodyPr upright="1"/>
                            </wps:wsp>
                            <wps:wsp>
                              <wps:cNvPr id="178" name="文本框 837"/>
                              <wps:cNvSpPr txBox="1"/>
                              <wps:spPr>
                                <a:xfrm>
                                  <a:off x="3339052" y="778619"/>
                                  <a:ext cx="462311" cy="364541"/>
                                </a:xfrm>
                                <a:prstGeom prst="rect">
                                  <a:avLst/>
                                </a:prstGeom>
                                <a:noFill/>
                                <a:ln>
                                  <a:noFill/>
                                </a:ln>
                              </wps:spPr>
                              <wps:txbx>
                                <w:txbxContent>
                                  <w:p w14:paraId="485E8326">
                                    <w:pPr>
                                      <w:rPr>
                                        <w:rFonts w:ascii="Times New Roman" w:hAnsi="Times New Roman" w:cs="Times New Roman"/>
                                        <w:color w:val="000000"/>
                                        <w:sz w:val="15"/>
                                        <w:szCs w:val="15"/>
                                      </w:rPr>
                                    </w:pPr>
                                    <w:r>
                                      <w:rPr>
                                        <w:rFonts w:ascii="Times New Roman" w:hAnsi="Times New Roman" w:eastAsia="宋体" w:cs="Times New Roman"/>
                                        <w:color w:val="000000"/>
                                        <w:sz w:val="15"/>
                                        <w:szCs w:val="15"/>
                                      </w:rPr>
                                      <w:t>70%</w:t>
                                    </w:r>
                                  </w:p>
                                </w:txbxContent>
                              </wps:txbx>
                              <wps:bodyPr upright="1"/>
                            </wps:wsp>
                            <wps:wsp>
                              <wps:cNvPr id="179" name="文本框 838"/>
                              <wps:cNvSpPr txBox="1"/>
                              <wps:spPr>
                                <a:xfrm>
                                  <a:off x="4740590" y="172109"/>
                                  <a:ext cx="1185624" cy="600159"/>
                                </a:xfrm>
                                <a:prstGeom prst="rect">
                                  <a:avLst/>
                                </a:prstGeom>
                                <a:noFill/>
                                <a:ln>
                                  <a:noFill/>
                                </a:ln>
                              </wps:spPr>
                              <wps:txbx>
                                <w:txbxContent>
                                  <w:p w14:paraId="68A237A3">
                                    <w:pPr>
                                      <w:snapToGrid w:val="0"/>
                                      <w:jc w:val="center"/>
                                      <w:rPr>
                                        <w:rFonts w:ascii="Times New Roman" w:hAnsi="Times New Roman" w:eastAsia="黑体" w:cs="Times New Roman"/>
                                        <w:color w:val="000000"/>
                                        <w:sz w:val="15"/>
                                        <w:szCs w:val="15"/>
                                      </w:rPr>
                                    </w:pPr>
                                    <w:r>
                                      <w:rPr>
                                        <w:rFonts w:hint="eastAsia" w:ascii="Times New Roman" w:hAnsi="Times New Roman" w:eastAsia="黑体" w:cs="Times New Roman"/>
                                        <w:color w:val="000000"/>
                                        <w:sz w:val="15"/>
                                        <w:szCs w:val="15"/>
                                      </w:rPr>
                                      <w:t>负压收集、水帘</w:t>
                                    </w:r>
                                    <w:r>
                                      <w:rPr>
                                        <w:rFonts w:ascii="Times New Roman" w:hAnsi="Times New Roman" w:eastAsia="黑体" w:cs="Times New Roman"/>
                                        <w:color w:val="000000"/>
                                        <w:sz w:val="15"/>
                                        <w:szCs w:val="15"/>
                                      </w:rPr>
                                      <w:t>+</w:t>
                                    </w:r>
                                    <w:r>
                                      <w:rPr>
                                        <w:rFonts w:hint="eastAsia" w:ascii="Times New Roman" w:hAnsi="Times New Roman" w:eastAsia="黑体" w:cs="Times New Roman"/>
                                        <w:color w:val="000000"/>
                                        <w:sz w:val="15"/>
                                        <w:szCs w:val="15"/>
                                      </w:rPr>
                                      <w:t>两级过滤棉（收集效率</w:t>
                                    </w:r>
                                    <w:r>
                                      <w:rPr>
                                        <w:rFonts w:ascii="Times New Roman" w:hAnsi="Times New Roman" w:eastAsia="黑体" w:cs="Times New Roman"/>
                                        <w:color w:val="000000"/>
                                        <w:sz w:val="15"/>
                                        <w:szCs w:val="15"/>
                                      </w:rPr>
                                      <w:t>95%</w:t>
                                    </w:r>
                                    <w:r>
                                      <w:rPr>
                                        <w:rFonts w:hint="eastAsia" w:ascii="Times New Roman" w:hAnsi="Calibri" w:eastAsia="黑体" w:cs="Times New Roman"/>
                                        <w:color w:val="000000"/>
                                        <w:sz w:val="15"/>
                                        <w:szCs w:val="15"/>
                                      </w:rPr>
                                      <w:t>、净化效率</w:t>
                                    </w:r>
                                    <w:r>
                                      <w:rPr>
                                        <w:rFonts w:ascii="Times New Roman" w:hAnsi="Times New Roman" w:eastAsia="黑体" w:cs="Times New Roman"/>
                                        <w:color w:val="000000"/>
                                        <w:sz w:val="15"/>
                                        <w:szCs w:val="15"/>
                                      </w:rPr>
                                      <w:t>99.4%</w:t>
                                    </w:r>
                                    <w:r>
                                      <w:rPr>
                                        <w:rFonts w:hint="eastAsia" w:ascii="Times New Roman" w:hAnsi="Times New Roman" w:eastAsia="黑体" w:cs="Times New Roman"/>
                                        <w:color w:val="000000"/>
                                        <w:sz w:val="15"/>
                                        <w:szCs w:val="15"/>
                                      </w:rPr>
                                      <w:t>）</w:t>
                                    </w:r>
                                  </w:p>
                                </w:txbxContent>
                              </wps:txbx>
                              <wps:bodyPr upright="1"/>
                            </wps:wsp>
                            <wps:wsp>
                              <wps:cNvPr id="180" name="文本框 839"/>
                              <wps:cNvSpPr txBox="1"/>
                              <wps:spPr>
                                <a:xfrm>
                                  <a:off x="1418049" y="2647052"/>
                                  <a:ext cx="738554" cy="290871"/>
                                </a:xfrm>
                                <a:prstGeom prst="rect">
                                  <a:avLst/>
                                </a:prstGeom>
                                <a:noFill/>
                                <a:ln>
                                  <a:noFill/>
                                </a:ln>
                              </wps:spPr>
                              <wps:txbx>
                                <w:txbxContent>
                                  <w:p w14:paraId="175CE7C6">
                                    <w:pPr>
                                      <w:rPr>
                                        <w:rFonts w:ascii="Times New Roman" w:hAnsi="Times New Roman" w:eastAsia="黑体" w:cs="Times New Roman"/>
                                        <w:sz w:val="15"/>
                                        <w:szCs w:val="15"/>
                                      </w:rPr>
                                    </w:pPr>
                                    <w:r>
                                      <w:rPr>
                                        <w:rFonts w:ascii="Times New Roman" w:hAnsi="Times New Roman" w:eastAsia="黑体" w:cs="Times New Roman"/>
                                        <w:sz w:val="15"/>
                                        <w:szCs w:val="15"/>
                                      </w:rPr>
                                      <w:t>40%</w:t>
                                    </w:r>
                                    <w:r>
                                      <w:rPr>
                                        <w:rFonts w:hint="eastAsia" w:ascii="Times New Roman" w:hAnsi="Times New Roman" w:eastAsia="黑体" w:cs="Times New Roman"/>
                                        <w:sz w:val="15"/>
                                        <w:szCs w:val="15"/>
                                      </w:rPr>
                                      <w:t>喷漆</w:t>
                                    </w:r>
                                  </w:p>
                                </w:txbxContent>
                              </wps:txbx>
                              <wps:bodyPr upright="1"/>
                            </wps:wsp>
                            <wps:wsp>
                              <wps:cNvPr id="181" name="矩形 840"/>
                              <wps:cNvSpPr/>
                              <wps:spPr>
                                <a:xfrm>
                                  <a:off x="118118" y="2725803"/>
                                  <a:ext cx="1005907" cy="37025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FD348D3">
                                    <w:pPr>
                                      <w:snapToGrid w:val="0"/>
                                      <w:jc w:val="center"/>
                                      <w:rPr>
                                        <w:rFonts w:hint="default"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挥发份：</w:t>
                                    </w:r>
                                    <w:r>
                                      <w:rPr>
                                        <w:rFonts w:ascii="Times New Roman" w:hAnsi="Times New Roman" w:eastAsia="黑体" w:cs="Times New Roman"/>
                                        <w:color w:val="000000"/>
                                        <w:sz w:val="15"/>
                                        <w:szCs w:val="15"/>
                                      </w:rPr>
                                      <w:t>2.1</w:t>
                                    </w:r>
                                    <w:r>
                                      <w:rPr>
                                        <w:rFonts w:hint="eastAsia" w:ascii="Times New Roman" w:hAnsi="Times New Roman" w:eastAsia="黑体" w:cs="Times New Roman"/>
                                        <w:color w:val="000000"/>
                                        <w:sz w:val="15"/>
                                        <w:szCs w:val="15"/>
                                        <w:lang w:val="en-US" w:eastAsia="zh-CN"/>
                                      </w:rPr>
                                      <w:t>71</w:t>
                                    </w:r>
                                  </w:p>
                                </w:txbxContent>
                              </wps:txbx>
                              <wps:bodyPr upright="1"/>
                            </wps:wsp>
                            <wps:wsp>
                              <wps:cNvPr id="182" name="文本框 841"/>
                              <wps:cNvSpPr txBox="1"/>
                              <wps:spPr>
                                <a:xfrm>
                                  <a:off x="2630345" y="1733794"/>
                                  <a:ext cx="828095" cy="464250"/>
                                </a:xfrm>
                                <a:prstGeom prst="rect">
                                  <a:avLst/>
                                </a:prstGeom>
                                <a:noFill/>
                                <a:ln>
                                  <a:noFill/>
                                </a:ln>
                              </wps:spPr>
                              <wps:txbx>
                                <w:txbxContent>
                                  <w:p w14:paraId="30C7A908">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负压收集（收集效率</w:t>
                                    </w:r>
                                    <w:r>
                                      <w:rPr>
                                        <w:rFonts w:ascii="Times New Roman" w:hAnsi="Calibri" w:eastAsia="黑体" w:cs="Times New Roman"/>
                                        <w:color w:val="000000"/>
                                        <w:sz w:val="15"/>
                                        <w:szCs w:val="15"/>
                                      </w:rPr>
                                      <w:t>95%</w:t>
                                    </w:r>
                                    <w:r>
                                      <w:rPr>
                                        <w:rFonts w:hint="eastAsia" w:ascii="Times New Roman" w:hAnsi="Calibri" w:eastAsia="黑体" w:cs="Times New Roman"/>
                                        <w:color w:val="000000"/>
                                        <w:sz w:val="15"/>
                                        <w:szCs w:val="15"/>
                                      </w:rPr>
                                      <w:t>）</w:t>
                                    </w:r>
                                  </w:p>
                                  <w:p w14:paraId="4313774E"/>
                                </w:txbxContent>
                              </wps:txbx>
                              <wps:bodyPr upright="1"/>
                            </wps:wsp>
                            <wps:wsp>
                              <wps:cNvPr id="183" name="自选图形 842"/>
                              <wps:cNvCnPr/>
                              <wps:spPr>
                                <a:xfrm rot="5400000">
                                  <a:off x="7812290" y="1086003"/>
                                  <a:ext cx="1223091" cy="222916"/>
                                </a:xfrm>
                                <a:prstGeom prst="bentConnector2">
                                  <a:avLst/>
                                </a:prstGeom>
                                <a:ln w="9525" cap="flat" cmpd="sng">
                                  <a:solidFill>
                                    <a:srgbClr val="000000"/>
                                  </a:solidFill>
                                  <a:prstDash val="solid"/>
                                  <a:miter/>
                                  <a:headEnd type="none" w="med" len="med"/>
                                  <a:tailEnd type="triangle" w="sm" len="med"/>
                                </a:ln>
                              </wps:spPr>
                              <wps:bodyPr/>
                            </wps:wsp>
                            <wps:wsp>
                              <wps:cNvPr id="184" name="文本框 843"/>
                              <wps:cNvSpPr txBox="1"/>
                              <wps:spPr>
                                <a:xfrm>
                                  <a:off x="3380330" y="0"/>
                                  <a:ext cx="462311" cy="364541"/>
                                </a:xfrm>
                                <a:prstGeom prst="rect">
                                  <a:avLst/>
                                </a:prstGeom>
                                <a:noFill/>
                                <a:ln>
                                  <a:noFill/>
                                </a:ln>
                              </wps:spPr>
                              <wps:txbx>
                                <w:txbxContent>
                                  <w:p w14:paraId="78CE3802">
                                    <w:pPr>
                                      <w:rPr>
                                        <w:rFonts w:ascii="Times New Roman" w:hAnsi="Times New Roman" w:cs="Times New Roman"/>
                                        <w:color w:val="000000"/>
                                        <w:sz w:val="15"/>
                                        <w:szCs w:val="15"/>
                                      </w:rPr>
                                    </w:pPr>
                                    <w:r>
                                      <w:rPr>
                                        <w:rFonts w:ascii="Times New Roman" w:hAnsi="Times New Roman" w:eastAsia="宋体" w:cs="Times New Roman"/>
                                        <w:color w:val="000000"/>
                                        <w:sz w:val="15"/>
                                        <w:szCs w:val="15"/>
                                      </w:rPr>
                                      <w:t>5%</w:t>
                                    </w:r>
                                  </w:p>
                                </w:txbxContent>
                              </wps:txbx>
                              <wps:bodyPr upright="1"/>
                            </wps:wsp>
                            <wps:wsp>
                              <wps:cNvPr id="185" name="自选图形 844"/>
                              <wps:cNvCnPr/>
                              <wps:spPr>
                                <a:xfrm>
                                  <a:off x="5884936" y="264197"/>
                                  <a:ext cx="635" cy="756391"/>
                                </a:xfrm>
                                <a:prstGeom prst="straightConnector1">
                                  <a:avLst/>
                                </a:prstGeom>
                                <a:ln w="9525" cap="flat" cmpd="sng">
                                  <a:solidFill>
                                    <a:srgbClr val="000000"/>
                                  </a:solidFill>
                                  <a:prstDash val="solid"/>
                                  <a:headEnd type="none" w="med" len="med"/>
                                  <a:tailEnd type="none" w="med" len="med"/>
                                </a:ln>
                              </wps:spPr>
                              <wps:bodyPr/>
                            </wps:wsp>
                            <wps:wsp>
                              <wps:cNvPr id="186" name="自选图形 845"/>
                              <wps:cNvCnPr/>
                              <wps:spPr>
                                <a:xfrm>
                                  <a:off x="5886206" y="259116"/>
                                  <a:ext cx="683940" cy="635"/>
                                </a:xfrm>
                                <a:prstGeom prst="straightConnector1">
                                  <a:avLst/>
                                </a:prstGeom>
                                <a:ln w="9525" cap="flat" cmpd="sng">
                                  <a:solidFill>
                                    <a:srgbClr val="000000"/>
                                  </a:solidFill>
                                  <a:prstDash val="solid"/>
                                  <a:headEnd type="none" w="med" len="med"/>
                                  <a:tailEnd type="triangle" w="sm" len="med"/>
                                </a:ln>
                              </wps:spPr>
                              <wps:bodyPr/>
                            </wps:wsp>
                            <wps:wsp>
                              <wps:cNvPr id="187" name="自选图形 846"/>
                              <wps:cNvCnPr/>
                              <wps:spPr>
                                <a:xfrm>
                                  <a:off x="5885571" y="1018048"/>
                                  <a:ext cx="683940" cy="635"/>
                                </a:xfrm>
                                <a:prstGeom prst="straightConnector1">
                                  <a:avLst/>
                                </a:prstGeom>
                                <a:ln w="9525" cap="flat" cmpd="sng">
                                  <a:solidFill>
                                    <a:srgbClr val="000000"/>
                                  </a:solidFill>
                                  <a:prstDash val="solid"/>
                                  <a:headEnd type="none" w="med" len="med"/>
                                  <a:tailEnd type="triangle" w="sm" len="med"/>
                                </a:ln>
                              </wps:spPr>
                              <wps:bodyPr/>
                            </wps:wsp>
                            <wps:wsp>
                              <wps:cNvPr id="188" name="自选图形 847"/>
                              <wps:cNvCnPr/>
                              <wps:spPr>
                                <a:xfrm flipV="1">
                                  <a:off x="4803459" y="598889"/>
                                  <a:ext cx="3725158" cy="635"/>
                                </a:xfrm>
                                <a:prstGeom prst="straightConnector1">
                                  <a:avLst/>
                                </a:prstGeom>
                                <a:ln w="9525" cap="flat" cmpd="sng">
                                  <a:solidFill>
                                    <a:srgbClr val="000000"/>
                                  </a:solidFill>
                                  <a:prstDash val="solid"/>
                                  <a:headEnd type="none" w="med" len="med"/>
                                  <a:tailEnd type="none" w="med" len="med"/>
                                </a:ln>
                              </wps:spPr>
                              <wps:bodyPr/>
                            </wps:wsp>
                            <wps:wsp>
                              <wps:cNvPr id="189" name="自选图形 848"/>
                              <wps:cNvCnPr/>
                              <wps:spPr>
                                <a:xfrm>
                                  <a:off x="1450436" y="2042447"/>
                                  <a:ext cx="5080" cy="1717916"/>
                                </a:xfrm>
                                <a:prstGeom prst="straightConnector1">
                                  <a:avLst/>
                                </a:prstGeom>
                                <a:ln w="9525" cap="flat" cmpd="sng">
                                  <a:solidFill>
                                    <a:srgbClr val="000000"/>
                                  </a:solidFill>
                                  <a:prstDash val="solid"/>
                                  <a:headEnd type="none" w="med" len="med"/>
                                  <a:tailEnd type="none" w="med" len="med"/>
                                </a:ln>
                              </wps:spPr>
                              <wps:bodyPr/>
                            </wps:wsp>
                            <wps:wsp>
                              <wps:cNvPr id="190" name="矩形 849"/>
                              <wps:cNvSpPr/>
                              <wps:spPr>
                                <a:xfrm>
                                  <a:off x="1967361" y="3559675"/>
                                  <a:ext cx="704897" cy="43630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2AE320">
                                    <w:pPr>
                                      <w:snapToGrid w:val="0"/>
                                      <w:jc w:val="center"/>
                                      <w:rPr>
                                        <w:rFonts w:ascii="Times New Roman" w:hAnsi="Times New Roman" w:eastAsia="黑体" w:cs="Times New Roman"/>
                                        <w:color w:val="000000"/>
                                        <w:sz w:val="15"/>
                                        <w:szCs w:val="15"/>
                                      </w:rPr>
                                    </w:pPr>
                                    <w:r>
                                      <w:rPr>
                                        <w:rFonts w:hint="eastAsia" w:ascii="Times New Roman" w:hAnsi="Times New Roman" w:eastAsia="黑体" w:cs="Times New Roman"/>
                                        <w:color w:val="000000"/>
                                        <w:sz w:val="15"/>
                                        <w:szCs w:val="15"/>
                                      </w:rPr>
                                      <w:t>非甲烷总烃</w:t>
                                    </w:r>
                                  </w:p>
                                  <w:p w14:paraId="5A7B7FD3">
                                    <w:pPr>
                                      <w:snapToGrid w:val="0"/>
                                      <w:jc w:val="center"/>
                                      <w:rPr>
                                        <w:rFonts w:hint="default" w:ascii="Times New Roman" w:hAnsi="Times New Roman" w:eastAsia="黑体" w:cs="Times New Roman"/>
                                        <w:color w:val="000000"/>
                                        <w:sz w:val="15"/>
                                        <w:szCs w:val="15"/>
                                        <w:lang w:val="en-US" w:eastAsia="zh-CN"/>
                                      </w:rPr>
                                    </w:pPr>
                                    <w:r>
                                      <w:rPr>
                                        <w:rFonts w:ascii="Times New Roman" w:hAnsi="Times New Roman" w:eastAsia="黑体" w:cs="Times New Roman"/>
                                        <w:color w:val="000000"/>
                                        <w:sz w:val="15"/>
                                        <w:szCs w:val="15"/>
                                      </w:rPr>
                                      <w:t>1.2</w:t>
                                    </w:r>
                                    <w:r>
                                      <w:rPr>
                                        <w:rFonts w:hint="eastAsia" w:ascii="Times New Roman" w:hAnsi="Times New Roman" w:eastAsia="黑体" w:cs="Times New Roman"/>
                                        <w:color w:val="000000"/>
                                        <w:sz w:val="15"/>
                                        <w:szCs w:val="15"/>
                                        <w:lang w:val="en-US" w:eastAsia="zh-CN"/>
                                      </w:rPr>
                                      <w:t>59</w:t>
                                    </w:r>
                                  </w:p>
                                </w:txbxContent>
                              </wps:txbx>
                              <wps:bodyPr upright="1"/>
                            </wps:wsp>
                            <wps:wsp>
                              <wps:cNvPr id="191" name="自选图形 850"/>
                              <wps:cNvCnPr/>
                              <wps:spPr>
                                <a:xfrm>
                                  <a:off x="1455517" y="3772430"/>
                                  <a:ext cx="504224" cy="635"/>
                                </a:xfrm>
                                <a:prstGeom prst="straightConnector1">
                                  <a:avLst/>
                                </a:prstGeom>
                                <a:ln w="9525" cap="flat" cmpd="sng">
                                  <a:solidFill>
                                    <a:srgbClr val="000000"/>
                                  </a:solidFill>
                                  <a:prstDash val="solid"/>
                                  <a:headEnd type="none" w="med" len="med"/>
                                  <a:tailEnd type="triangle" w="sm" len="med"/>
                                </a:ln>
                              </wps:spPr>
                              <wps:bodyPr/>
                            </wps:wsp>
                            <wps:wsp>
                              <wps:cNvPr id="192" name="文本框 851"/>
                              <wps:cNvSpPr txBox="1"/>
                              <wps:spPr>
                                <a:xfrm>
                                  <a:off x="1463137" y="3565391"/>
                                  <a:ext cx="591859" cy="290871"/>
                                </a:xfrm>
                                <a:prstGeom prst="rect">
                                  <a:avLst/>
                                </a:prstGeom>
                                <a:noFill/>
                                <a:ln>
                                  <a:noFill/>
                                </a:ln>
                              </wps:spPr>
                              <wps:txbx>
                                <w:txbxContent>
                                  <w:p w14:paraId="1BBE9B14">
                                    <w:pPr>
                                      <w:rPr>
                                        <w:rFonts w:ascii="Times New Roman" w:hAnsi="Times New Roman" w:eastAsia="黑体" w:cs="Times New Roman"/>
                                        <w:color w:val="000000"/>
                                        <w:sz w:val="15"/>
                                        <w:szCs w:val="15"/>
                                      </w:rPr>
                                    </w:pPr>
                                    <w:r>
                                      <w:rPr>
                                        <w:rFonts w:ascii="Times New Roman" w:hAnsi="Times New Roman" w:eastAsia="黑体" w:cs="Times New Roman"/>
                                        <w:color w:val="000000"/>
                                        <w:sz w:val="15"/>
                                        <w:szCs w:val="15"/>
                                      </w:rPr>
                                      <w:t>58%</w:t>
                                    </w:r>
                                    <w:r>
                                      <w:rPr>
                                        <w:rFonts w:hint="eastAsia" w:ascii="Times New Roman" w:hAnsi="Times New Roman" w:eastAsia="黑体" w:cs="Times New Roman"/>
                                        <w:color w:val="000000"/>
                                        <w:sz w:val="15"/>
                                        <w:szCs w:val="15"/>
                                      </w:rPr>
                                      <w:t>烘干</w:t>
                                    </w:r>
                                  </w:p>
                                </w:txbxContent>
                              </wps:txbx>
                              <wps:bodyPr upright="1"/>
                            </wps:wsp>
                            <wps:wsp>
                              <wps:cNvPr id="193" name="自选图形 852"/>
                              <wps:cNvCnPr/>
                              <wps:spPr>
                                <a:xfrm>
                                  <a:off x="2672258" y="3958511"/>
                                  <a:ext cx="1080207" cy="635"/>
                                </a:xfrm>
                                <a:prstGeom prst="straightConnector1">
                                  <a:avLst/>
                                </a:prstGeom>
                                <a:ln w="9525" cap="flat" cmpd="sng">
                                  <a:solidFill>
                                    <a:srgbClr val="000000"/>
                                  </a:solidFill>
                                  <a:prstDash val="solid"/>
                                  <a:headEnd type="none" w="med" len="med"/>
                                  <a:tailEnd type="triangle" w="sm" len="med"/>
                                </a:ln>
                              </wps:spPr>
                              <wps:bodyPr/>
                            </wps:wsp>
                            <wps:wsp>
                              <wps:cNvPr id="194" name="矩形 853"/>
                              <wps:cNvSpPr/>
                              <wps:spPr>
                                <a:xfrm>
                                  <a:off x="3760085" y="3738770"/>
                                  <a:ext cx="1044009" cy="4420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8D44EB">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非甲烷总烃</w:t>
                                    </w:r>
                                  </w:p>
                                  <w:p w14:paraId="585A9362">
                                    <w:pPr>
                                      <w:snapToGrid w:val="0"/>
                                      <w:jc w:val="center"/>
                                      <w:rPr>
                                        <w:rFonts w:hint="default" w:ascii="Times New Roman" w:hAnsi="Calibri" w:eastAsia="黑体" w:cs="Times New Roman"/>
                                        <w:color w:val="000000"/>
                                        <w:sz w:val="15"/>
                                        <w:szCs w:val="15"/>
                                        <w:lang w:val="en-US" w:eastAsia="zh-CN"/>
                                      </w:rPr>
                                    </w:pPr>
                                    <w:r>
                                      <w:rPr>
                                        <w:rFonts w:ascii="Times New Roman" w:hAnsi="Calibri" w:eastAsia="黑体" w:cs="Times New Roman"/>
                                        <w:color w:val="000000"/>
                                        <w:sz w:val="15"/>
                                        <w:szCs w:val="15"/>
                                      </w:rPr>
                                      <w:t>1.2</w:t>
                                    </w:r>
                                    <w:r>
                                      <w:rPr>
                                        <w:rFonts w:hint="eastAsia" w:ascii="Times New Roman" w:hAnsi="Calibri" w:eastAsia="黑体" w:cs="Times New Roman"/>
                                        <w:color w:val="000000"/>
                                        <w:sz w:val="15"/>
                                        <w:szCs w:val="15"/>
                                        <w:lang w:val="en-US" w:eastAsia="zh-CN"/>
                                      </w:rPr>
                                      <w:t>59</w:t>
                                    </w:r>
                                  </w:p>
                                </w:txbxContent>
                              </wps:txbx>
                              <wps:bodyPr upright="1"/>
                            </wps:wsp>
                            <wps:wsp>
                              <wps:cNvPr id="195" name="文本框 854"/>
                              <wps:cNvSpPr txBox="1"/>
                              <wps:spPr>
                                <a:xfrm>
                                  <a:off x="2641141" y="3668275"/>
                                  <a:ext cx="828095" cy="364541"/>
                                </a:xfrm>
                                <a:prstGeom prst="rect">
                                  <a:avLst/>
                                </a:prstGeom>
                                <a:noFill/>
                                <a:ln>
                                  <a:noFill/>
                                </a:ln>
                              </wps:spPr>
                              <wps:txbx>
                                <w:txbxContent>
                                  <w:p w14:paraId="1A03E9E2">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管道收集（收集效率</w:t>
                                    </w:r>
                                    <w:r>
                                      <w:rPr>
                                        <w:rFonts w:ascii="Times New Roman" w:hAnsi="Calibri" w:eastAsia="黑体" w:cs="Times New Roman"/>
                                        <w:color w:val="000000"/>
                                        <w:sz w:val="15"/>
                                        <w:szCs w:val="15"/>
                                      </w:rPr>
                                      <w:t>100%</w:t>
                                    </w:r>
                                    <w:r>
                                      <w:rPr>
                                        <w:rFonts w:hint="eastAsia" w:ascii="Times New Roman" w:hAnsi="Calibri" w:eastAsia="黑体" w:cs="Times New Roman"/>
                                        <w:color w:val="000000"/>
                                        <w:sz w:val="15"/>
                                        <w:szCs w:val="15"/>
                                      </w:rPr>
                                      <w:t>）</w:t>
                                    </w:r>
                                  </w:p>
                                  <w:p w14:paraId="5479AD2D">
                                    <w:pPr>
                                      <w:rPr>
                                        <w:szCs w:val="15"/>
                                      </w:rPr>
                                    </w:pPr>
                                  </w:p>
                                </w:txbxContent>
                              </wps:txbx>
                              <wps:bodyPr upright="1"/>
                            </wps:wsp>
                            <wps:wsp>
                              <wps:cNvPr id="196" name="自选图形 855"/>
                              <wps:cNvCnPr/>
                              <wps:spPr>
                                <a:xfrm>
                                  <a:off x="4794569" y="3957241"/>
                                  <a:ext cx="956374" cy="635"/>
                                </a:xfrm>
                                <a:prstGeom prst="straightConnector1">
                                  <a:avLst/>
                                </a:prstGeom>
                                <a:ln w="9525" cap="flat" cmpd="sng">
                                  <a:solidFill>
                                    <a:srgbClr val="000000"/>
                                  </a:solidFill>
                                  <a:prstDash val="solid"/>
                                  <a:headEnd type="none" w="med" len="med"/>
                                  <a:tailEnd type="triangle" w="sm" len="med"/>
                                </a:ln>
                              </wps:spPr>
                              <wps:bodyPr/>
                            </wps:wsp>
                            <wps:wsp>
                              <wps:cNvPr id="197" name="文本框 856"/>
                              <wps:cNvSpPr txBox="1"/>
                              <wps:spPr>
                                <a:xfrm>
                                  <a:off x="4833306" y="1680446"/>
                                  <a:ext cx="817299" cy="350569"/>
                                </a:xfrm>
                                <a:prstGeom prst="rect">
                                  <a:avLst/>
                                </a:prstGeom>
                                <a:noFill/>
                                <a:ln>
                                  <a:noFill/>
                                </a:ln>
                              </wps:spPr>
                              <wps:txbx>
                                <w:txbxContent>
                                  <w:p w14:paraId="4A2A9FD6">
                                    <w:pPr>
                                      <w:snapToGrid w:val="0"/>
                                      <w:jc w:val="center"/>
                                      <w:rPr>
                                        <w:rFonts w:ascii="Times New Roman" w:hAnsi="Times New Roman" w:eastAsia="黑体" w:cs="Times New Roman"/>
                                        <w:color w:val="000000"/>
                                        <w:sz w:val="15"/>
                                        <w:szCs w:val="15"/>
                                      </w:rPr>
                                    </w:pPr>
                                    <w:r>
                                      <w:rPr>
                                        <w:rFonts w:hint="eastAsia" w:ascii="Times New Roman" w:hAnsi="Calibri" w:eastAsia="黑体" w:cs="Times New Roman"/>
                                        <w:color w:val="000000"/>
                                        <w:sz w:val="15"/>
                                        <w:szCs w:val="15"/>
                                      </w:rPr>
                                      <w:t>活性炭吸附</w:t>
                                    </w:r>
                                    <w:r>
                                      <w:rPr>
                                        <w:rFonts w:hint="eastAsia" w:ascii="Times New Roman" w:hAnsi="Times New Roman" w:eastAsia="黑体" w:cs="Times New Roman"/>
                                        <w:color w:val="000000"/>
                                        <w:sz w:val="15"/>
                                        <w:szCs w:val="15"/>
                                      </w:rPr>
                                      <w:t>（</w:t>
                                    </w:r>
                                    <w:r>
                                      <w:rPr>
                                        <w:rFonts w:hint="eastAsia" w:ascii="Times New Roman" w:hAnsi="Calibri" w:eastAsia="黑体" w:cs="Times New Roman"/>
                                        <w:color w:val="000000"/>
                                        <w:sz w:val="15"/>
                                        <w:szCs w:val="15"/>
                                      </w:rPr>
                                      <w:t>净化效率</w:t>
                                    </w:r>
                                    <w:r>
                                      <w:rPr>
                                        <w:rFonts w:ascii="Times New Roman" w:hAnsi="Times New Roman" w:eastAsia="黑体" w:cs="Times New Roman"/>
                                        <w:color w:val="000000"/>
                                        <w:sz w:val="15"/>
                                        <w:szCs w:val="15"/>
                                      </w:rPr>
                                      <w:t>90%</w:t>
                                    </w:r>
                                    <w:r>
                                      <w:rPr>
                                        <w:rFonts w:hint="eastAsia" w:ascii="Times New Roman" w:hAnsi="Times New Roman" w:eastAsia="黑体" w:cs="Times New Roman"/>
                                        <w:color w:val="000000"/>
                                        <w:sz w:val="15"/>
                                        <w:szCs w:val="15"/>
                                      </w:rPr>
                                      <w:t>）</w:t>
                                    </w:r>
                                  </w:p>
                                </w:txbxContent>
                              </wps:txbx>
                              <wps:bodyPr upright="1"/>
                            </wps:wsp>
                            <wps:wsp>
                              <wps:cNvPr id="198" name="文本框 857"/>
                              <wps:cNvSpPr txBox="1"/>
                              <wps:spPr>
                                <a:xfrm>
                                  <a:off x="4792664" y="3657479"/>
                                  <a:ext cx="817299" cy="350569"/>
                                </a:xfrm>
                                <a:prstGeom prst="rect">
                                  <a:avLst/>
                                </a:prstGeom>
                                <a:noFill/>
                                <a:ln>
                                  <a:noFill/>
                                </a:ln>
                              </wps:spPr>
                              <wps:txbx>
                                <w:txbxContent>
                                  <w:p w14:paraId="5CA99213">
                                    <w:pPr>
                                      <w:snapToGrid w:val="0"/>
                                      <w:jc w:val="center"/>
                                      <w:rPr>
                                        <w:rFonts w:ascii="Times New Roman" w:hAnsi="Times New Roman" w:eastAsia="黑体" w:cs="Times New Roman"/>
                                        <w:color w:val="000000"/>
                                        <w:sz w:val="15"/>
                                        <w:szCs w:val="15"/>
                                      </w:rPr>
                                    </w:pPr>
                                    <w:r>
                                      <w:rPr>
                                        <w:rFonts w:hint="eastAsia" w:ascii="Times New Roman" w:hAnsi="Calibri" w:eastAsia="黑体" w:cs="Times New Roman"/>
                                        <w:color w:val="000000"/>
                                        <w:sz w:val="15"/>
                                        <w:szCs w:val="15"/>
                                      </w:rPr>
                                      <w:t>活性炭吸附</w:t>
                                    </w:r>
                                    <w:r>
                                      <w:rPr>
                                        <w:rFonts w:hint="eastAsia" w:ascii="Times New Roman" w:hAnsi="Times New Roman" w:eastAsia="黑体" w:cs="Times New Roman"/>
                                        <w:color w:val="000000"/>
                                        <w:sz w:val="15"/>
                                        <w:szCs w:val="15"/>
                                      </w:rPr>
                                      <w:t>（</w:t>
                                    </w:r>
                                    <w:r>
                                      <w:rPr>
                                        <w:rFonts w:hint="eastAsia" w:ascii="Times New Roman" w:hAnsi="Calibri" w:eastAsia="黑体" w:cs="Times New Roman"/>
                                        <w:color w:val="000000"/>
                                        <w:sz w:val="15"/>
                                        <w:szCs w:val="15"/>
                                      </w:rPr>
                                      <w:t>净化效率</w:t>
                                    </w:r>
                                    <w:r>
                                      <w:rPr>
                                        <w:rFonts w:ascii="Times New Roman" w:hAnsi="Times New Roman" w:eastAsia="黑体" w:cs="Times New Roman"/>
                                        <w:color w:val="000000"/>
                                        <w:sz w:val="15"/>
                                        <w:szCs w:val="15"/>
                                      </w:rPr>
                                      <w:t>90%</w:t>
                                    </w:r>
                                    <w:r>
                                      <w:rPr>
                                        <w:rFonts w:hint="eastAsia" w:ascii="Times New Roman" w:hAnsi="Times New Roman" w:eastAsia="黑体" w:cs="Times New Roman"/>
                                        <w:color w:val="000000"/>
                                        <w:sz w:val="15"/>
                                        <w:szCs w:val="15"/>
                                      </w:rPr>
                                      <w:t>）</w:t>
                                    </w:r>
                                  </w:p>
                                  <w:p w14:paraId="6CFC646D">
                                    <w:pPr>
                                      <w:rPr>
                                        <w:szCs w:val="15"/>
                                      </w:rPr>
                                    </w:pPr>
                                  </w:p>
                                </w:txbxContent>
                              </wps:txbx>
                              <wps:bodyPr upright="1"/>
                            </wps:wsp>
                            <wps:wsp>
                              <wps:cNvPr id="199" name="自选图形 858"/>
                              <wps:cNvCnPr/>
                              <wps:spPr>
                                <a:xfrm>
                                  <a:off x="4859978" y="2003071"/>
                                  <a:ext cx="880169" cy="635"/>
                                </a:xfrm>
                                <a:prstGeom prst="straightConnector1">
                                  <a:avLst/>
                                </a:prstGeom>
                                <a:ln w="9525" cap="flat" cmpd="sng">
                                  <a:solidFill>
                                    <a:srgbClr val="000000"/>
                                  </a:solidFill>
                                  <a:prstDash val="solid"/>
                                  <a:headEnd type="none" w="med" len="med"/>
                                  <a:tailEnd type="triangle" w="sm" len="med"/>
                                </a:ln>
                              </wps:spPr>
                              <wps:bodyPr/>
                            </wps:wsp>
                            <wps:wsp>
                              <wps:cNvPr id="200" name="矩形 859"/>
                              <wps:cNvSpPr/>
                              <wps:spPr>
                                <a:xfrm>
                                  <a:off x="6138953" y="3403443"/>
                                  <a:ext cx="1068141" cy="3747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FB729D">
                                    <w:pPr>
                                      <w:snapToGrid w:val="0"/>
                                      <w:jc w:val="center"/>
                                      <w:rPr>
                                        <w:rFonts w:hint="default" w:ascii="Times New Roman" w:hAnsi="Times New Roman" w:eastAsia="黑体" w:cs="Times New Roman"/>
                                        <w:color w:val="000000"/>
                                        <w:sz w:val="15"/>
                                        <w:szCs w:val="15"/>
                                        <w:lang w:val="en-US" w:eastAsia="zh-CN"/>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0.12</w:t>
                                    </w:r>
                                    <w:r>
                                      <w:rPr>
                                        <w:rFonts w:hint="eastAsia" w:ascii="Times New Roman" w:hAnsi="Calibri" w:eastAsia="黑体" w:cs="Times New Roman"/>
                                        <w:color w:val="000000"/>
                                        <w:sz w:val="15"/>
                                        <w:szCs w:val="15"/>
                                        <w:lang w:val="en-US" w:eastAsia="zh-CN"/>
                                      </w:rPr>
                                      <w:t>59</w:t>
                                    </w:r>
                                  </w:p>
                                </w:txbxContent>
                              </wps:txbx>
                              <wps:bodyPr upright="1"/>
                            </wps:wsp>
                            <wps:wsp>
                              <wps:cNvPr id="201" name="自选图形 860"/>
                              <wps:cNvCnPr/>
                              <wps:spPr>
                                <a:xfrm>
                                  <a:off x="5759198" y="3599050"/>
                                  <a:ext cx="379755" cy="635"/>
                                </a:xfrm>
                                <a:prstGeom prst="straightConnector1">
                                  <a:avLst/>
                                </a:prstGeom>
                                <a:ln w="9525" cap="flat" cmpd="sng">
                                  <a:solidFill>
                                    <a:srgbClr val="000000"/>
                                  </a:solidFill>
                                  <a:prstDash val="solid"/>
                                  <a:headEnd type="none" w="med" len="med"/>
                                  <a:tailEnd type="triangle" w="sm" len="med"/>
                                </a:ln>
                              </wps:spPr>
                              <wps:bodyPr/>
                            </wps:wsp>
                            <wps:wsp>
                              <wps:cNvPr id="202" name="矩形 861"/>
                              <wps:cNvSpPr/>
                              <wps:spPr>
                                <a:xfrm>
                                  <a:off x="6138953" y="4192224"/>
                                  <a:ext cx="1192609" cy="34167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FBC852">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进入活性炭吸附装置</w:t>
                                    </w:r>
                                    <w:r>
                                      <w:rPr>
                                        <w:rFonts w:ascii="Times New Roman" w:hAnsi="Calibri" w:eastAsia="黑体" w:cs="Times New Roman"/>
                                        <w:color w:val="000000"/>
                                        <w:sz w:val="15"/>
                                        <w:szCs w:val="15"/>
                                      </w:rPr>
                                      <w:t>1.1</w:t>
                                    </w:r>
                                    <w:r>
                                      <w:rPr>
                                        <w:rFonts w:hint="eastAsia" w:ascii="Times New Roman" w:hAnsi="Calibri" w:eastAsia="黑体" w:cs="Times New Roman"/>
                                        <w:color w:val="000000"/>
                                        <w:sz w:val="15"/>
                                        <w:szCs w:val="15"/>
                                        <w:lang w:val="en-US" w:eastAsia="zh-CN"/>
                                      </w:rPr>
                                      <w:t>33</w:t>
                                    </w:r>
                                  </w:p>
                                </w:txbxContent>
                              </wps:txbx>
                              <wps:bodyPr upright="1"/>
                            </wps:wsp>
                            <wps:wsp>
                              <wps:cNvPr id="203" name="自选图形 862"/>
                              <wps:cNvCnPr/>
                              <wps:spPr>
                                <a:xfrm>
                                  <a:off x="5759198" y="4371319"/>
                                  <a:ext cx="379755" cy="635"/>
                                </a:xfrm>
                                <a:prstGeom prst="straightConnector1">
                                  <a:avLst/>
                                </a:prstGeom>
                                <a:ln w="9525" cap="flat" cmpd="sng">
                                  <a:solidFill>
                                    <a:srgbClr val="000000"/>
                                  </a:solidFill>
                                  <a:prstDash val="solid"/>
                                  <a:headEnd type="none" w="med" len="med"/>
                                  <a:tailEnd type="triangle" w="sm" len="med"/>
                                </a:ln>
                              </wps:spPr>
                              <wps:bodyPr/>
                            </wps:wsp>
                            <wps:wsp>
                              <wps:cNvPr id="204" name="自选图形 863"/>
                              <wps:cNvCnPr/>
                              <wps:spPr>
                                <a:xfrm flipV="1">
                                  <a:off x="5759198" y="3599686"/>
                                  <a:ext cx="635" cy="772268"/>
                                </a:xfrm>
                                <a:prstGeom prst="straightConnector1">
                                  <a:avLst/>
                                </a:prstGeom>
                                <a:ln w="9525" cap="flat" cmpd="sng">
                                  <a:solidFill>
                                    <a:srgbClr val="000000"/>
                                  </a:solidFill>
                                  <a:prstDash val="solid"/>
                                  <a:headEnd type="none" w="med" len="med"/>
                                  <a:tailEnd type="none" w="sm" len="med"/>
                                </a:ln>
                              </wps:spPr>
                              <wps:bodyPr/>
                            </wps:wsp>
                            <wps:wsp>
                              <wps:cNvPr id="205" name="自选图形 864"/>
                              <wps:cNvCnPr/>
                              <wps:spPr>
                                <a:xfrm flipV="1">
                                  <a:off x="6952442" y="1858906"/>
                                  <a:ext cx="254652" cy="5081"/>
                                </a:xfrm>
                                <a:prstGeom prst="straightConnector1">
                                  <a:avLst/>
                                </a:prstGeom>
                                <a:ln w="9525" cap="flat" cmpd="sng">
                                  <a:solidFill>
                                    <a:srgbClr val="000000"/>
                                  </a:solidFill>
                                  <a:prstDash val="solid"/>
                                  <a:headEnd type="none" w="med" len="med"/>
                                  <a:tailEnd type="triangle" w="sm" len="med"/>
                                </a:ln>
                              </wps:spPr>
                              <wps:bodyPr/>
                            </wps:wsp>
                            <wps:wsp>
                              <wps:cNvPr id="206" name="矩形 865"/>
                              <wps:cNvSpPr/>
                              <wps:spPr>
                                <a:xfrm>
                                  <a:off x="7186773" y="1495000"/>
                                  <a:ext cx="1125295" cy="6281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141E65">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0.21</w:t>
                                    </w:r>
                                    <w:r>
                                      <w:rPr>
                                        <w:rFonts w:hint="eastAsia" w:ascii="Times New Roman" w:hAnsi="Calibri" w:eastAsia="黑体" w:cs="Times New Roman"/>
                                        <w:color w:val="000000"/>
                                        <w:sz w:val="15"/>
                                        <w:szCs w:val="15"/>
                                        <w:lang w:val="en-US" w:eastAsia="zh-CN"/>
                                      </w:rPr>
                                      <w:t>25</w:t>
                                    </w:r>
                                  </w:p>
                                  <w:p w14:paraId="4C6B83EE">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漆雾：</w:t>
                                    </w:r>
                                    <w:r>
                                      <w:rPr>
                                        <w:rFonts w:ascii="Times New Roman" w:hAnsi="Calibri" w:eastAsia="黑体" w:cs="Times New Roman"/>
                                        <w:color w:val="000000"/>
                                        <w:sz w:val="15"/>
                                        <w:szCs w:val="15"/>
                                      </w:rPr>
                                      <w:t>0.053</w:t>
                                    </w:r>
                                  </w:p>
                                </w:txbxContent>
                              </wps:txbx>
                              <wps:bodyPr upright="1"/>
                            </wps:wsp>
                            <wps:wsp>
                              <wps:cNvPr id="207" name="自选图形 866"/>
                              <wps:cNvCnPr/>
                              <wps:spPr>
                                <a:xfrm flipH="1" flipV="1">
                                  <a:off x="7745610" y="1300663"/>
                                  <a:ext cx="635" cy="194337"/>
                                </a:xfrm>
                                <a:prstGeom prst="straightConnector1">
                                  <a:avLst/>
                                </a:prstGeom>
                                <a:ln w="9525" cap="flat" cmpd="sng">
                                  <a:solidFill>
                                    <a:srgbClr val="000000"/>
                                  </a:solidFill>
                                  <a:prstDash val="solid"/>
                                  <a:headEnd type="none" w="med" len="med"/>
                                  <a:tailEnd type="triangle" w="sm" len="med"/>
                                </a:ln>
                              </wps:spPr>
                              <wps:bodyPr/>
                            </wps:wsp>
                            <wps:wsp>
                              <wps:cNvPr id="208" name="矩形 867"/>
                              <wps:cNvSpPr/>
                              <wps:spPr>
                                <a:xfrm>
                                  <a:off x="6526329" y="1116487"/>
                                  <a:ext cx="2195976" cy="215930"/>
                                </a:xfrm>
                                <a:prstGeom prst="rect">
                                  <a:avLst/>
                                </a:prstGeom>
                                <a:noFill/>
                                <a:ln>
                                  <a:noFill/>
                                </a:ln>
                              </wps:spPr>
                              <wps:txbx>
                                <w:txbxContent>
                                  <w:p w14:paraId="630D1852">
                                    <w:pPr>
                                      <w:snapToGrid w:val="0"/>
                                      <w:ind w:firstLine="1200" w:firstLineChars="800"/>
                                      <w:rPr>
                                        <w:rFonts w:ascii="Times New Roman" w:hAnsi="Times New Roman" w:eastAsia="黑体" w:cs="Times New Roman"/>
                                        <w:sz w:val="15"/>
                                        <w:szCs w:val="15"/>
                                      </w:rPr>
                                    </w:pPr>
                                    <w:r>
                                      <w:rPr>
                                        <w:rFonts w:ascii="Times New Roman" w:hAnsi="Times New Roman" w:eastAsia="黑体" w:cs="Times New Roman"/>
                                        <w:sz w:val="15"/>
                                        <w:szCs w:val="15"/>
                                      </w:rPr>
                                      <w:t>20m</w:t>
                                    </w:r>
                                    <w:r>
                                      <w:rPr>
                                        <w:rFonts w:hint="eastAsia" w:ascii="Times New Roman" w:hAnsi="Calibri" w:eastAsia="黑体" w:cs="Times New Roman"/>
                                        <w:sz w:val="15"/>
                                        <w:szCs w:val="15"/>
                                      </w:rPr>
                                      <w:t>高</w:t>
                                    </w:r>
                                    <w:r>
                                      <w:rPr>
                                        <w:rFonts w:ascii="Times New Roman" w:hAnsi="Times New Roman" w:eastAsia="黑体" w:cs="Times New Roman"/>
                                        <w:sz w:val="15"/>
                                        <w:szCs w:val="15"/>
                                      </w:rPr>
                                      <w:t>DA0</w:t>
                                    </w:r>
                                    <w:r>
                                      <w:rPr>
                                        <w:rFonts w:hint="eastAsia" w:ascii="Times New Roman" w:hAnsi="Times New Roman" w:eastAsia="黑体" w:cs="Times New Roman"/>
                                        <w:sz w:val="15"/>
                                        <w:szCs w:val="15"/>
                                        <w:lang w:val="en-US" w:eastAsia="zh-CN"/>
                                      </w:rPr>
                                      <w:t>01</w:t>
                                    </w:r>
                                    <w:r>
                                      <w:rPr>
                                        <w:rFonts w:hint="eastAsia" w:ascii="Times New Roman" w:hAnsi="Calibri" w:eastAsia="黑体" w:cs="Times New Roman"/>
                                        <w:sz w:val="15"/>
                                        <w:szCs w:val="15"/>
                                      </w:rPr>
                                      <w:t>排气筒</w:t>
                                    </w:r>
                                  </w:p>
                                </w:txbxContent>
                              </wps:txbx>
                              <wps:bodyPr upright="1"/>
                            </wps:wsp>
                            <wps:wsp>
                              <wps:cNvPr id="209" name="自选图形 868"/>
                              <wps:cNvCnPr/>
                              <wps:spPr>
                                <a:xfrm flipV="1">
                                  <a:off x="7207094" y="2123103"/>
                                  <a:ext cx="542326" cy="1461975"/>
                                </a:xfrm>
                                <a:prstGeom prst="bentConnector2">
                                  <a:avLst/>
                                </a:prstGeom>
                                <a:ln w="9525" cap="flat" cmpd="sng">
                                  <a:solidFill>
                                    <a:srgbClr val="000000"/>
                                  </a:solidFill>
                                  <a:prstDash val="solid"/>
                                  <a:miter/>
                                  <a:headEnd type="none" w="med" len="med"/>
                                  <a:tailEnd type="triangle" w="sm" len="med"/>
                                </a:ln>
                              </wps:spPr>
                              <wps:bodyPr/>
                            </wps:wsp>
                            <wps:wsp>
                              <wps:cNvPr id="210" name="矩形 869"/>
                              <wps:cNvSpPr/>
                              <wps:spPr>
                                <a:xfrm>
                                  <a:off x="6137683" y="1647421"/>
                                  <a:ext cx="875723" cy="47568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9D13342">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非甲烷总烃</w:t>
                                    </w:r>
                                  </w:p>
                                  <w:p w14:paraId="011390E9">
                                    <w:pPr>
                                      <w:snapToGrid w:val="0"/>
                                      <w:jc w:val="center"/>
                                      <w:rPr>
                                        <w:rFonts w:ascii="Times New Roman" w:hAnsi="Calibri" w:eastAsia="黑体" w:cs="Times New Roman"/>
                                        <w:color w:val="000000"/>
                                        <w:sz w:val="15"/>
                                        <w:szCs w:val="15"/>
                                      </w:rPr>
                                    </w:pPr>
                                    <w:r>
                                      <w:rPr>
                                        <w:rFonts w:ascii="Times New Roman" w:hAnsi="Calibri" w:eastAsia="黑体" w:cs="Times New Roman"/>
                                        <w:color w:val="000000"/>
                                        <w:sz w:val="15"/>
                                        <w:szCs w:val="15"/>
                                      </w:rPr>
                                      <w:t>0.0041</w:t>
                                    </w:r>
                                  </w:p>
                                </w:txbxContent>
                              </wps:txbx>
                              <wps:bodyPr upright="1"/>
                            </wps:wsp>
                            <wps:wsp>
                              <wps:cNvPr id="211" name="自选图形 870"/>
                              <wps:cNvCnPr/>
                              <wps:spPr>
                                <a:xfrm>
                                  <a:off x="5764913" y="1917969"/>
                                  <a:ext cx="379755" cy="635"/>
                                </a:xfrm>
                                <a:prstGeom prst="straightConnector1">
                                  <a:avLst/>
                                </a:prstGeom>
                                <a:ln w="9525" cap="flat" cmpd="sng">
                                  <a:solidFill>
                                    <a:srgbClr val="000000"/>
                                  </a:solidFill>
                                  <a:prstDash val="solid"/>
                                  <a:headEnd type="none" w="med" len="med"/>
                                  <a:tailEnd type="triangle" w="sm" len="med"/>
                                </a:ln>
                              </wps:spPr>
                              <wps:bodyPr/>
                            </wps:wsp>
                            <wps:wsp>
                              <wps:cNvPr id="212" name="矩形 871"/>
                              <wps:cNvSpPr/>
                              <wps:spPr>
                                <a:xfrm>
                                  <a:off x="6126252" y="2156128"/>
                                  <a:ext cx="1256749" cy="33342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D020CA5">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进入活性炭吸附装置</w:t>
                                    </w:r>
                                    <w:r>
                                      <w:rPr>
                                        <w:rFonts w:ascii="Times New Roman" w:hAnsi="Calibri" w:eastAsia="黑体" w:cs="Times New Roman"/>
                                        <w:color w:val="000000"/>
                                        <w:sz w:val="15"/>
                                        <w:szCs w:val="15"/>
                                      </w:rPr>
                                      <w:t>0.0369</w:t>
                                    </w:r>
                                  </w:p>
                                </w:txbxContent>
                              </wps:txbx>
                              <wps:bodyPr upright="1"/>
                            </wps:wsp>
                            <wps:wsp>
                              <wps:cNvPr id="213" name="自选图形 872"/>
                              <wps:cNvCnPr/>
                              <wps:spPr>
                                <a:xfrm>
                                  <a:off x="5746497" y="2354911"/>
                                  <a:ext cx="379755" cy="635"/>
                                </a:xfrm>
                                <a:prstGeom prst="straightConnector1">
                                  <a:avLst/>
                                </a:prstGeom>
                                <a:ln w="9525" cap="flat" cmpd="sng">
                                  <a:solidFill>
                                    <a:srgbClr val="000000"/>
                                  </a:solidFill>
                                  <a:prstDash val="solid"/>
                                  <a:headEnd type="none" w="med" len="med"/>
                                  <a:tailEnd type="triangle" w="sm" len="med"/>
                                </a:ln>
                              </wps:spPr>
                              <wps:bodyPr/>
                            </wps:wsp>
                            <wps:wsp>
                              <wps:cNvPr id="214" name="自选图形 873"/>
                              <wps:cNvCnPr/>
                              <wps:spPr>
                                <a:xfrm flipV="1">
                                  <a:off x="5747132" y="1917969"/>
                                  <a:ext cx="635" cy="434401"/>
                                </a:xfrm>
                                <a:prstGeom prst="straightConnector1">
                                  <a:avLst/>
                                </a:prstGeom>
                                <a:ln w="9525" cap="flat" cmpd="sng">
                                  <a:solidFill>
                                    <a:srgbClr val="000000"/>
                                  </a:solidFill>
                                  <a:prstDash val="solid"/>
                                  <a:headEnd type="none" w="med" len="med"/>
                                  <a:tailEnd type="none" w="sm" len="med"/>
                                </a:ln>
                              </wps:spPr>
                              <wps:bodyPr/>
                            </wps:wsp>
                            <wps:wsp>
                              <wps:cNvPr id="215" name="矩形 874"/>
                              <wps:cNvSpPr/>
                              <wps:spPr>
                                <a:xfrm>
                                  <a:off x="102877" y="291506"/>
                                  <a:ext cx="1040199" cy="8516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51CBCFB">
                                    <w:pPr>
                                      <w:snapToGrid w:val="0"/>
                                      <w:rPr>
                                        <w:rFonts w:ascii="Times New Roman" w:hAnsi="Times New Roman" w:eastAsia="黑体" w:cs="Times New Roman"/>
                                        <w:color w:val="000000"/>
                                        <w:sz w:val="15"/>
                                        <w:szCs w:val="15"/>
                                      </w:rPr>
                                    </w:pPr>
                                    <w:r>
                                      <w:rPr>
                                        <w:rFonts w:hint="eastAsia" w:ascii="Times New Roman" w:hAnsi="Times New Roman" w:eastAsia="黑体" w:cs="Times New Roman"/>
                                        <w:b/>
                                        <w:color w:val="000000"/>
                                        <w:sz w:val="15"/>
                                        <w:szCs w:val="15"/>
                                      </w:rPr>
                                      <w:t>水性底漆</w:t>
                                    </w:r>
                                    <w:r>
                                      <w:rPr>
                                        <w:rFonts w:ascii="Times New Roman" w:hAnsi="Times New Roman" w:eastAsia="黑体" w:cs="Times New Roman"/>
                                        <w:color w:val="000000"/>
                                        <w:sz w:val="15"/>
                                        <w:szCs w:val="15"/>
                                      </w:rPr>
                                      <w:t>2</w:t>
                                    </w:r>
                                    <w:r>
                                      <w:rPr>
                                        <w:rFonts w:hint="eastAsia" w:ascii="Times New Roman" w:hAnsi="Times New Roman" w:eastAsia="黑体" w:cs="Times New Roman"/>
                                        <w:color w:val="000000"/>
                                        <w:sz w:val="15"/>
                                        <w:szCs w:val="15"/>
                                        <w:lang w:val="en-US" w:eastAsia="zh-CN"/>
                                      </w:rPr>
                                      <w:t>8.901</w:t>
                                    </w:r>
                                    <w:r>
                                      <w:rPr>
                                        <w:rFonts w:hint="eastAsia" w:ascii="Times New Roman" w:hAnsi="Times New Roman" w:eastAsia="黑体" w:cs="Times New Roman"/>
                                        <w:color w:val="000000"/>
                                        <w:sz w:val="15"/>
                                        <w:szCs w:val="15"/>
                                      </w:rPr>
                                      <w:t>（固体份</w:t>
                                    </w:r>
                                    <w:r>
                                      <w:rPr>
                                        <w:rFonts w:hint="eastAsia" w:ascii="Times New Roman" w:hAnsi="Times New Roman" w:eastAsia="黑体" w:cs="Times New Roman"/>
                                        <w:color w:val="000000"/>
                                        <w:sz w:val="15"/>
                                        <w:szCs w:val="15"/>
                                        <w:lang w:val="en-US" w:eastAsia="zh-CN"/>
                                      </w:rPr>
                                      <w:t>20.520</w:t>
                                    </w:r>
                                    <w:r>
                                      <w:rPr>
                                        <w:rFonts w:hint="eastAsia" w:ascii="Times New Roman" w:hAnsi="Times New Roman" w:eastAsia="黑体" w:cs="Times New Roman"/>
                                        <w:color w:val="000000"/>
                                        <w:sz w:val="15"/>
                                        <w:szCs w:val="15"/>
                                      </w:rPr>
                                      <w:t>，挥发份</w:t>
                                    </w:r>
                                    <w:r>
                                      <w:rPr>
                                        <w:rFonts w:ascii="Times New Roman" w:hAnsi="Times New Roman" w:eastAsia="黑体" w:cs="Times New Roman"/>
                                        <w:color w:val="000000"/>
                                        <w:sz w:val="15"/>
                                        <w:szCs w:val="15"/>
                                      </w:rPr>
                                      <w:t>1.1</w:t>
                                    </w:r>
                                    <w:r>
                                      <w:rPr>
                                        <w:rFonts w:hint="eastAsia" w:ascii="Times New Roman" w:hAnsi="Times New Roman" w:eastAsia="黑体" w:cs="Times New Roman"/>
                                        <w:color w:val="000000"/>
                                        <w:sz w:val="15"/>
                                        <w:szCs w:val="15"/>
                                        <w:lang w:val="en-US" w:eastAsia="zh-CN"/>
                                      </w:rPr>
                                      <w:t>56</w:t>
                                    </w:r>
                                    <w:r>
                                      <w:rPr>
                                        <w:rFonts w:hint="eastAsia" w:ascii="Times New Roman" w:hAnsi="Times New Roman" w:eastAsia="黑体" w:cs="Times New Roman"/>
                                        <w:color w:val="000000"/>
                                        <w:sz w:val="15"/>
                                        <w:szCs w:val="15"/>
                                        <w:lang w:eastAsia="zh-CN"/>
                                      </w:rPr>
                                      <w:t>，</w:t>
                                    </w:r>
                                    <w:r>
                                      <w:rPr>
                                        <w:rFonts w:hint="eastAsia" w:ascii="Times New Roman" w:hAnsi="Times New Roman" w:eastAsia="黑体" w:cs="Times New Roman"/>
                                        <w:color w:val="000000"/>
                                        <w:sz w:val="15"/>
                                        <w:szCs w:val="15"/>
                                        <w:lang w:val="en-US" w:eastAsia="zh-CN"/>
                                      </w:rPr>
                                      <w:t>水份7.225</w:t>
                                    </w:r>
                                    <w:r>
                                      <w:rPr>
                                        <w:rFonts w:hint="eastAsia" w:ascii="Times New Roman" w:hAnsi="Times New Roman" w:eastAsia="黑体" w:cs="Times New Roman"/>
                                        <w:color w:val="000000"/>
                                        <w:sz w:val="15"/>
                                        <w:szCs w:val="15"/>
                                      </w:rPr>
                                      <w:t>）</w:t>
                                    </w:r>
                                  </w:p>
                                  <w:p w14:paraId="41436CEB">
                                    <w:pPr>
                                      <w:snapToGrid w:val="0"/>
                                      <w:rPr>
                                        <w:rFonts w:ascii="Times New Roman" w:hAnsi="Times New Roman" w:eastAsia="黑体" w:cs="Times New Roman"/>
                                        <w:color w:val="000000"/>
                                        <w:sz w:val="15"/>
                                        <w:szCs w:val="15"/>
                                      </w:rPr>
                                    </w:pPr>
                                    <w:r>
                                      <w:rPr>
                                        <w:rFonts w:hint="eastAsia" w:ascii="Times New Roman" w:hAnsi="Times New Roman" w:eastAsia="黑体" w:cs="Times New Roman"/>
                                        <w:b/>
                                        <w:color w:val="000000"/>
                                        <w:sz w:val="15"/>
                                        <w:szCs w:val="15"/>
                                      </w:rPr>
                                      <w:t>水性面漆</w:t>
                                    </w:r>
                                    <w:r>
                                      <w:rPr>
                                        <w:rFonts w:ascii="Times New Roman" w:hAnsi="Times New Roman" w:eastAsia="黑体" w:cs="Times New Roman"/>
                                        <w:bCs/>
                                        <w:color w:val="000000"/>
                                        <w:sz w:val="15"/>
                                        <w:szCs w:val="15"/>
                                      </w:rPr>
                                      <w:t>25.</w:t>
                                    </w:r>
                                    <w:r>
                                      <w:rPr>
                                        <w:rFonts w:hint="eastAsia" w:ascii="Times New Roman" w:hAnsi="Times New Roman" w:eastAsia="黑体" w:cs="Times New Roman"/>
                                        <w:bCs/>
                                        <w:color w:val="000000"/>
                                        <w:sz w:val="15"/>
                                        <w:szCs w:val="15"/>
                                        <w:lang w:val="en-US" w:eastAsia="zh-CN"/>
                                      </w:rPr>
                                      <w:t>364</w:t>
                                    </w:r>
                                    <w:r>
                                      <w:rPr>
                                        <w:rFonts w:hint="eastAsia" w:ascii="Times New Roman" w:hAnsi="Times New Roman" w:eastAsia="黑体" w:cs="Times New Roman"/>
                                        <w:color w:val="000000"/>
                                        <w:sz w:val="15"/>
                                        <w:szCs w:val="15"/>
                                      </w:rPr>
                                      <w:t>（固体份</w:t>
                                    </w:r>
                                    <w:r>
                                      <w:rPr>
                                        <w:rFonts w:ascii="Times New Roman" w:hAnsi="Times New Roman" w:eastAsia="黑体" w:cs="Times New Roman"/>
                                        <w:color w:val="000000"/>
                                        <w:sz w:val="15"/>
                                        <w:szCs w:val="15"/>
                                      </w:rPr>
                                      <w:t>1</w:t>
                                    </w:r>
                                    <w:r>
                                      <w:rPr>
                                        <w:rFonts w:hint="eastAsia" w:ascii="Times New Roman" w:hAnsi="Times New Roman" w:eastAsia="黑体" w:cs="Times New Roman"/>
                                        <w:color w:val="000000"/>
                                        <w:sz w:val="15"/>
                                        <w:szCs w:val="15"/>
                                        <w:lang w:val="en-US" w:eastAsia="zh-CN"/>
                                      </w:rPr>
                                      <w:t>6.740</w:t>
                                    </w:r>
                                    <w:r>
                                      <w:rPr>
                                        <w:rFonts w:hint="eastAsia" w:ascii="Times New Roman" w:hAnsi="Times New Roman" w:eastAsia="黑体" w:cs="Times New Roman"/>
                                        <w:color w:val="000000"/>
                                        <w:sz w:val="15"/>
                                        <w:szCs w:val="15"/>
                                      </w:rPr>
                                      <w:t>，挥发份</w:t>
                                    </w:r>
                                    <w:r>
                                      <w:rPr>
                                        <w:rFonts w:ascii="Times New Roman" w:hAnsi="Times New Roman" w:eastAsia="黑体" w:cs="Times New Roman"/>
                                        <w:color w:val="000000"/>
                                        <w:sz w:val="15"/>
                                        <w:szCs w:val="15"/>
                                      </w:rPr>
                                      <w:t>1.0</w:t>
                                    </w:r>
                                    <w:r>
                                      <w:rPr>
                                        <w:rFonts w:hint="eastAsia" w:ascii="Times New Roman" w:hAnsi="Times New Roman" w:eastAsia="黑体" w:cs="Times New Roman"/>
                                        <w:color w:val="000000"/>
                                        <w:sz w:val="15"/>
                                        <w:szCs w:val="15"/>
                                        <w:lang w:val="en-US" w:eastAsia="zh-CN"/>
                                      </w:rPr>
                                      <w:t>15</w:t>
                                    </w:r>
                                    <w:r>
                                      <w:rPr>
                                        <w:rFonts w:hint="eastAsia" w:ascii="Times New Roman" w:hAnsi="Times New Roman" w:eastAsia="黑体" w:cs="Times New Roman"/>
                                        <w:color w:val="000000"/>
                                        <w:sz w:val="15"/>
                                        <w:szCs w:val="15"/>
                                        <w:lang w:eastAsia="zh-CN"/>
                                      </w:rPr>
                                      <w:t>，</w:t>
                                    </w:r>
                                    <w:r>
                                      <w:rPr>
                                        <w:rFonts w:hint="eastAsia" w:ascii="Times New Roman" w:hAnsi="Times New Roman" w:eastAsia="黑体" w:cs="Times New Roman"/>
                                        <w:color w:val="000000"/>
                                        <w:sz w:val="15"/>
                                        <w:szCs w:val="15"/>
                                        <w:lang w:val="en-US" w:eastAsia="zh-CN"/>
                                      </w:rPr>
                                      <w:t>水份7.609</w:t>
                                    </w:r>
                                    <w:r>
                                      <w:rPr>
                                        <w:rFonts w:hint="eastAsia" w:ascii="Times New Roman" w:hAnsi="Times New Roman" w:eastAsia="黑体" w:cs="Times New Roman"/>
                                        <w:color w:val="000000"/>
                                        <w:sz w:val="15"/>
                                        <w:szCs w:val="15"/>
                                      </w:rPr>
                                      <w:t>）</w:t>
                                    </w:r>
                                  </w:p>
                                  <w:p w14:paraId="35F33C46">
                                    <w:pPr>
                                      <w:snapToGrid w:val="0"/>
                                      <w:rPr>
                                        <w:rFonts w:ascii="Times New Roman" w:hAnsi="Times New Roman" w:eastAsia="黑体" w:cs="Times New Roman"/>
                                        <w:color w:val="000000"/>
                                        <w:sz w:val="15"/>
                                        <w:szCs w:val="15"/>
                                      </w:rPr>
                                    </w:pPr>
                                  </w:p>
                                </w:txbxContent>
                              </wps:txbx>
                              <wps:bodyPr upright="1"/>
                            </wps:wsp>
                            <wps:wsp>
                              <wps:cNvPr id="216" name="Rectangle 1976"/>
                              <wps:cNvSpPr/>
                              <wps:spPr>
                                <a:xfrm>
                                  <a:off x="1933704" y="1732523"/>
                                  <a:ext cx="746175" cy="4591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7EA0CD">
                                    <w:pPr>
                                      <w:snapToGrid w:val="0"/>
                                      <w:jc w:val="center"/>
                                      <w:rPr>
                                        <w:rFonts w:eastAsia="黑体"/>
                                        <w:sz w:val="15"/>
                                        <w:szCs w:val="15"/>
                                      </w:rPr>
                                    </w:pPr>
                                    <w:r>
                                      <w:rPr>
                                        <w:rFonts w:hint="eastAsia" w:ascii="Calibri" w:hAnsi="Calibri" w:eastAsia="黑体" w:cs="黑体"/>
                                        <w:sz w:val="15"/>
                                        <w:szCs w:val="15"/>
                                      </w:rPr>
                                      <w:t>非甲烷总烃</w:t>
                                    </w:r>
                                  </w:p>
                                  <w:p w14:paraId="1C063EBC">
                                    <w:pPr>
                                      <w:snapToGrid w:val="0"/>
                                      <w:jc w:val="center"/>
                                      <w:rPr>
                                        <w:rFonts w:eastAsia="黑体"/>
                                        <w:sz w:val="15"/>
                                        <w:szCs w:val="15"/>
                                      </w:rPr>
                                    </w:pPr>
                                    <w:r>
                                      <w:rPr>
                                        <w:rFonts w:ascii="Times New Roman" w:hAnsi="Times New Roman" w:eastAsia="黑体" w:cs="Times New Roman"/>
                                        <w:sz w:val="15"/>
                                        <w:szCs w:val="15"/>
                                      </w:rPr>
                                      <w:t>0.043</w:t>
                                    </w:r>
                                  </w:p>
                                </w:txbxContent>
                              </wps:txbx>
                              <wps:bodyPr upright="1"/>
                            </wps:wsp>
                            <wps:wsp>
                              <wps:cNvPr id="217" name="AutoShape 1977"/>
                              <wps:cNvCnPr/>
                              <wps:spPr>
                                <a:xfrm>
                                  <a:off x="1454247" y="2920775"/>
                                  <a:ext cx="504224" cy="635"/>
                                </a:xfrm>
                                <a:prstGeom prst="straightConnector1">
                                  <a:avLst/>
                                </a:prstGeom>
                                <a:ln w="9525" cap="flat" cmpd="sng">
                                  <a:solidFill>
                                    <a:srgbClr val="000000"/>
                                  </a:solidFill>
                                  <a:prstDash val="solid"/>
                                  <a:headEnd type="none" w="med" len="med"/>
                                  <a:tailEnd type="triangle" w="sm" len="med"/>
                                </a:ln>
                              </wps:spPr>
                              <wps:bodyPr/>
                            </wps:wsp>
                            <wps:wsp>
                              <wps:cNvPr id="218" name="Text Box 1978"/>
                              <wps:cNvSpPr txBox="1"/>
                              <wps:spPr>
                                <a:xfrm>
                                  <a:off x="1418049" y="1740144"/>
                                  <a:ext cx="636947" cy="290871"/>
                                </a:xfrm>
                                <a:prstGeom prst="rect">
                                  <a:avLst/>
                                </a:prstGeom>
                                <a:noFill/>
                                <a:ln>
                                  <a:noFill/>
                                </a:ln>
                              </wps:spPr>
                              <wps:txbx>
                                <w:txbxContent>
                                  <w:p w14:paraId="09D5018E">
                                    <w:pPr>
                                      <w:rPr>
                                        <w:rFonts w:ascii="Times New Roman" w:hAnsi="Times New Roman" w:eastAsia="黑体" w:cs="Times New Roman"/>
                                        <w:sz w:val="15"/>
                                        <w:szCs w:val="15"/>
                                      </w:rPr>
                                    </w:pPr>
                                    <w:r>
                                      <w:rPr>
                                        <w:rFonts w:ascii="Times New Roman" w:hAnsi="Times New Roman" w:eastAsia="黑体" w:cs="Times New Roman"/>
                                        <w:sz w:val="15"/>
                                        <w:szCs w:val="15"/>
                                      </w:rPr>
                                      <w:t>2%</w:t>
                                    </w:r>
                                    <w:r>
                                      <w:rPr>
                                        <w:rFonts w:hint="eastAsia" w:ascii="Times New Roman" w:hAnsi="Calibri" w:eastAsia="黑体" w:cs="Times New Roman"/>
                                        <w:sz w:val="15"/>
                                        <w:szCs w:val="15"/>
                                      </w:rPr>
                                      <w:t>调漆</w:t>
                                    </w:r>
                                  </w:p>
                                </w:txbxContent>
                              </wps:txbx>
                              <wps:bodyPr upright="1"/>
                            </wps:wsp>
                            <wps:wsp>
                              <wps:cNvPr id="219" name="AutoShape 1979"/>
                              <wps:cNvCnPr/>
                              <wps:spPr>
                                <a:xfrm>
                                  <a:off x="2710995" y="2922680"/>
                                  <a:ext cx="1080207" cy="635"/>
                                </a:xfrm>
                                <a:prstGeom prst="straightConnector1">
                                  <a:avLst/>
                                </a:prstGeom>
                                <a:ln w="9525" cap="flat" cmpd="sng">
                                  <a:solidFill>
                                    <a:srgbClr val="000000"/>
                                  </a:solidFill>
                                  <a:prstDash val="solid"/>
                                  <a:headEnd type="none" w="med" len="med"/>
                                  <a:tailEnd type="triangle" w="sm" len="med"/>
                                </a:ln>
                              </wps:spPr>
                              <wps:bodyPr/>
                            </wps:wsp>
                            <wps:wsp>
                              <wps:cNvPr id="220" name="Rectangle 1980"/>
                              <wps:cNvSpPr/>
                              <wps:spPr>
                                <a:xfrm>
                                  <a:off x="3787392" y="2731519"/>
                                  <a:ext cx="1044009" cy="38168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288423">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0.8</w:t>
                                    </w:r>
                                    <w:r>
                                      <w:rPr>
                                        <w:rFonts w:hint="eastAsia" w:ascii="Times New Roman" w:hAnsi="Calibri" w:eastAsia="黑体" w:cs="Times New Roman"/>
                                        <w:color w:val="000000"/>
                                        <w:sz w:val="15"/>
                                        <w:szCs w:val="15"/>
                                        <w:lang w:val="en-US" w:eastAsia="zh-CN"/>
                                      </w:rPr>
                                      <w:t>25</w:t>
                                    </w:r>
                                  </w:p>
                                </w:txbxContent>
                              </wps:txbx>
                              <wps:bodyPr upright="1"/>
                            </wps:wsp>
                            <wps:wsp>
                              <wps:cNvPr id="221" name="Rectangle 1981"/>
                              <wps:cNvSpPr/>
                              <wps:spPr>
                                <a:xfrm>
                                  <a:off x="3822319" y="2215826"/>
                                  <a:ext cx="1380582" cy="3315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A3CC61">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无组织非甲烷总烃：</w:t>
                                    </w:r>
                                    <w:r>
                                      <w:rPr>
                                        <w:rFonts w:ascii="Times New Roman" w:hAnsi="Calibri" w:eastAsia="黑体" w:cs="Times New Roman"/>
                                        <w:color w:val="000000"/>
                                        <w:sz w:val="15"/>
                                        <w:szCs w:val="15"/>
                                      </w:rPr>
                                      <w:t>0.043</w:t>
                                    </w:r>
                                  </w:p>
                                </w:txbxContent>
                              </wps:txbx>
                              <wps:bodyPr upright="1"/>
                            </wps:wsp>
                            <wps:wsp>
                              <wps:cNvPr id="222" name="AutoShape 1982"/>
                              <wps:cNvCnPr/>
                              <wps:spPr>
                                <a:xfrm rot="-5400000">
                                  <a:off x="3372074" y="2481293"/>
                                  <a:ext cx="575983" cy="323895"/>
                                </a:xfrm>
                                <a:prstGeom prst="bentConnector2">
                                  <a:avLst/>
                                </a:prstGeom>
                                <a:ln w="9525" cap="flat" cmpd="sng">
                                  <a:solidFill>
                                    <a:srgbClr val="000000"/>
                                  </a:solidFill>
                                  <a:prstDash val="solid"/>
                                  <a:miter/>
                                  <a:headEnd type="none" w="med" len="med"/>
                                  <a:tailEnd type="triangle" w="sm" len="med"/>
                                </a:ln>
                              </wps:spPr>
                              <wps:bodyPr/>
                            </wps:wsp>
                            <wps:wsp>
                              <wps:cNvPr id="223" name="Text Box 1983"/>
                              <wps:cNvSpPr txBox="1"/>
                              <wps:spPr>
                                <a:xfrm>
                                  <a:off x="2679878" y="2632445"/>
                                  <a:ext cx="828095" cy="364541"/>
                                </a:xfrm>
                                <a:prstGeom prst="rect">
                                  <a:avLst/>
                                </a:prstGeom>
                                <a:noFill/>
                                <a:ln>
                                  <a:noFill/>
                                </a:ln>
                              </wps:spPr>
                              <wps:txbx>
                                <w:txbxContent>
                                  <w:p w14:paraId="182CFA84">
                                    <w:pPr>
                                      <w:snapToGrid w:val="0"/>
                                      <w:jc w:val="center"/>
                                      <w:rPr>
                                        <w:rFonts w:ascii="Times New Roman" w:hAnsi="Times New Roman" w:eastAsia="黑体" w:cs="Times New Roman"/>
                                        <w:color w:val="000000"/>
                                        <w:sz w:val="15"/>
                                        <w:szCs w:val="15"/>
                                      </w:rPr>
                                    </w:pPr>
                                    <w:r>
                                      <w:rPr>
                                        <w:rFonts w:hint="eastAsia" w:ascii="Times New Roman" w:hAnsi="Calibri" w:eastAsia="黑体" w:cs="Times New Roman"/>
                                        <w:color w:val="000000"/>
                                        <w:sz w:val="15"/>
                                        <w:szCs w:val="15"/>
                                      </w:rPr>
                                      <w:t>负压收集（收集效率</w:t>
                                    </w:r>
                                    <w:r>
                                      <w:rPr>
                                        <w:rFonts w:ascii="Times New Roman" w:hAnsi="Times New Roman" w:eastAsia="黑体" w:cs="Times New Roman"/>
                                        <w:color w:val="000000"/>
                                        <w:sz w:val="15"/>
                                        <w:szCs w:val="15"/>
                                      </w:rPr>
                                      <w:t>95%</w:t>
                                    </w:r>
                                    <w:r>
                                      <w:rPr>
                                        <w:rFonts w:hint="eastAsia" w:ascii="Times New Roman" w:hAnsi="Calibri" w:eastAsia="黑体" w:cs="Times New Roman"/>
                                        <w:color w:val="000000"/>
                                        <w:sz w:val="15"/>
                                        <w:szCs w:val="15"/>
                                      </w:rPr>
                                      <w:t>）</w:t>
                                    </w:r>
                                  </w:p>
                                  <w:p w14:paraId="47702B7C">
                                    <w:pPr>
                                      <w:rPr>
                                        <w:szCs w:val="15"/>
                                      </w:rPr>
                                    </w:pPr>
                                  </w:p>
                                </w:txbxContent>
                              </wps:txbx>
                              <wps:bodyPr upright="1"/>
                            </wps:wsp>
                            <wps:wsp>
                              <wps:cNvPr id="224" name="AutoShape 1984"/>
                              <wps:cNvCnPr/>
                              <wps:spPr>
                                <a:xfrm>
                                  <a:off x="4833306" y="2930302"/>
                                  <a:ext cx="956374" cy="635"/>
                                </a:xfrm>
                                <a:prstGeom prst="straightConnector1">
                                  <a:avLst/>
                                </a:prstGeom>
                                <a:ln w="9525" cap="flat" cmpd="sng">
                                  <a:solidFill>
                                    <a:srgbClr val="000000"/>
                                  </a:solidFill>
                                  <a:prstDash val="solid"/>
                                  <a:headEnd type="none" w="med" len="med"/>
                                  <a:tailEnd type="triangle" w="sm" len="med"/>
                                </a:ln>
                              </wps:spPr>
                              <wps:bodyPr/>
                            </wps:wsp>
                            <wps:wsp>
                              <wps:cNvPr id="225" name="Text Box 1985"/>
                              <wps:cNvSpPr txBox="1"/>
                              <wps:spPr>
                                <a:xfrm>
                                  <a:off x="4831401" y="2621648"/>
                                  <a:ext cx="817299" cy="350569"/>
                                </a:xfrm>
                                <a:prstGeom prst="rect">
                                  <a:avLst/>
                                </a:prstGeom>
                                <a:noFill/>
                                <a:ln>
                                  <a:noFill/>
                                </a:ln>
                              </wps:spPr>
                              <wps:txbx>
                                <w:txbxContent>
                                  <w:p w14:paraId="36834DE8">
                                    <w:pPr>
                                      <w:snapToGrid w:val="0"/>
                                      <w:jc w:val="center"/>
                                      <w:rPr>
                                        <w:rFonts w:ascii="Times New Roman" w:hAnsi="Times New Roman" w:eastAsia="黑体" w:cs="Times New Roman"/>
                                        <w:color w:val="000000"/>
                                        <w:sz w:val="15"/>
                                        <w:szCs w:val="15"/>
                                      </w:rPr>
                                    </w:pPr>
                                    <w:r>
                                      <w:rPr>
                                        <w:rFonts w:hint="eastAsia" w:ascii="Times New Roman" w:hAnsi="Calibri" w:eastAsia="黑体" w:cs="Times New Roman"/>
                                        <w:color w:val="000000"/>
                                        <w:sz w:val="15"/>
                                        <w:szCs w:val="15"/>
                                      </w:rPr>
                                      <w:t>活性炭吸附（净化效率</w:t>
                                    </w:r>
                                    <w:r>
                                      <w:rPr>
                                        <w:rFonts w:ascii="Times New Roman" w:hAnsi="Times New Roman" w:eastAsia="黑体" w:cs="Times New Roman"/>
                                        <w:color w:val="000000"/>
                                        <w:sz w:val="15"/>
                                        <w:szCs w:val="15"/>
                                      </w:rPr>
                                      <w:t>90%</w:t>
                                    </w:r>
                                    <w:r>
                                      <w:rPr>
                                        <w:rFonts w:hint="eastAsia" w:ascii="Times New Roman" w:hAnsi="Calibri" w:eastAsia="黑体" w:cs="Times New Roman"/>
                                        <w:color w:val="000000"/>
                                        <w:sz w:val="15"/>
                                        <w:szCs w:val="15"/>
                                      </w:rPr>
                                      <w:t>）</w:t>
                                    </w:r>
                                  </w:p>
                                  <w:p w14:paraId="07B0A910">
                                    <w:pPr>
                                      <w:rPr>
                                        <w:szCs w:val="15"/>
                                      </w:rPr>
                                    </w:pPr>
                                  </w:p>
                                </w:txbxContent>
                              </wps:txbx>
                              <wps:bodyPr upright="1"/>
                            </wps:wsp>
                            <wps:wsp>
                              <wps:cNvPr id="226" name="Rectangle 1986"/>
                              <wps:cNvSpPr/>
                              <wps:spPr>
                                <a:xfrm>
                                  <a:off x="6197377" y="2542897"/>
                                  <a:ext cx="1029403" cy="33151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1819C7C">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0.08</w:t>
                                    </w:r>
                                    <w:r>
                                      <w:rPr>
                                        <w:rFonts w:hint="eastAsia" w:ascii="Times New Roman" w:hAnsi="Calibri" w:eastAsia="黑体" w:cs="Times New Roman"/>
                                        <w:color w:val="000000"/>
                                        <w:sz w:val="15"/>
                                        <w:szCs w:val="15"/>
                                        <w:lang w:val="en-US" w:eastAsia="zh-CN"/>
                                      </w:rPr>
                                      <w:t>25</w:t>
                                    </w:r>
                                  </w:p>
                                </w:txbxContent>
                              </wps:txbx>
                              <wps:bodyPr upright="1"/>
                            </wps:wsp>
                            <wps:wsp>
                              <wps:cNvPr id="227" name="AutoShape 1987"/>
                              <wps:cNvCnPr/>
                              <wps:spPr>
                                <a:xfrm>
                                  <a:off x="5797936" y="2636890"/>
                                  <a:ext cx="379755" cy="635"/>
                                </a:xfrm>
                                <a:prstGeom prst="straightConnector1">
                                  <a:avLst/>
                                </a:prstGeom>
                                <a:ln w="9525" cap="flat" cmpd="sng">
                                  <a:solidFill>
                                    <a:srgbClr val="000000"/>
                                  </a:solidFill>
                                  <a:prstDash val="solid"/>
                                  <a:headEnd type="none" w="med" len="med"/>
                                  <a:tailEnd type="triangle" w="sm" len="med"/>
                                </a:ln>
                              </wps:spPr>
                              <wps:bodyPr/>
                            </wps:wsp>
                            <wps:wsp>
                              <wps:cNvPr id="228" name="Rectangle 1988"/>
                              <wps:cNvSpPr/>
                              <wps:spPr>
                                <a:xfrm>
                                  <a:off x="6197377" y="2962691"/>
                                  <a:ext cx="1151967" cy="3658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E3ACD6">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进入活性炭吸附装置</w:t>
                                    </w:r>
                                    <w:r>
                                      <w:rPr>
                                        <w:rFonts w:ascii="Times New Roman" w:hAnsi="Calibri" w:eastAsia="黑体" w:cs="Times New Roman"/>
                                        <w:color w:val="000000"/>
                                        <w:sz w:val="15"/>
                                        <w:szCs w:val="15"/>
                                      </w:rPr>
                                      <w:t>0.7</w:t>
                                    </w:r>
                                    <w:r>
                                      <w:rPr>
                                        <w:rFonts w:hint="eastAsia" w:ascii="Times New Roman" w:hAnsi="Calibri" w:eastAsia="黑体" w:cs="Times New Roman"/>
                                        <w:color w:val="000000"/>
                                        <w:sz w:val="15"/>
                                        <w:szCs w:val="15"/>
                                        <w:lang w:val="en-US" w:eastAsia="zh-CN"/>
                                      </w:rPr>
                                      <w:t>43</w:t>
                                    </w:r>
                                  </w:p>
                                </w:txbxContent>
                              </wps:txbx>
                              <wps:bodyPr upright="1"/>
                            </wps:wsp>
                            <wps:wsp>
                              <wps:cNvPr id="229" name="AutoShape 1989"/>
                              <wps:cNvCnPr/>
                              <wps:spPr>
                                <a:xfrm>
                                  <a:off x="5797936" y="3089709"/>
                                  <a:ext cx="379755" cy="635"/>
                                </a:xfrm>
                                <a:prstGeom prst="straightConnector1">
                                  <a:avLst/>
                                </a:prstGeom>
                                <a:ln w="9525" cap="flat" cmpd="sng">
                                  <a:solidFill>
                                    <a:srgbClr val="000000"/>
                                  </a:solidFill>
                                  <a:prstDash val="solid"/>
                                  <a:headEnd type="none" w="med" len="med"/>
                                  <a:tailEnd type="triangle" w="sm" len="med"/>
                                </a:ln>
                              </wps:spPr>
                              <wps:bodyPr/>
                            </wps:wsp>
                            <wps:wsp>
                              <wps:cNvPr id="230" name="AutoShape 1990"/>
                              <wps:cNvCnPr/>
                              <wps:spPr>
                                <a:xfrm flipV="1">
                                  <a:off x="5797936" y="2647052"/>
                                  <a:ext cx="635" cy="431861"/>
                                </a:xfrm>
                                <a:prstGeom prst="straightConnector1">
                                  <a:avLst/>
                                </a:prstGeom>
                                <a:ln w="9525" cap="flat" cmpd="sng">
                                  <a:solidFill>
                                    <a:srgbClr val="000000"/>
                                  </a:solidFill>
                                  <a:prstDash val="solid"/>
                                  <a:headEnd type="none" w="med" len="med"/>
                                  <a:tailEnd type="none" w="sm" len="med"/>
                                </a:ln>
                              </wps:spPr>
                              <wps:bodyPr/>
                            </wps:wsp>
                            <wps:wsp>
                              <wps:cNvPr id="231" name="自选图形 890"/>
                              <wps:cNvCnPr/>
                              <wps:spPr>
                                <a:xfrm>
                                  <a:off x="7226781" y="2708655"/>
                                  <a:ext cx="501683" cy="635"/>
                                </a:xfrm>
                                <a:prstGeom prst="straightConnector1">
                                  <a:avLst/>
                                </a:prstGeom>
                                <a:ln w="9525" cap="flat" cmpd="sng">
                                  <a:solidFill>
                                    <a:srgbClr val="000000"/>
                                  </a:solidFill>
                                  <a:prstDash val="solid"/>
                                  <a:headEnd type="none" w="med" len="med"/>
                                  <a:tailEnd type="none" w="med" len="med"/>
                                </a:ln>
                              </wps:spPr>
                              <wps:bodyPr/>
                            </wps:wsp>
                            <wps:wsp>
                              <wps:cNvPr id="232" name="AutoShape 1977_SpCnt_1"/>
                              <wps:cNvCnPr/>
                              <wps:spPr>
                                <a:xfrm>
                                  <a:off x="1140536" y="2920140"/>
                                  <a:ext cx="323872" cy="635"/>
                                </a:xfrm>
                                <a:prstGeom prst="straightConnector1">
                                  <a:avLst/>
                                </a:prstGeom>
                                <a:ln w="9525" cap="flat" cmpd="sng">
                                  <a:solidFill>
                                    <a:srgbClr val="000000"/>
                                  </a:solidFill>
                                  <a:prstDash val="solid"/>
                                  <a:headEnd type="none" w="med" len="med"/>
                                  <a:tailEnd type="triangle" w="sm" len="med"/>
                                </a:ln>
                              </wps:spPr>
                              <wps:bodyPr/>
                            </wps:wsp>
                            <wps:wsp>
                              <wps:cNvPr id="235" name="矩形 892"/>
                              <wps:cNvSpPr/>
                              <wps:spPr>
                                <a:xfrm>
                                  <a:off x="6660958" y="426145"/>
                                  <a:ext cx="1104338" cy="215930"/>
                                </a:xfrm>
                                <a:prstGeom prst="rect">
                                  <a:avLst/>
                                </a:prstGeom>
                                <a:noFill/>
                                <a:ln>
                                  <a:noFill/>
                                </a:ln>
                              </wps:spPr>
                              <wps:txbx>
                                <w:txbxContent>
                                  <w:p w14:paraId="4EF2CA75">
                                    <w:pPr>
                                      <w:snapToGrid w:val="0"/>
                                      <w:rPr>
                                        <w:rFonts w:ascii="Times New Roman" w:hAnsi="Times New Roman" w:eastAsia="黑体" w:cs="Times New Roman"/>
                                        <w:color w:val="000000"/>
                                        <w:sz w:val="15"/>
                                        <w:szCs w:val="15"/>
                                      </w:rPr>
                                    </w:pPr>
                                    <w:r>
                                      <w:rPr>
                                        <w:rFonts w:hint="eastAsia" w:ascii="Times New Roman" w:hAnsi="Times New Roman" w:eastAsia="黑体" w:cs="Times New Roman"/>
                                        <w:color w:val="000000"/>
                                        <w:sz w:val="15"/>
                                        <w:szCs w:val="15"/>
                                      </w:rPr>
                                      <w:t>有组织排放：</w:t>
                                    </w:r>
                                    <w:r>
                                      <w:rPr>
                                        <w:rFonts w:ascii="Times New Roman" w:hAnsi="Times New Roman" w:eastAsia="黑体" w:cs="Times New Roman"/>
                                        <w:color w:val="000000"/>
                                        <w:sz w:val="15"/>
                                        <w:szCs w:val="15"/>
                                      </w:rPr>
                                      <w:t>0.053</w:t>
                                    </w:r>
                                  </w:p>
                                  <w:p w14:paraId="5ED5090D">
                                    <w:pPr>
                                      <w:snapToGrid w:val="0"/>
                                      <w:rPr>
                                        <w:rFonts w:ascii="Times New Roman" w:hAnsi="Times New Roman" w:eastAsia="黑体" w:cs="Times New Roman"/>
                                        <w:sz w:val="15"/>
                                        <w:szCs w:val="15"/>
                                      </w:rPr>
                                    </w:pPr>
                                  </w:p>
                                </w:txbxContent>
                              </wps:txbx>
                              <wps:bodyPr upright="1"/>
                            </wps:wsp>
                            <wps:wsp>
                              <wps:cNvPr id="236" name="自选图形 893"/>
                              <wps:cNvCnPr/>
                              <wps:spPr>
                                <a:xfrm flipH="1">
                                  <a:off x="621071" y="1160943"/>
                                  <a:ext cx="2540" cy="1564860"/>
                                </a:xfrm>
                                <a:prstGeom prst="straightConnector1">
                                  <a:avLst/>
                                </a:prstGeom>
                                <a:ln w="9525" cap="flat" cmpd="sng">
                                  <a:solidFill>
                                    <a:srgbClr val="000000"/>
                                  </a:solidFill>
                                  <a:prstDash val="solid"/>
                                  <a:headEnd type="none" w="med" len="med"/>
                                  <a:tailEnd type="triangle" w="med" len="med"/>
                                </a:ln>
                              </wps:spPr>
                              <wps:bodyPr/>
                            </wps:wsp>
                            <wps:wsp>
                              <wps:cNvPr id="237" name="矩形 953"/>
                              <wps:cNvSpPr/>
                              <wps:spPr>
                                <a:xfrm>
                                  <a:off x="1404713" y="905002"/>
                                  <a:ext cx="635042" cy="317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A198C4">
                                    <w:pPr>
                                      <w:snapToGrid w:val="0"/>
                                      <w:jc w:val="center"/>
                                      <w:rPr>
                                        <w:rFonts w:hint="default" w:ascii="Times New Roman" w:hAnsi="Times New Roman" w:eastAsia="黑体" w:cs="Times New Roman"/>
                                        <w:sz w:val="15"/>
                                        <w:szCs w:val="15"/>
                                        <w:lang w:val="en-US"/>
                                      </w:rPr>
                                    </w:pPr>
                                    <w:r>
                                      <w:rPr>
                                        <w:rFonts w:hint="eastAsia" w:ascii="Times New Roman" w:hAnsi="Times New Roman" w:eastAsia="黑体" w:cs="Times New Roman"/>
                                        <w:color w:val="000000"/>
                                        <w:sz w:val="15"/>
                                        <w:szCs w:val="15"/>
                                        <w:lang w:val="en-US" w:eastAsia="zh-CN"/>
                                      </w:rPr>
                                      <w:t>水份14.834</w:t>
                                    </w:r>
                                  </w:p>
                                </w:txbxContent>
                              </wps:txbx>
                              <wps:bodyPr upright="1"/>
                            </wps:wsp>
                            <wps:wsp>
                              <wps:cNvPr id="238" name="自选图形 954"/>
                              <wps:cNvCnPr/>
                              <wps:spPr>
                                <a:xfrm flipV="1">
                                  <a:off x="2044836" y="1094894"/>
                                  <a:ext cx="260367" cy="7621"/>
                                </a:xfrm>
                                <a:prstGeom prst="straightConnector1">
                                  <a:avLst/>
                                </a:prstGeom>
                                <a:ln w="9525" cap="flat" cmpd="sng">
                                  <a:solidFill>
                                    <a:srgbClr val="000000"/>
                                  </a:solidFill>
                                  <a:prstDash val="solid"/>
                                  <a:headEnd type="none" w="med" len="med"/>
                                  <a:tailEnd type="triangle" w="sm" len="med"/>
                                </a:ln>
                              </wps:spPr>
                              <wps:bodyPr/>
                            </wps:wsp>
                            <wps:wsp>
                              <wps:cNvPr id="239" name="矩形 955"/>
                              <wps:cNvSpPr/>
                              <wps:spPr>
                                <a:xfrm>
                                  <a:off x="2309014" y="870707"/>
                                  <a:ext cx="582969" cy="51569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3C8C4A">
                                    <w:pPr>
                                      <w:snapToGrid w:val="0"/>
                                      <w:jc w:val="center"/>
                                      <w:rPr>
                                        <w:rFonts w:hint="default" w:ascii="Times New Roman" w:hAnsi="Times New Roman" w:eastAsia="黑体" w:cs="Times New Roman"/>
                                        <w:sz w:val="15"/>
                                        <w:szCs w:val="15"/>
                                        <w:lang w:val="en-US"/>
                                      </w:rPr>
                                    </w:pPr>
                                    <w:r>
                                      <w:rPr>
                                        <w:rFonts w:hint="eastAsia" w:ascii="Times New Roman" w:hAnsi="Times New Roman" w:eastAsia="黑体" w:cs="Times New Roman"/>
                                        <w:color w:val="000000"/>
                                        <w:sz w:val="15"/>
                                        <w:szCs w:val="15"/>
                                        <w:lang w:val="en-US" w:eastAsia="zh-CN"/>
                                      </w:rPr>
                                      <w:t>烘干过程排放1</w:t>
                                    </w:r>
                                    <w:r>
                                      <w:rPr>
                                        <w:rFonts w:hint="default" w:ascii="Times New Roman" w:hAnsi="Times New Roman" w:eastAsia="黑体" w:cs="Times New Roman"/>
                                        <w:color w:val="000000"/>
                                        <w:sz w:val="15"/>
                                        <w:szCs w:val="15"/>
                                        <w:lang w:val="en-US" w:eastAsia="zh-CN"/>
                                      </w:rPr>
                                      <w:t>4.</w:t>
                                    </w:r>
                                    <w:r>
                                      <w:rPr>
                                        <w:rFonts w:hint="eastAsia" w:ascii="Times New Roman" w:hAnsi="Times New Roman" w:eastAsia="黑体" w:cs="Times New Roman"/>
                                        <w:color w:val="000000"/>
                                        <w:sz w:val="15"/>
                                        <w:szCs w:val="15"/>
                                        <w:lang w:val="en-US" w:eastAsia="zh-CN"/>
                                      </w:rPr>
                                      <w:t>834</w:t>
                                    </w:r>
                                  </w:p>
                                </w:txbxContent>
                              </wps:txbx>
                              <wps:bodyPr upright="1"/>
                            </wps:wsp>
                            <wps:wsp>
                              <wps:cNvPr id="240" name="自选图形 956"/>
                              <wps:cNvCnPr/>
                              <wps:spPr>
                                <a:xfrm flipV="1">
                                  <a:off x="1162127" y="1035195"/>
                                  <a:ext cx="254017" cy="0"/>
                                </a:xfrm>
                                <a:prstGeom prst="straightConnector1">
                                  <a:avLst/>
                                </a:prstGeom>
                                <a:ln w="9525" cap="flat" cmpd="sng">
                                  <a:solidFill>
                                    <a:srgbClr val="000000"/>
                                  </a:solidFill>
                                  <a:prstDash val="solid"/>
                                  <a:headEnd type="none" w="med" len="med"/>
                                  <a:tailEnd type="triangle" w="sm" len="med"/>
                                </a:ln>
                              </wps:spPr>
                              <wps:bodyPr/>
                            </wps:wsp>
                          </wpc:wpc>
                        </a:graphicData>
                      </a:graphic>
                    </wp:anchor>
                  </w:drawing>
                </mc:Choice>
                <mc:Fallback>
                  <w:pict>
                    <v:group id="画布 817" o:spid="_x0000_s1026" o:spt="203" style="position:absolute;left:0pt;margin-left:8.65pt;margin-top:18.45pt;height:356pt;width:751.9pt;z-index:251664384;mso-width-relative:page;mso-height-relative:page;" coordsize="9549130,4521200" editas="canvas" o:gfxdata="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">
                      <o:lock v:ext="edit" aspectratio="f"/>
                      <v:shape id="画布 817" o:spid="_x0000_s1026" style="position:absolute;left:0;top:0;height:4521200;width:9549130;" filled="f" stroked="f" coordsize="21600,21600" o:gfxdata="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">
                        <v:fill on="f" focussize="0,0"/>
                        <v:stroke on="f"/>
                        <v:imagedata o:title=""/>
                        <o:lock v:ext="edit" aspectratio="t"/>
                      </v:shape>
                      <v:shape id="自选图形 819" o:spid="_x0000_s1026" o:spt="32" type="#_x0000_t32" style="position:absolute;left:1151332;top:616672;height:635;width:504224;"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p01tdoAAAAKAQAADwAAAAAAAAAB&#10;ACAAAAAiAAAAZHJzL2Rvd25yZXYueG1sUEsBAhQAFAAAAAgAh07iQOHa7+gOAgAA9gMAAA4AAAAA&#10;AAAAAQAgAAAAKQEAAGRycy9lMm9Eb2MueG1sUEsFBgAAAAAGAAYAWQEAAKkFAAAAAA==&#10;">
                        <v:fill on="f" focussize="0,0"/>
                        <v:stroke color="#000000" joinstyle="round" endarrow="block" endarrowwidth="narrow"/>
                        <v:imagedata o:title=""/>
                        <o:lock v:ext="edit" aspectratio="f"/>
                      </v:shape>
                      <v:rect id="矩形 820" o:spid="_x0000_s1026" o:spt="1" style="position:absolute;left:1660635;top:454089;height:323895;width:643933;"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ZA8ENgAAAAKAQAADwAAAAAAAAABACAA&#10;AAAiAAAAZHJzL2Rvd25yZXYueG1sUEsBAhQAFAAAAAgAh07iQDEcKkANAgAANwQAAA4AAAAAAAAA&#10;AQAgAAAAJwEAAGRycy9lMm9Eb2MueG1sUEsFBgAAAAAGAAYAWQEAAKYFAAAAAA==&#10;">
                        <v:fill on="t" focussize="0,0"/>
                        <v:stroke color="#000000" joinstyle="miter"/>
                        <v:imagedata o:title=""/>
                        <o:lock v:ext="edit" aspectratio="f"/>
                        <v:textbox>
                          <w:txbxContent>
                            <w:p w14:paraId="348DB567">
                              <w:pPr>
                                <w:snapToGrid w:val="0"/>
                                <w:jc w:val="center"/>
                                <w:rPr>
                                  <w:rFonts w:ascii="Times New Roman" w:hAnsi="Times New Roman" w:eastAsia="黑体" w:cs="Times New Roman"/>
                                  <w:color w:val="000000"/>
                                  <w:sz w:val="15"/>
                                  <w:szCs w:val="15"/>
                                </w:rPr>
                              </w:pPr>
                              <w:r>
                                <w:rPr>
                                  <w:rFonts w:hint="eastAsia" w:ascii="Times New Roman" w:hAnsi="Times New Roman" w:eastAsia="黑体" w:cs="Times New Roman"/>
                                  <w:color w:val="000000"/>
                                  <w:sz w:val="15"/>
                                  <w:szCs w:val="15"/>
                                </w:rPr>
                                <w:t>固体份</w:t>
                              </w:r>
                            </w:p>
                            <w:p w14:paraId="36252604">
                              <w:pPr>
                                <w:snapToGrid w:val="0"/>
                                <w:jc w:val="center"/>
                                <w:rPr>
                                  <w:rFonts w:hint="default" w:ascii="Times New Roman" w:hAnsi="Times New Roman" w:eastAsia="黑体" w:cs="Times New Roman"/>
                                  <w:sz w:val="15"/>
                                  <w:szCs w:val="15"/>
                                  <w:lang w:val="en-US" w:eastAsia="zh-CN"/>
                                </w:rPr>
                              </w:pPr>
                              <w:r>
                                <w:rPr>
                                  <w:rFonts w:ascii="Times New Roman" w:hAnsi="Times New Roman" w:eastAsia="黑体" w:cs="Times New Roman"/>
                                  <w:color w:val="000000"/>
                                  <w:sz w:val="15"/>
                                  <w:szCs w:val="15"/>
                                </w:rPr>
                                <w:t>3</w:t>
                              </w:r>
                              <w:r>
                                <w:rPr>
                                  <w:rFonts w:hint="eastAsia" w:ascii="Times New Roman" w:hAnsi="Times New Roman" w:eastAsia="黑体" w:cs="Times New Roman"/>
                                  <w:color w:val="000000"/>
                                  <w:sz w:val="15"/>
                                  <w:szCs w:val="15"/>
                                  <w:lang w:val="en-US" w:eastAsia="zh-CN"/>
                                </w:rPr>
                                <w:t>7.26</w:t>
                              </w:r>
                            </w:p>
                          </w:txbxContent>
                        </v:textbox>
                      </v:rect>
                      <v:shape id="自选图形 821" o:spid="_x0000_s1026" o:spt="32" type="#_x0000_t32" style="position:absolute;left:2302663;top:611591;height:635;width:1583795;"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qdNbXaAAAACgEAAA8AAAAAAAAA&#10;AQAgAAAAIgAAAGRycy9kb3ducmV2LnhtbFBLAQIUABQAAAAIAIdO4kChxAPLDwIAAPcDAAAOAAAA&#10;AAAAAAEAIAAAACkBAABkcnMvZTJvRG9jLnhtbFBLBQYAAAAABgAGAFkBAACqBQAAAAA=&#10;">
                        <v:fill on="f" focussize="0,0"/>
                        <v:stroke color="#000000" joinstyle="round" endarrow="block" endarrowwidth="narrow"/>
                        <v:imagedata o:title=""/>
                        <o:lock v:ext="edit" aspectratio="f"/>
                      </v:shape>
                      <v:shape id="自选图形 822" o:spid="_x0000_s1026" o:spt="32" type="#_x0000_t32" style="position:absolute;left:3213314;top:238158;height:756391;width:635;" filled="f" stroked="t" coordsize="21600,21600" o:gfxdata="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Fy4FNkAAAAKAQAADwAAAAAAAAABACAAAAAiAAAA&#10;ZHJzL2Rvd25yZXYueG1sUEsBAhQAFAAAAAgAh07iQGqFOfoGAgAA8wMAAA4AAAAAAAAAAQAgAAAA&#10;KAEAAGRycy9lMm9Eb2MueG1sUEsFBgAAAAAGAAYAWQEAAKAFAAAAAA==&#10;">
                        <v:fill on="f" focussize="0,0"/>
                        <v:stroke color="#000000" joinstyle="round"/>
                        <v:imagedata o:title=""/>
                        <o:lock v:ext="edit" aspectratio="f"/>
                      </v:shape>
                      <v:shape id="自选图形 823" o:spid="_x0000_s1026" o:spt="32" type="#_x0000_t32" style="position:absolute;left:3214584;top:233078;height:635;width:683940;"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6nTW12gAAAAoBAAAPAAAAAAAA&#10;AAEAIAAAACIAAABkcnMvZG93bnJldi54bWxQSwECFAAUAAAACACHTuJAaXYlEhACAAD2AwAADgAA&#10;AAAAAAABACAAAAApAQAAZHJzL2Uyb0RvYy54bWxQSwUGAAAAAAYABgBZAQAAqwUAAAAA&#10;">
                        <v:fill on="f" focussize="0,0"/>
                        <v:stroke color="#000000" joinstyle="round" endarrow="block" endarrowwidth="narrow"/>
                        <v:imagedata o:title=""/>
                        <o:lock v:ext="edit" aspectratio="f"/>
                      </v:shape>
                      <v:shape id="自选图形 824" o:spid="_x0000_s1026" o:spt="32" type="#_x0000_t32" style="position:absolute;left:3213949;top:992009;height:635;width:683940;"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nTW12gAAAAoBAAAPAAAAAAAAAAEA&#10;IAAAACIAAABkcnMvZG93bnJldi54bWxQSwECFAAUAAAACACHTuJASi+aQg0CAAD2AwAADgAAAAAA&#10;AAABACAAAAApAQAAZHJzL2Uyb0RvYy54bWxQSwUGAAAAAAYABgBZAQAAqAUAAAAA&#10;">
                        <v:fill on="f" focussize="0,0"/>
                        <v:stroke color="#000000" joinstyle="round" endarrow="block" endarrowwidth="narrow"/>
                        <v:imagedata o:title=""/>
                        <o:lock v:ext="edit" aspectratio="f"/>
                      </v:shape>
                      <v:rect id="矩形 825" o:spid="_x0000_s1026" o:spt="1" style="position:absolute;left:3886458;top:106695;height:215930;width:904300;"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GQPBDYAAAACgEAAA8AAAAAAAAA&#10;AQAgAAAAIgAAAGRycy9kb3ducmV2LnhtbFBLAQIUABQAAAAIAIdO4kD3cwYgEQIAADcEAAAOAAAA&#10;AAAAAAEAIAAAACcBAABkcnMvZTJvRG9jLnhtbFBLBQYAAAAABgAGAFkBAACqBQAAAAA=&#10;">
                        <v:fill on="t" focussize="0,0"/>
                        <v:stroke color="#000000" joinstyle="miter"/>
                        <v:imagedata o:title=""/>
                        <o:lock v:ext="edit" aspectratio="f"/>
                        <v:textbox>
                          <w:txbxContent>
                            <w:p w14:paraId="17C9A410">
                              <w:pPr>
                                <w:snapToGrid w:val="0"/>
                                <w:rPr>
                                  <w:rFonts w:hint="default"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废漆渣：</w:t>
                              </w:r>
                              <w:r>
                                <w:rPr>
                                  <w:rFonts w:ascii="Times New Roman" w:hAnsi="Times New Roman" w:eastAsia="黑体" w:cs="Times New Roman"/>
                                  <w:color w:val="000000"/>
                                  <w:sz w:val="15"/>
                                  <w:szCs w:val="15"/>
                                </w:rPr>
                                <w:t>1.8</w:t>
                              </w:r>
                              <w:r>
                                <w:rPr>
                                  <w:rFonts w:hint="eastAsia" w:ascii="Times New Roman" w:hAnsi="Times New Roman" w:eastAsia="黑体" w:cs="Times New Roman"/>
                                  <w:color w:val="000000"/>
                                  <w:sz w:val="15"/>
                                  <w:szCs w:val="15"/>
                                  <w:lang w:val="en-US" w:eastAsia="zh-CN"/>
                                </w:rPr>
                                <w:t>63</w:t>
                              </w:r>
                            </w:p>
                            <w:p w14:paraId="40BC65BB">
                              <w:pPr>
                                <w:snapToGrid w:val="0"/>
                                <w:rPr>
                                  <w:rFonts w:ascii="Times New Roman" w:hAnsi="Times New Roman" w:eastAsia="黑体" w:cs="Times New Roman"/>
                                  <w:sz w:val="15"/>
                                  <w:szCs w:val="15"/>
                                </w:rPr>
                              </w:pPr>
                            </w:p>
                            <w:p w14:paraId="319E066E">
                              <w:pPr>
                                <w:snapToGrid w:val="0"/>
                                <w:rPr>
                                  <w:rFonts w:ascii="Times New Roman" w:hAnsi="Times New Roman" w:eastAsia="黑体" w:cs="Times New Roman"/>
                                  <w:sz w:val="15"/>
                                  <w:szCs w:val="15"/>
                                </w:rPr>
                              </w:pPr>
                            </w:p>
                          </w:txbxContent>
                        </v:textbox>
                      </v:rect>
                      <v:rect id="矩形 826" o:spid="_x0000_s1026" o:spt="1" style="position:absolute;left:3897889;top:506166;height:215930;width:892869;"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ZA8ENgAAAAKAQAADwAAAAAA&#10;AAABACAAAAAiAAAAZHJzL2Rvd25yZXYueG1sUEsBAhQAFAAAAAgAh07iQLV0o5kTAgAANwQAAA4A&#10;AAAAAAAAAQAgAAAAJwEAAGRycy9lMm9Eb2MueG1sUEsFBgAAAAAGAAYAWQEAAKwFAAAAAA==&#10;">
                        <v:fill on="t" focussize="0,0"/>
                        <v:stroke color="#000000" joinstyle="miter"/>
                        <v:imagedata o:title=""/>
                        <o:lock v:ext="edit" aspectratio="f"/>
                        <v:textbox>
                          <w:txbxContent>
                            <w:p w14:paraId="0D5F40C5">
                              <w:pPr>
                                <w:snapToGrid w:val="0"/>
                                <w:rPr>
                                  <w:rFonts w:hint="default"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漆雾：</w:t>
                              </w:r>
                              <w:r>
                                <w:rPr>
                                  <w:rFonts w:ascii="Times New Roman" w:hAnsi="Times New Roman" w:eastAsia="黑体" w:cs="Times New Roman"/>
                                  <w:color w:val="000000"/>
                                  <w:sz w:val="15"/>
                                  <w:szCs w:val="15"/>
                                </w:rPr>
                                <w:t>9.</w:t>
                              </w:r>
                              <w:r>
                                <w:rPr>
                                  <w:rFonts w:hint="eastAsia" w:ascii="Times New Roman" w:hAnsi="Times New Roman" w:eastAsia="黑体" w:cs="Times New Roman"/>
                                  <w:color w:val="000000"/>
                                  <w:sz w:val="15"/>
                                  <w:szCs w:val="15"/>
                                  <w:lang w:val="en-US" w:eastAsia="zh-CN"/>
                                </w:rPr>
                                <w:t>315</w:t>
                              </w:r>
                            </w:p>
                          </w:txbxContent>
                        </v:textbox>
                      </v:rect>
                      <v:rect id="矩形 827" o:spid="_x0000_s1026" o:spt="1" style="position:absolute;left:3897889;top:885314;height:215930;width:1095448;"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ZA8ENgAAAAKAQAADwAAAAAA&#10;AAABACAAAAAiAAAAZHJzL2Rvd25yZXYueG1sUEsBAhQAFAAAAAgAh07iQFdMLroTAgAAOAQAAA4A&#10;AAAAAAAAAQAgAAAAJwEAAGRycy9lMm9Eb2MueG1sUEsFBgAAAAAGAAYAWQEAAKwFAAAAAA==&#10;">
                        <v:fill on="t" focussize="0,0"/>
                        <v:stroke color="#000000" joinstyle="miter"/>
                        <v:imagedata o:title=""/>
                        <o:lock v:ext="edit" aspectratio="f"/>
                        <v:textbox>
                          <w:txbxContent>
                            <w:p w14:paraId="78ABBFE5">
                              <w:pPr>
                                <w:snapToGrid w:val="0"/>
                                <w:rPr>
                                  <w:rFonts w:hint="default" w:ascii="Times New Roman" w:hAnsi="Times New Roman" w:eastAsia="黑体" w:cs="Times New Roman"/>
                                  <w:sz w:val="15"/>
                                  <w:szCs w:val="15"/>
                                  <w:lang w:val="en-US" w:eastAsia="zh-CN"/>
                                </w:rPr>
                              </w:pPr>
                              <w:r>
                                <w:rPr>
                                  <w:rFonts w:hint="eastAsia" w:ascii="Times New Roman" w:hAnsi="Times New Roman" w:eastAsia="黑体" w:cs="Times New Roman"/>
                                  <w:color w:val="000000"/>
                                  <w:sz w:val="15"/>
                                  <w:szCs w:val="15"/>
                                </w:rPr>
                                <w:t>工件附着：</w:t>
                              </w:r>
                              <w:r>
                                <w:rPr>
                                  <w:rFonts w:ascii="Times New Roman" w:hAnsi="Times New Roman" w:eastAsia="黑体" w:cs="Times New Roman"/>
                                  <w:color w:val="000000"/>
                                  <w:sz w:val="15"/>
                                  <w:szCs w:val="15"/>
                                </w:rPr>
                                <w:t>2</w:t>
                              </w:r>
                              <w:r>
                                <w:rPr>
                                  <w:rFonts w:hint="eastAsia" w:ascii="Times New Roman" w:hAnsi="Times New Roman" w:eastAsia="黑体" w:cs="Times New Roman"/>
                                  <w:color w:val="000000"/>
                                  <w:sz w:val="15"/>
                                  <w:szCs w:val="15"/>
                                  <w:lang w:val="en-US" w:eastAsia="zh-CN"/>
                                </w:rPr>
                                <w:t>6.082</w:t>
                              </w:r>
                            </w:p>
                          </w:txbxContent>
                        </v:textbox>
                      </v:rect>
                      <v:rect id="矩形 828" o:spid="_x0000_s1026" o:spt="1" style="position:absolute;left:6569512;top:155597;height:215930;width:1180544;"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kDwQ2AAAAAoBAAAPAAAAAAAA&#10;AAEAIAAAACIAAABkcnMvZG93bnJldi54bWxQSwECFAAUAAAACACHTuJA3+c43hICAAA4BAAADgAA&#10;AAAAAAABACAAAAAnAQAAZHJzL2Uyb0RvYy54bWxQSwUGAAAAAAYABgBZAQAAqwUAAAAA&#10;">
                        <v:fill on="t" focussize="0,0"/>
                        <v:stroke color="#000000" joinstyle="miter"/>
                        <v:imagedata o:title=""/>
                        <o:lock v:ext="edit" aspectratio="f"/>
                        <v:textbox>
                          <w:txbxContent>
                            <w:p w14:paraId="5F5A830E">
                              <w:pPr>
                                <w:snapToGrid w:val="0"/>
                                <w:rPr>
                                  <w:rFonts w:hint="default"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吸附的漆雾：</w:t>
                              </w:r>
                              <w:r>
                                <w:rPr>
                                  <w:rFonts w:ascii="Times New Roman" w:hAnsi="Times New Roman" w:eastAsia="黑体" w:cs="Times New Roman"/>
                                  <w:color w:val="000000"/>
                                  <w:sz w:val="15"/>
                                  <w:szCs w:val="15"/>
                                </w:rPr>
                                <w:t>8.</w:t>
                              </w:r>
                              <w:r>
                                <w:rPr>
                                  <w:rFonts w:hint="eastAsia" w:ascii="Times New Roman" w:hAnsi="Times New Roman" w:eastAsia="黑体" w:cs="Times New Roman"/>
                                  <w:color w:val="000000"/>
                                  <w:sz w:val="15"/>
                                  <w:szCs w:val="15"/>
                                  <w:lang w:val="en-US" w:eastAsia="zh-CN"/>
                                </w:rPr>
                                <w:t>80</w:t>
                              </w:r>
                            </w:p>
                            <w:p w14:paraId="35020500">
                              <w:pPr>
                                <w:snapToGrid w:val="0"/>
                                <w:rPr>
                                  <w:rFonts w:ascii="Times New Roman" w:hAnsi="Times New Roman" w:eastAsia="黑体" w:cs="Times New Roman"/>
                                  <w:sz w:val="15"/>
                                  <w:szCs w:val="15"/>
                                </w:rPr>
                              </w:pPr>
                            </w:p>
                          </w:txbxContent>
                        </v:textbox>
                      </v:rect>
                      <v:rect id="矩形 829" o:spid="_x0000_s1026" o:spt="1" style="position:absolute;left:6597454;top:890395;height:215930;width:856672;"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ZA8ENgAAAAKAQAADwAAAAAA&#10;AAABACAAAAAiAAAAZHJzL2Rvd25yZXYueG1sUEsBAhQAFAAAAAgAh07iQNG7MJ4TAgAANwQAAA4A&#10;AAAAAAAAAQAgAAAAJwEAAGRycy9lMm9Eb2MueG1sUEsFBgAAAAAGAAYAWQEAAKwFAAAAAA==&#10;">
                        <v:fill on="t" focussize="0,0"/>
                        <v:stroke color="#000000" joinstyle="miter"/>
                        <v:imagedata o:title=""/>
                        <o:lock v:ext="edit" aspectratio="f"/>
                        <v:textbox>
                          <w:txbxContent>
                            <w:p w14:paraId="3219C70B">
                              <w:pPr>
                                <w:snapToGrid w:val="0"/>
                                <w:rPr>
                                  <w:rFonts w:hint="eastAsia"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无组织：</w:t>
                              </w:r>
                              <w:r>
                                <w:rPr>
                                  <w:rFonts w:ascii="Times New Roman" w:hAnsi="Times New Roman" w:eastAsia="黑体" w:cs="Times New Roman"/>
                                  <w:color w:val="000000"/>
                                  <w:sz w:val="15"/>
                                  <w:szCs w:val="15"/>
                                </w:rPr>
                                <w:t>0.46</w:t>
                              </w:r>
                              <w:r>
                                <w:rPr>
                                  <w:rFonts w:hint="eastAsia" w:ascii="Times New Roman" w:hAnsi="Times New Roman" w:eastAsia="黑体" w:cs="Times New Roman"/>
                                  <w:color w:val="000000"/>
                                  <w:sz w:val="15"/>
                                  <w:szCs w:val="15"/>
                                  <w:lang w:val="en-US" w:eastAsia="zh-CN"/>
                                </w:rPr>
                                <w:t>6</w:t>
                              </w:r>
                            </w:p>
                            <w:p w14:paraId="6D86D93C">
                              <w:pPr>
                                <w:snapToGrid w:val="0"/>
                                <w:rPr>
                                  <w:rFonts w:ascii="Times New Roman" w:hAnsi="Times New Roman" w:eastAsia="黑体" w:cs="Times New Roman"/>
                                  <w:sz w:val="15"/>
                                  <w:szCs w:val="15"/>
                                </w:rPr>
                              </w:pPr>
                            </w:p>
                          </w:txbxContent>
                        </v:textbox>
                      </v:rect>
                      <v:shape id="自选图形 830" o:spid="_x0000_s1026" o:spt="32" type="#_x0000_t32" style="position:absolute;left:1450436;top:2030380;height:635;width:504224;"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dNbXaAAAACgEAAA8AAAAAAAAAAQAg&#10;AAAAIgAAAGRycy9kb3ducmV2LnhtbFBLAQIUABQAAAAIAIdO4kDZgkCKDAIAAPcDAAAOAAAAAAAA&#10;AAEAIAAAACkBAABkcnMvZTJvRG9jLnhtbFBLBQYAAAAABgAGAFkBAACnBQAAAAA=&#10;">
                        <v:fill on="f" focussize="0,0"/>
                        <v:stroke color="#000000" joinstyle="round" endarrow="block" endarrowwidth="narrow"/>
                        <v:imagedata o:title=""/>
                        <o:lock v:ext="edit" aspectratio="f"/>
                      </v:shape>
                      <v:rect id="矩形 831" o:spid="_x0000_s1026" o:spt="1" style="position:absolute;left:1974346;top:2621648;height:368987;width:705532;"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BkDwQ2AAAAAoBAAAPAAAAAAAAAAEA&#10;IAAAACIAAABkcnMvZG93bnJldi54bWxQSwECFAAUAAAACACHTuJAOZIlRw8CAAA4BAAADgAAAAAA&#10;AAABACAAAAAnAQAAZHJzL2Uyb0RvYy54bWxQSwUGAAAAAAYABgBZAQAAqAUAAAAA&#10;">
                        <v:fill on="t" focussize="0,0"/>
                        <v:stroke color="#000000" joinstyle="miter"/>
                        <v:imagedata o:title=""/>
                        <o:lock v:ext="edit" aspectratio="f"/>
                        <v:textbox>
                          <w:txbxContent>
                            <w:p w14:paraId="0282699F">
                              <w:pPr>
                                <w:snapToGrid w:val="0"/>
                                <w:jc w:val="center"/>
                                <w:rPr>
                                  <w:rFonts w:ascii="Times New Roman" w:hAnsi="Times New Roman" w:eastAsia="黑体" w:cs="Times New Roman"/>
                                  <w:sz w:val="15"/>
                                  <w:szCs w:val="15"/>
                                </w:rPr>
                              </w:pPr>
                              <w:r>
                                <w:rPr>
                                  <w:rFonts w:hint="eastAsia" w:ascii="Times New Roman" w:hAnsi="Times New Roman" w:eastAsia="黑体" w:cs="Times New Roman"/>
                                  <w:sz w:val="15"/>
                                  <w:szCs w:val="15"/>
                                </w:rPr>
                                <w:t>非甲烷总烃</w:t>
                              </w:r>
                            </w:p>
                            <w:p w14:paraId="600A77CB">
                              <w:pPr>
                                <w:snapToGrid w:val="0"/>
                                <w:jc w:val="center"/>
                                <w:rPr>
                                  <w:rFonts w:hint="eastAsia" w:ascii="Times New Roman" w:hAnsi="Times New Roman" w:eastAsia="黑体" w:cs="Times New Roman"/>
                                  <w:sz w:val="15"/>
                                  <w:szCs w:val="15"/>
                                  <w:lang w:val="en-US" w:eastAsia="zh-CN"/>
                                </w:rPr>
                              </w:pPr>
                              <w:r>
                                <w:rPr>
                                  <w:rFonts w:ascii="Times New Roman" w:hAnsi="Times New Roman" w:eastAsia="黑体" w:cs="Times New Roman"/>
                                  <w:sz w:val="15"/>
                                  <w:szCs w:val="15"/>
                                </w:rPr>
                                <w:t>0.86</w:t>
                              </w:r>
                              <w:r>
                                <w:rPr>
                                  <w:rFonts w:hint="eastAsia" w:ascii="Times New Roman" w:hAnsi="Times New Roman" w:eastAsia="黑体" w:cs="Times New Roman"/>
                                  <w:sz w:val="15"/>
                                  <w:szCs w:val="15"/>
                                  <w:lang w:val="en-US" w:eastAsia="zh-CN"/>
                                </w:rPr>
                                <w:t>8</w:t>
                              </w:r>
                            </w:p>
                          </w:txbxContent>
                        </v:textbox>
                      </v:rect>
                      <v:shape id="自选图形 832" o:spid="_x0000_s1026" o:spt="32" type="#_x0000_t32" style="position:absolute;left:2669718;top:2024029;height:635;width:1080207;"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6nTW12gAAAAoBAAAPAAAAAAAA&#10;AAEAIAAAACIAAABkcnMvZG93bnJldi54bWxQSwECFAAUAAAACACHTuJA9/056BACAAD4AwAADgAA&#10;AAAAAAABACAAAAApAQAAZHJzL2Uyb0RvYy54bWxQSwUGAAAAAAYABgBZAQAAqwUAAAAA&#10;">
                        <v:fill on="f" focussize="0,0"/>
                        <v:stroke color="#000000" joinstyle="round" endarrow="block" endarrowwidth="narrow"/>
                        <v:imagedata o:title=""/>
                        <o:lock v:ext="edit" aspectratio="f"/>
                      </v:shape>
                      <v:rect id="矩形 833" o:spid="_x0000_s1026" o:spt="1" style="position:absolute;left:3746114;top:1810004;height:388039;width:1087192;"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kDwQ2AAAAAoBAAAPAAAAAAAA&#10;AAEAIAAAACIAAABkcnMvZG93bnJldi54bWxQSwECFAAUAAAACACHTuJAznyt8RICAAA5BAAADgAA&#10;AAAAAAABACAAAAAnAQAAZHJzL2Uyb0RvYy54bWxQSwUGAAAAAAYABgBZAQAAqwUAAAAA&#10;">
                        <v:fill on="t" focussize="0,0"/>
                        <v:stroke color="#000000" joinstyle="miter"/>
                        <v:imagedata o:title=""/>
                        <o:lock v:ext="edit" aspectratio="f"/>
                        <v:textbox>
                          <w:txbxContent>
                            <w:p w14:paraId="177CBD85">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0.041</w:t>
                              </w:r>
                            </w:p>
                          </w:txbxContent>
                        </v:textbox>
                      </v:rect>
                      <v:rect id="矩形 834" o:spid="_x0000_s1026" o:spt="1" style="position:absolute;left:3760085;top:1222547;height:471236;width:1044009;"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ZA8ENgAAAAKAQAADwAAAAAAAAAB&#10;ACAAAAAiAAAAZHJzL2Rvd25yZXYueG1sUEsBAhQAFAAAAAgAh07iQHk6TocQAgAAOQQAAA4AAAAA&#10;AAAAAQAgAAAAJwEAAGRycy9lMm9Eb2MueG1sUEsFBgAAAAAGAAYAWQEAAKkFAAAAAA==&#10;">
                        <v:fill on="t" focussize="0,0"/>
                        <v:stroke color="#000000" joinstyle="miter"/>
                        <v:imagedata o:title=""/>
                        <o:lock v:ext="edit" aspectratio="f"/>
                        <v:textbox>
                          <w:txbxContent>
                            <w:p w14:paraId="0998B23C">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无组织非甲烷总烃：</w:t>
                              </w:r>
                              <w:r>
                                <w:rPr>
                                  <w:rFonts w:ascii="Times New Roman" w:hAnsi="Calibri" w:eastAsia="黑体" w:cs="Times New Roman"/>
                                  <w:color w:val="000000"/>
                                  <w:sz w:val="15"/>
                                  <w:szCs w:val="15"/>
                                </w:rPr>
                                <w:t>0.002</w:t>
                              </w:r>
                            </w:p>
                          </w:txbxContent>
                        </v:textbox>
                      </v:rect>
                      <v:shape id="自选图形 835" o:spid="_x0000_s1026" o:spt="33" type="#_x0000_t33" style="position:absolute;left:3302220;top:1563590;height:323895;width:575983;rotation:-5898240f;" filled="f" stroked="t" coordsize="21600,21600" o:gfxdata="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CKv+vZ&#10;AAAACgEAAA8AAAAAAAAAAQAgAAAAIgAAAGRycy9kb3ducmV2LnhtbFBLAQIUABQAAAAIAIdO4kCH&#10;W6VPHwIAAA8EAAAOAAAAAAAAAAEAIAAAACgBAABkcnMvZTJvRG9jLnhtbFBLBQYAAAAABgAGAFkB&#10;AAC5BQAAAAA=&#10;">
                        <v:fill on="f" focussize="0,0"/>
                        <v:stroke color="#000000" joinstyle="miter" endarrow="block" endarrowwidth="narrow"/>
                        <v:imagedata o:title=""/>
                        <o:lock v:ext="edit" aspectratio="f"/>
                      </v:shape>
                      <v:shape id="文本框 836" o:spid="_x0000_s1026" o:spt="202" type="#_x0000_t202" style="position:absolute;left:3360008;top:371527;height:364541;width:462311;"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l3Lu1tcAAAAKAQAADwAAAAAAAAABACAAAAAiAAAAZHJzL2Rvd25yZXYueG1sUEsBAhQA&#10;FAAAAAgAh07iQLV7NmG6AQAAXAMAAA4AAAAAAAAAAQAgAAAAJgEAAGRycy9lMm9Eb2MueG1sUEsF&#10;BgAAAAAGAAYAWQEAAFIFAAAAAA==&#10;">
                        <v:fill on="f" focussize="0,0"/>
                        <v:stroke on="f"/>
                        <v:imagedata o:title=""/>
                        <o:lock v:ext="edit" aspectratio="f"/>
                        <v:textbox>
                          <w:txbxContent>
                            <w:p w14:paraId="437C0001">
                              <w:pPr>
                                <w:rPr>
                                  <w:rFonts w:ascii="Times New Roman" w:hAnsi="Times New Roman" w:cs="Times New Roman"/>
                                  <w:color w:val="000000"/>
                                  <w:sz w:val="15"/>
                                  <w:szCs w:val="15"/>
                                </w:rPr>
                              </w:pPr>
                              <w:r>
                                <w:rPr>
                                  <w:rFonts w:ascii="Times New Roman" w:hAnsi="Times New Roman" w:eastAsia="宋体" w:cs="Times New Roman"/>
                                  <w:color w:val="000000"/>
                                  <w:sz w:val="15"/>
                                  <w:szCs w:val="15"/>
                                </w:rPr>
                                <w:t>25%</w:t>
                              </w:r>
                            </w:p>
                          </w:txbxContent>
                        </v:textbox>
                      </v:shape>
                      <v:shape id="文本框 837" o:spid="_x0000_s1026" o:spt="202" type="#_x0000_t202" style="position:absolute;left:3339052;top:778619;height:364541;width:462311;"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Xcu7W1wAAAAoBAAAPAAAAAAAAAAEAIAAAACIAAABkcnMvZG93bnJldi54bWxQSwEC&#10;FAAUAAAACACHTuJAMFacurwBAABcAwAADgAAAAAAAAABACAAAAAmAQAAZHJzL2Uyb0RvYy54bWxQ&#10;SwUGAAAAAAYABgBZAQAAVAUAAAAA&#10;">
                        <v:fill on="f" focussize="0,0"/>
                        <v:stroke on="f"/>
                        <v:imagedata o:title=""/>
                        <o:lock v:ext="edit" aspectratio="f"/>
                        <v:textbox>
                          <w:txbxContent>
                            <w:p w14:paraId="485E8326">
                              <w:pPr>
                                <w:rPr>
                                  <w:rFonts w:ascii="Times New Roman" w:hAnsi="Times New Roman" w:cs="Times New Roman"/>
                                  <w:color w:val="000000"/>
                                  <w:sz w:val="15"/>
                                  <w:szCs w:val="15"/>
                                </w:rPr>
                              </w:pPr>
                              <w:r>
                                <w:rPr>
                                  <w:rFonts w:ascii="Times New Roman" w:hAnsi="Times New Roman" w:eastAsia="宋体" w:cs="Times New Roman"/>
                                  <w:color w:val="000000"/>
                                  <w:sz w:val="15"/>
                                  <w:szCs w:val="15"/>
                                </w:rPr>
                                <w:t>70%</w:t>
                              </w:r>
                            </w:p>
                          </w:txbxContent>
                        </v:textbox>
                      </v:shape>
                      <v:shape id="文本框 838" o:spid="_x0000_s1026" o:spt="202" type="#_x0000_t202" style="position:absolute;left:4740590;top:172109;height:600159;width:1185624;"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dy7tbXAAAACgEAAA8AAAAAAAAAAQAgAAAAIgAAAGRycy9kb3ducmV2LnhtbFBLAQIU&#10;ABQAAAAIAIdO4kBsf20WuwEAAF0DAAAOAAAAAAAAAAEAIAAAACYBAABkcnMvZTJvRG9jLnhtbFBL&#10;BQYAAAAABgAGAFkBAABTBQAAAAA=&#10;">
                        <v:fill on="f" focussize="0,0"/>
                        <v:stroke on="f"/>
                        <v:imagedata o:title=""/>
                        <o:lock v:ext="edit" aspectratio="f"/>
                        <v:textbox>
                          <w:txbxContent>
                            <w:p w14:paraId="68A237A3">
                              <w:pPr>
                                <w:snapToGrid w:val="0"/>
                                <w:jc w:val="center"/>
                                <w:rPr>
                                  <w:rFonts w:ascii="Times New Roman" w:hAnsi="Times New Roman" w:eastAsia="黑体" w:cs="Times New Roman"/>
                                  <w:color w:val="000000"/>
                                  <w:sz w:val="15"/>
                                  <w:szCs w:val="15"/>
                                </w:rPr>
                              </w:pPr>
                              <w:r>
                                <w:rPr>
                                  <w:rFonts w:hint="eastAsia" w:ascii="Times New Roman" w:hAnsi="Times New Roman" w:eastAsia="黑体" w:cs="Times New Roman"/>
                                  <w:color w:val="000000"/>
                                  <w:sz w:val="15"/>
                                  <w:szCs w:val="15"/>
                                </w:rPr>
                                <w:t>负压收集、水帘</w:t>
                              </w:r>
                              <w:r>
                                <w:rPr>
                                  <w:rFonts w:ascii="Times New Roman" w:hAnsi="Times New Roman" w:eastAsia="黑体" w:cs="Times New Roman"/>
                                  <w:color w:val="000000"/>
                                  <w:sz w:val="15"/>
                                  <w:szCs w:val="15"/>
                                </w:rPr>
                                <w:t>+</w:t>
                              </w:r>
                              <w:r>
                                <w:rPr>
                                  <w:rFonts w:hint="eastAsia" w:ascii="Times New Roman" w:hAnsi="Times New Roman" w:eastAsia="黑体" w:cs="Times New Roman"/>
                                  <w:color w:val="000000"/>
                                  <w:sz w:val="15"/>
                                  <w:szCs w:val="15"/>
                                </w:rPr>
                                <w:t>两级过滤棉（收集效率</w:t>
                              </w:r>
                              <w:r>
                                <w:rPr>
                                  <w:rFonts w:ascii="Times New Roman" w:hAnsi="Times New Roman" w:eastAsia="黑体" w:cs="Times New Roman"/>
                                  <w:color w:val="000000"/>
                                  <w:sz w:val="15"/>
                                  <w:szCs w:val="15"/>
                                </w:rPr>
                                <w:t>95%</w:t>
                              </w:r>
                              <w:r>
                                <w:rPr>
                                  <w:rFonts w:hint="eastAsia" w:ascii="Times New Roman" w:hAnsi="Calibri" w:eastAsia="黑体" w:cs="Times New Roman"/>
                                  <w:color w:val="000000"/>
                                  <w:sz w:val="15"/>
                                  <w:szCs w:val="15"/>
                                </w:rPr>
                                <w:t>、净化效率</w:t>
                              </w:r>
                              <w:r>
                                <w:rPr>
                                  <w:rFonts w:ascii="Times New Roman" w:hAnsi="Times New Roman" w:eastAsia="黑体" w:cs="Times New Roman"/>
                                  <w:color w:val="000000"/>
                                  <w:sz w:val="15"/>
                                  <w:szCs w:val="15"/>
                                </w:rPr>
                                <w:t>99.4%</w:t>
                              </w:r>
                              <w:r>
                                <w:rPr>
                                  <w:rFonts w:hint="eastAsia" w:ascii="Times New Roman" w:hAnsi="Times New Roman" w:eastAsia="黑体" w:cs="Times New Roman"/>
                                  <w:color w:val="000000"/>
                                  <w:sz w:val="15"/>
                                  <w:szCs w:val="15"/>
                                </w:rPr>
                                <w:t>）</w:t>
                              </w:r>
                            </w:p>
                          </w:txbxContent>
                        </v:textbox>
                      </v:shape>
                      <v:shape id="文本框 839" o:spid="_x0000_s1026" o:spt="202" type="#_x0000_t202" style="position:absolute;left:1418049;top:2647052;height:290871;width:738554;"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l3Lu1tcAAAAKAQAADwAAAAAAAAABACAAAAAiAAAAZHJzL2Rvd25yZXYueG1sUEsBAhQA&#10;FAAAAAgAh07iQGoTJgW6AQAAXQMAAA4AAAAAAAAAAQAgAAAAJgEAAGRycy9lMm9Eb2MueG1sUEsF&#10;BgAAAAAGAAYAWQEAAFIFAAAAAA==&#10;">
                        <v:fill on="f" focussize="0,0"/>
                        <v:stroke on="f"/>
                        <v:imagedata o:title=""/>
                        <o:lock v:ext="edit" aspectratio="f"/>
                        <v:textbox>
                          <w:txbxContent>
                            <w:p w14:paraId="175CE7C6">
                              <w:pPr>
                                <w:rPr>
                                  <w:rFonts w:ascii="Times New Roman" w:hAnsi="Times New Roman" w:eastAsia="黑体" w:cs="Times New Roman"/>
                                  <w:sz w:val="15"/>
                                  <w:szCs w:val="15"/>
                                </w:rPr>
                              </w:pPr>
                              <w:r>
                                <w:rPr>
                                  <w:rFonts w:ascii="Times New Roman" w:hAnsi="Times New Roman" w:eastAsia="黑体" w:cs="Times New Roman"/>
                                  <w:sz w:val="15"/>
                                  <w:szCs w:val="15"/>
                                </w:rPr>
                                <w:t>40%</w:t>
                              </w:r>
                              <w:r>
                                <w:rPr>
                                  <w:rFonts w:hint="eastAsia" w:ascii="Times New Roman" w:hAnsi="Times New Roman" w:eastAsia="黑体" w:cs="Times New Roman"/>
                                  <w:sz w:val="15"/>
                                  <w:szCs w:val="15"/>
                                </w:rPr>
                                <w:t>喷漆</w:t>
                              </w:r>
                            </w:p>
                          </w:txbxContent>
                        </v:textbox>
                      </v:shape>
                      <v:rect id="矩形 840" o:spid="_x0000_s1026" o:spt="1" style="position:absolute;left:118118;top:2725803;height:370257;width:1005907;"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GQPBDYAAAACgEAAA8AAAAAAAAAAQAg&#10;AAAAIgAAAGRycy9kb3ducmV2LnhtbFBLAQIUABQAAAAIAIdO4kClQZ7cDgIAADgEAAAOAAAAAAAA&#10;AAEAIAAAACcBAABkcnMvZTJvRG9jLnhtbFBLBQYAAAAABgAGAFkBAACnBQAAAAA=&#10;">
                        <v:fill on="t" focussize="0,0"/>
                        <v:stroke color="#000000" joinstyle="miter"/>
                        <v:imagedata o:title=""/>
                        <o:lock v:ext="edit" aspectratio="f"/>
                        <v:textbox>
                          <w:txbxContent>
                            <w:p w14:paraId="4FD348D3">
                              <w:pPr>
                                <w:snapToGrid w:val="0"/>
                                <w:jc w:val="center"/>
                                <w:rPr>
                                  <w:rFonts w:hint="default" w:ascii="Times New Roman" w:hAnsi="Times New Roman" w:eastAsia="黑体" w:cs="Times New Roman"/>
                                  <w:color w:val="000000"/>
                                  <w:sz w:val="15"/>
                                  <w:szCs w:val="15"/>
                                  <w:lang w:val="en-US" w:eastAsia="zh-CN"/>
                                </w:rPr>
                              </w:pPr>
                              <w:r>
                                <w:rPr>
                                  <w:rFonts w:hint="eastAsia" w:ascii="Times New Roman" w:hAnsi="Times New Roman" w:eastAsia="黑体" w:cs="Times New Roman"/>
                                  <w:color w:val="000000"/>
                                  <w:sz w:val="15"/>
                                  <w:szCs w:val="15"/>
                                </w:rPr>
                                <w:t>挥发份：</w:t>
                              </w:r>
                              <w:r>
                                <w:rPr>
                                  <w:rFonts w:ascii="Times New Roman" w:hAnsi="Times New Roman" w:eastAsia="黑体" w:cs="Times New Roman"/>
                                  <w:color w:val="000000"/>
                                  <w:sz w:val="15"/>
                                  <w:szCs w:val="15"/>
                                </w:rPr>
                                <w:t>2.1</w:t>
                              </w:r>
                              <w:r>
                                <w:rPr>
                                  <w:rFonts w:hint="eastAsia" w:ascii="Times New Roman" w:hAnsi="Times New Roman" w:eastAsia="黑体" w:cs="Times New Roman"/>
                                  <w:color w:val="000000"/>
                                  <w:sz w:val="15"/>
                                  <w:szCs w:val="15"/>
                                  <w:lang w:val="en-US" w:eastAsia="zh-CN"/>
                                </w:rPr>
                                <w:t>71</w:t>
                              </w:r>
                            </w:p>
                          </w:txbxContent>
                        </v:textbox>
                      </v:rect>
                      <v:shape id="文本框 841" o:spid="_x0000_s1026" o:spt="202" type="#_x0000_t202" style="position:absolute;left:2630345;top:1733794;height:464250;width:828095;"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Xcu7W1wAAAAoBAAAPAAAAAAAAAAEAIAAAACIAAABkcnMvZG93bnJldi54bWxQSwEC&#10;FAAUAAAACACHTuJAieoJdLwBAABdAwAADgAAAAAAAAABACAAAAAmAQAAZHJzL2Uyb0RvYy54bWxQ&#10;SwUGAAAAAAYABgBZAQAAVAUAAAAA&#10;">
                        <v:fill on="f" focussize="0,0"/>
                        <v:stroke on="f"/>
                        <v:imagedata o:title=""/>
                        <o:lock v:ext="edit" aspectratio="f"/>
                        <v:textbox>
                          <w:txbxContent>
                            <w:p w14:paraId="30C7A908">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负压收集（收集效率</w:t>
                              </w:r>
                              <w:r>
                                <w:rPr>
                                  <w:rFonts w:ascii="Times New Roman" w:hAnsi="Calibri" w:eastAsia="黑体" w:cs="Times New Roman"/>
                                  <w:color w:val="000000"/>
                                  <w:sz w:val="15"/>
                                  <w:szCs w:val="15"/>
                                </w:rPr>
                                <w:t>95%</w:t>
                              </w:r>
                              <w:r>
                                <w:rPr>
                                  <w:rFonts w:hint="eastAsia" w:ascii="Times New Roman" w:hAnsi="Calibri" w:eastAsia="黑体" w:cs="Times New Roman"/>
                                  <w:color w:val="000000"/>
                                  <w:sz w:val="15"/>
                                  <w:szCs w:val="15"/>
                                </w:rPr>
                                <w:t>）</w:t>
                              </w:r>
                            </w:p>
                            <w:p w14:paraId="4313774E"/>
                          </w:txbxContent>
                        </v:textbox>
                      </v:shape>
                      <v:shape id="自选图形 842" o:spid="_x0000_s1026" o:spt="33" type="#_x0000_t33" style="position:absolute;left:7812290;top:1086003;height:222916;width:1223091;rotation:5898240f;" filled="f" stroked="t" coordsize="21600,21600" o:gfxdata="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nJN0dgAAAAK&#10;AQAADwAAAAAAAAABACAAAAAiAAAAZHJzL2Rvd25yZXYueG1sUEsBAhQAFAAAAAgAh07iQCjNnI0c&#10;AgAADwQAAA4AAAAAAAAAAQAgAAAAJwEAAGRycy9lMm9Eb2MueG1sUEsFBgAAAAAGAAYAWQEAALUF&#10;AAAAAA==&#10;">
                        <v:fill on="f" focussize="0,0"/>
                        <v:stroke color="#000000" joinstyle="miter" endarrow="block" endarrowwidth="narrow"/>
                        <v:imagedata o:title=""/>
                        <o:lock v:ext="edit" aspectratio="f"/>
                      </v:shape>
                      <v:shape id="文本框 843" o:spid="_x0000_s1026" o:spt="202" type="#_x0000_t202" style="position:absolute;left:3380330;top:0;height:364541;width:462311;"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dy7tbXAAAACgEAAA8AAAAAAAAAAQAgAAAAIgAAAGRycy9kb3ducmV2LnhtbFBLAQIUABQAAAAI&#10;AIdO4kDCbTFItQEAAFcDAAAOAAAAAAAAAAEAIAAAACYBAABkcnMvZTJvRG9jLnhtbFBLBQYAAAAA&#10;BgAGAFkBAABNBQAAAAA=&#10;">
                        <v:fill on="f" focussize="0,0"/>
                        <v:stroke on="f"/>
                        <v:imagedata o:title=""/>
                        <o:lock v:ext="edit" aspectratio="f"/>
                        <v:textbox>
                          <w:txbxContent>
                            <w:p w14:paraId="78CE3802">
                              <w:pPr>
                                <w:rPr>
                                  <w:rFonts w:ascii="Times New Roman" w:hAnsi="Times New Roman" w:cs="Times New Roman"/>
                                  <w:color w:val="000000"/>
                                  <w:sz w:val="15"/>
                                  <w:szCs w:val="15"/>
                                </w:rPr>
                              </w:pPr>
                              <w:r>
                                <w:rPr>
                                  <w:rFonts w:ascii="Times New Roman" w:hAnsi="Times New Roman" w:eastAsia="宋体" w:cs="Times New Roman"/>
                                  <w:color w:val="000000"/>
                                  <w:sz w:val="15"/>
                                  <w:szCs w:val="15"/>
                                </w:rPr>
                                <w:t>5%</w:t>
                              </w:r>
                            </w:p>
                          </w:txbxContent>
                        </v:textbox>
                      </v:shape>
                      <v:shape id="自选图形 844" o:spid="_x0000_s1026" o:spt="32" type="#_x0000_t32" style="position:absolute;left:5884936;top:264197;height:756391;width:635;" filled="f" stroked="t" coordsize="21600,21600" o:gfxdata="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&#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EXLgU2QAAAAoBAAAPAAAAAAAAAAEAIAAAACIAAABk&#10;cnMvZG93bnJldi54bWxQSwECFAAUAAAACACHTuJATIpDQwUCAADzAwAADgAAAAAAAAABACAAAAAo&#10;AQAAZHJzL2Uyb0RvYy54bWxQSwUGAAAAAAYABgBZAQAAnwUAAAAA&#10;">
                        <v:fill on="f" focussize="0,0"/>
                        <v:stroke color="#000000" joinstyle="round"/>
                        <v:imagedata o:title=""/>
                        <o:lock v:ext="edit" aspectratio="f"/>
                      </v:shape>
                      <v:shape id="自选图形 845" o:spid="_x0000_s1026" o:spt="32" type="#_x0000_t32" style="position:absolute;left:5886206;top:259116;height:635;width:683940;"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up01tdoAAAAKAQAADwAAAAAA&#10;AAABACAAAAAiAAAAZHJzL2Rvd25yZXYueG1sUEsBAhQAFAAAAAgAh07iQKrvjfERAgAA9gMAAA4A&#10;AAAAAAAAAQAgAAAAKQEAAGRycy9lMm9Eb2MueG1sUEsFBgAAAAAGAAYAWQEAAKwFAAAAAA==&#10;">
                        <v:fill on="f" focussize="0,0"/>
                        <v:stroke color="#000000" joinstyle="round" endarrow="block" endarrowwidth="narrow"/>
                        <v:imagedata o:title=""/>
                        <o:lock v:ext="edit" aspectratio="f"/>
                      </v:shape>
                      <v:shape id="自选图形 846" o:spid="_x0000_s1026" o:spt="32" type="#_x0000_t32" style="position:absolute;left:5885571;top:1018048;height:635;width:683940;"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6nTW12gAAAAoBAAAPAAAAAAAA&#10;AAEAIAAAACIAAABkcnMvZG93bnJldi54bWxQSwECFAAUAAAACACHTuJA7KrkQBACAAD3AwAADgAA&#10;AAAAAAABACAAAAApAQAAZHJzL2Uyb0RvYy54bWxQSwUGAAAAAAYABgBZAQAAqwUAAAAA&#10;">
                        <v:fill on="f" focussize="0,0"/>
                        <v:stroke color="#000000" joinstyle="round" endarrow="block" endarrowwidth="narrow"/>
                        <v:imagedata o:title=""/>
                        <o:lock v:ext="edit" aspectratio="f"/>
                      </v:shape>
                      <v:shape id="自选图形 847" o:spid="_x0000_s1026" o:spt="32" type="#_x0000_t32" style="position:absolute;left:4803459;top:598889;flip:y;height:635;width:3725158;" filled="f" stroked="t" coordsize="21600,21600" o:gfxdata="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CZprDYAAAACgEAAA8AAAAAAAAAAQAg&#10;AAAAIgAAAGRycy9kb3ducmV2LnhtbFBLAQIUABQAAAAIAIdO4kCXHw2ZDgIAAP4DAAAOAAAAAAAA&#10;AAEAIAAAACcBAABkcnMvZTJvRG9jLnhtbFBLBQYAAAAABgAGAFkBAACnBQAAAAA=&#10;">
                        <v:fill on="f" focussize="0,0"/>
                        <v:stroke color="#000000" joinstyle="round"/>
                        <v:imagedata o:title=""/>
                        <o:lock v:ext="edit" aspectratio="f"/>
                      </v:shape>
                      <v:shape id="自选图形 848" o:spid="_x0000_s1026" o:spt="32" type="#_x0000_t32" style="position:absolute;left:1450436;top:2042447;height:1717916;width:5080;" filled="f" stroked="t" coordsize="21600,21600" o:gfxdata="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XLgU2QAAAAoBAAAPAAAAAAAAAAEAIAAAACIA&#10;AABkcnMvZG93bnJldi54bWxQSwECFAAUAAAACACHTuJAUi3m+ggCAAD2AwAADgAAAAAAAAABACAA&#10;AAAoAQAAZHJzL2Uyb0RvYy54bWxQSwUGAAAAAAYABgBZAQAAogUAAAAA&#10;">
                        <v:fill on="f" focussize="0,0"/>
                        <v:stroke color="#000000" joinstyle="round"/>
                        <v:imagedata o:title=""/>
                        <o:lock v:ext="edit" aspectratio="f"/>
                      </v:shape>
                      <v:rect id="矩形 849" o:spid="_x0000_s1026" o:spt="1" style="position:absolute;left:1967361;top:3559675;height:436306;width:704897;"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GQPBDYAAAACgEAAA8AAAAAAAAAAQAg&#10;AAAAIgAAAGRycy9kb3ducmV2LnhtbFBLAQIUABQAAAAIAIdO4kAbxGy1DgIAADgEAAAOAAAAAAAA&#10;AAEAIAAAACcBAABkcnMvZTJvRG9jLnhtbFBLBQYAAAAABgAGAFkBAACnBQAAAAA=&#10;">
                        <v:fill on="t" focussize="0,0"/>
                        <v:stroke color="#000000" joinstyle="miter"/>
                        <v:imagedata o:title=""/>
                        <o:lock v:ext="edit" aspectratio="f"/>
                        <v:textbox>
                          <w:txbxContent>
                            <w:p w14:paraId="472AE320">
                              <w:pPr>
                                <w:snapToGrid w:val="0"/>
                                <w:jc w:val="center"/>
                                <w:rPr>
                                  <w:rFonts w:ascii="Times New Roman" w:hAnsi="Times New Roman" w:eastAsia="黑体" w:cs="Times New Roman"/>
                                  <w:color w:val="000000"/>
                                  <w:sz w:val="15"/>
                                  <w:szCs w:val="15"/>
                                </w:rPr>
                              </w:pPr>
                              <w:r>
                                <w:rPr>
                                  <w:rFonts w:hint="eastAsia" w:ascii="Times New Roman" w:hAnsi="Times New Roman" w:eastAsia="黑体" w:cs="Times New Roman"/>
                                  <w:color w:val="000000"/>
                                  <w:sz w:val="15"/>
                                  <w:szCs w:val="15"/>
                                </w:rPr>
                                <w:t>非甲烷总烃</w:t>
                              </w:r>
                            </w:p>
                            <w:p w14:paraId="5A7B7FD3">
                              <w:pPr>
                                <w:snapToGrid w:val="0"/>
                                <w:jc w:val="center"/>
                                <w:rPr>
                                  <w:rFonts w:hint="default" w:ascii="Times New Roman" w:hAnsi="Times New Roman" w:eastAsia="黑体" w:cs="Times New Roman"/>
                                  <w:color w:val="000000"/>
                                  <w:sz w:val="15"/>
                                  <w:szCs w:val="15"/>
                                  <w:lang w:val="en-US" w:eastAsia="zh-CN"/>
                                </w:rPr>
                              </w:pPr>
                              <w:r>
                                <w:rPr>
                                  <w:rFonts w:ascii="Times New Roman" w:hAnsi="Times New Roman" w:eastAsia="黑体" w:cs="Times New Roman"/>
                                  <w:color w:val="000000"/>
                                  <w:sz w:val="15"/>
                                  <w:szCs w:val="15"/>
                                </w:rPr>
                                <w:t>1.2</w:t>
                              </w:r>
                              <w:r>
                                <w:rPr>
                                  <w:rFonts w:hint="eastAsia" w:ascii="Times New Roman" w:hAnsi="Times New Roman" w:eastAsia="黑体" w:cs="Times New Roman"/>
                                  <w:color w:val="000000"/>
                                  <w:sz w:val="15"/>
                                  <w:szCs w:val="15"/>
                                  <w:lang w:val="en-US" w:eastAsia="zh-CN"/>
                                </w:rPr>
                                <w:t>59</w:t>
                              </w:r>
                            </w:p>
                          </w:txbxContent>
                        </v:textbox>
                      </v:rect>
                      <v:shape id="自选图形 850" o:spid="_x0000_s1026" o:spt="32" type="#_x0000_t32" style="position:absolute;left:1455517;top:3772430;height:635;width:504224;"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p01tdoAAAAKAQAADwAAAAAAAAAB&#10;ACAAAAAiAAAAZHJzL2Rvd25yZXYueG1sUEsBAhQAFAAAAAgAh07iQGV7VDoOAgAA9wMAAA4AAAAA&#10;AAAAAQAgAAAAKQEAAGRycy9lMm9Eb2MueG1sUEsFBgAAAAAGAAYAWQEAAKkFAAAAAA==&#10;">
                        <v:fill on="f" focussize="0,0"/>
                        <v:stroke color="#000000" joinstyle="round" endarrow="block" endarrowwidth="narrow"/>
                        <v:imagedata o:title=""/>
                        <o:lock v:ext="edit" aspectratio="f"/>
                      </v:shape>
                      <v:shape id="文本框 851" o:spid="_x0000_s1026" o:spt="202" type="#_x0000_t202" style="position:absolute;left:1463137;top:3565391;height:290871;width:591859;"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l3Lu1tcAAAAKAQAADwAAAAAAAAABACAAAAAiAAAAZHJzL2Rvd25yZXYueG1sUEsB&#10;AhQAFAAAAAgAh07iQBto7jq9AQAAXQMAAA4AAAAAAAAAAQAgAAAAJgEAAGRycy9lMm9Eb2MueG1s&#10;UEsFBgAAAAAGAAYAWQEAAFUFAAAAAA==&#10;">
                        <v:fill on="f" focussize="0,0"/>
                        <v:stroke on="f"/>
                        <v:imagedata o:title=""/>
                        <o:lock v:ext="edit" aspectratio="f"/>
                        <v:textbox>
                          <w:txbxContent>
                            <w:p w14:paraId="1BBE9B14">
                              <w:pPr>
                                <w:rPr>
                                  <w:rFonts w:ascii="Times New Roman" w:hAnsi="Times New Roman" w:eastAsia="黑体" w:cs="Times New Roman"/>
                                  <w:color w:val="000000"/>
                                  <w:sz w:val="15"/>
                                  <w:szCs w:val="15"/>
                                </w:rPr>
                              </w:pPr>
                              <w:r>
                                <w:rPr>
                                  <w:rFonts w:ascii="Times New Roman" w:hAnsi="Times New Roman" w:eastAsia="黑体" w:cs="Times New Roman"/>
                                  <w:color w:val="000000"/>
                                  <w:sz w:val="15"/>
                                  <w:szCs w:val="15"/>
                                </w:rPr>
                                <w:t>58%</w:t>
                              </w:r>
                              <w:r>
                                <w:rPr>
                                  <w:rFonts w:hint="eastAsia" w:ascii="Times New Roman" w:hAnsi="Times New Roman" w:eastAsia="黑体" w:cs="Times New Roman"/>
                                  <w:color w:val="000000"/>
                                  <w:sz w:val="15"/>
                                  <w:szCs w:val="15"/>
                                </w:rPr>
                                <w:t>烘干</w:t>
                              </w:r>
                            </w:p>
                          </w:txbxContent>
                        </v:textbox>
                      </v:shape>
                      <v:shape id="自选图形 852" o:spid="_x0000_s1026" o:spt="32" type="#_x0000_t32" style="position:absolute;left:2672258;top:3958511;height:635;width:1080207;"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up01tdoAAAAKAQAADwAAAAAA&#10;AAABACAAAAAiAAAAZHJzL2Rvd25yZXYueG1sUEsBAhQAFAAAAAgAh07iQIrhW8kRAgAA+AMAAA4A&#10;AAAAAAAAAQAgAAAAKQEAAGRycy9lMm9Eb2MueG1sUEsFBgAAAAAGAAYAWQEAAKwFAAAAAA==&#10;">
                        <v:fill on="f" focussize="0,0"/>
                        <v:stroke color="#000000" joinstyle="round" endarrow="block" endarrowwidth="narrow"/>
                        <v:imagedata o:title=""/>
                        <o:lock v:ext="edit" aspectratio="f"/>
                      </v:shape>
                      <v:rect id="矩形 853" o:spid="_x0000_s1026" o:spt="1" style="position:absolute;left:3760085;top:3738770;height:442022;width:1044009;"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BkDwQ2AAAAAoBAAAPAAAAAAAAAAEA&#10;IAAAACIAAABkcnMvZG93bnJldi54bWxQSwECFAAUAAAACACHTuJAv3oCfg8CAAA5BAAADgAAAAAA&#10;AAABACAAAAAnAQAAZHJzL2Uyb0RvYy54bWxQSwUGAAAAAAYABgBZAQAAqAUAAAAA&#10;">
                        <v:fill on="t" focussize="0,0"/>
                        <v:stroke color="#000000" joinstyle="miter"/>
                        <v:imagedata o:title=""/>
                        <o:lock v:ext="edit" aspectratio="f"/>
                        <v:textbox>
                          <w:txbxContent>
                            <w:p w14:paraId="668D44EB">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非甲烷总烃</w:t>
                              </w:r>
                            </w:p>
                            <w:p w14:paraId="585A9362">
                              <w:pPr>
                                <w:snapToGrid w:val="0"/>
                                <w:jc w:val="center"/>
                                <w:rPr>
                                  <w:rFonts w:hint="default" w:ascii="Times New Roman" w:hAnsi="Calibri" w:eastAsia="黑体" w:cs="Times New Roman"/>
                                  <w:color w:val="000000"/>
                                  <w:sz w:val="15"/>
                                  <w:szCs w:val="15"/>
                                  <w:lang w:val="en-US" w:eastAsia="zh-CN"/>
                                </w:rPr>
                              </w:pPr>
                              <w:r>
                                <w:rPr>
                                  <w:rFonts w:ascii="Times New Roman" w:hAnsi="Calibri" w:eastAsia="黑体" w:cs="Times New Roman"/>
                                  <w:color w:val="000000"/>
                                  <w:sz w:val="15"/>
                                  <w:szCs w:val="15"/>
                                </w:rPr>
                                <w:t>1.2</w:t>
                              </w:r>
                              <w:r>
                                <w:rPr>
                                  <w:rFonts w:hint="eastAsia" w:ascii="Times New Roman" w:hAnsi="Calibri" w:eastAsia="黑体" w:cs="Times New Roman"/>
                                  <w:color w:val="000000"/>
                                  <w:sz w:val="15"/>
                                  <w:szCs w:val="15"/>
                                  <w:lang w:val="en-US" w:eastAsia="zh-CN"/>
                                </w:rPr>
                                <w:t>59</w:t>
                              </w:r>
                            </w:p>
                          </w:txbxContent>
                        </v:textbox>
                      </v:rect>
                      <v:shape id="文本框 854" o:spid="_x0000_s1026" o:spt="202" type="#_x0000_t202" style="position:absolute;left:2641141;top:3668275;height:364541;width:828095;"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Xcu7W1wAAAAoBAAAPAAAAAAAAAAEAIAAAACIAAABkcnMvZG93bnJldi54bWxQSwECFAAU&#10;AAAACACHTuJANHTxn7kBAABdAwAADgAAAAAAAAABACAAAAAmAQAAZHJzL2Uyb0RvYy54bWxQSwUG&#10;AAAAAAYABgBZAQAAUQUAAAAA&#10;">
                        <v:fill on="f" focussize="0,0"/>
                        <v:stroke on="f"/>
                        <v:imagedata o:title=""/>
                        <o:lock v:ext="edit" aspectratio="f"/>
                        <v:textbox>
                          <w:txbxContent>
                            <w:p w14:paraId="1A03E9E2">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管道收集（收集效率</w:t>
                              </w:r>
                              <w:r>
                                <w:rPr>
                                  <w:rFonts w:ascii="Times New Roman" w:hAnsi="Calibri" w:eastAsia="黑体" w:cs="Times New Roman"/>
                                  <w:color w:val="000000"/>
                                  <w:sz w:val="15"/>
                                  <w:szCs w:val="15"/>
                                </w:rPr>
                                <w:t>100%</w:t>
                              </w:r>
                              <w:r>
                                <w:rPr>
                                  <w:rFonts w:hint="eastAsia" w:ascii="Times New Roman" w:hAnsi="Calibri" w:eastAsia="黑体" w:cs="Times New Roman"/>
                                  <w:color w:val="000000"/>
                                  <w:sz w:val="15"/>
                                  <w:szCs w:val="15"/>
                                </w:rPr>
                                <w:t>）</w:t>
                              </w:r>
                            </w:p>
                            <w:p w14:paraId="5479AD2D">
                              <w:pPr>
                                <w:rPr>
                                  <w:szCs w:val="15"/>
                                </w:rPr>
                              </w:pPr>
                            </w:p>
                          </w:txbxContent>
                        </v:textbox>
                      </v:shape>
                      <v:shape id="自选图形 855" o:spid="_x0000_s1026" o:spt="32" type="#_x0000_t32" style="position:absolute;left:4794569;top:3957241;height:635;width:956374;"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up01tdoAAAAKAQAADwAAAAAA&#10;AAABACAAAAAiAAAAZHJzL2Rvd25yZXYueG1sUEsBAhQAFAAAAAgAh07iQAfVx6cRAgAA9wMAAA4A&#10;AAAAAAAAAQAgAAAAKQEAAGRycy9lMm9Eb2MueG1sUEsFBgAAAAAGAAYAWQEAAKwFAAAAAA==&#10;">
                        <v:fill on="f" focussize="0,0"/>
                        <v:stroke color="#000000" joinstyle="round" endarrow="block" endarrowwidth="narrow"/>
                        <v:imagedata o:title=""/>
                        <o:lock v:ext="edit" aspectratio="f"/>
                      </v:shape>
                      <v:shape id="文本框 856" o:spid="_x0000_s1026" o:spt="202" type="#_x0000_t202" style="position:absolute;left:4833306;top:1680446;height:350569;width:817299;"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l3Lu1tcAAAAKAQAADwAAAAAAAAABACAAAAAiAAAAZHJzL2Rvd25yZXYueG1sUEsBAhQA&#10;FAAAAAgAh07iQEwklR+6AQAAXQMAAA4AAAAAAAAAAQAgAAAAJgEAAGRycy9lMm9Eb2MueG1sUEsF&#10;BgAAAAAGAAYAWQEAAFIFAAAAAA==&#10;">
                        <v:fill on="f" focussize="0,0"/>
                        <v:stroke on="f"/>
                        <v:imagedata o:title=""/>
                        <o:lock v:ext="edit" aspectratio="f"/>
                        <v:textbox>
                          <w:txbxContent>
                            <w:p w14:paraId="4A2A9FD6">
                              <w:pPr>
                                <w:snapToGrid w:val="0"/>
                                <w:jc w:val="center"/>
                                <w:rPr>
                                  <w:rFonts w:ascii="Times New Roman" w:hAnsi="Times New Roman" w:eastAsia="黑体" w:cs="Times New Roman"/>
                                  <w:color w:val="000000"/>
                                  <w:sz w:val="15"/>
                                  <w:szCs w:val="15"/>
                                </w:rPr>
                              </w:pPr>
                              <w:r>
                                <w:rPr>
                                  <w:rFonts w:hint="eastAsia" w:ascii="Times New Roman" w:hAnsi="Calibri" w:eastAsia="黑体" w:cs="Times New Roman"/>
                                  <w:color w:val="000000"/>
                                  <w:sz w:val="15"/>
                                  <w:szCs w:val="15"/>
                                </w:rPr>
                                <w:t>活性炭吸附</w:t>
                              </w:r>
                              <w:r>
                                <w:rPr>
                                  <w:rFonts w:hint="eastAsia" w:ascii="Times New Roman" w:hAnsi="Times New Roman" w:eastAsia="黑体" w:cs="Times New Roman"/>
                                  <w:color w:val="000000"/>
                                  <w:sz w:val="15"/>
                                  <w:szCs w:val="15"/>
                                </w:rPr>
                                <w:t>（</w:t>
                              </w:r>
                              <w:r>
                                <w:rPr>
                                  <w:rFonts w:hint="eastAsia" w:ascii="Times New Roman" w:hAnsi="Calibri" w:eastAsia="黑体" w:cs="Times New Roman"/>
                                  <w:color w:val="000000"/>
                                  <w:sz w:val="15"/>
                                  <w:szCs w:val="15"/>
                                </w:rPr>
                                <w:t>净化效率</w:t>
                              </w:r>
                              <w:r>
                                <w:rPr>
                                  <w:rFonts w:ascii="Times New Roman" w:hAnsi="Times New Roman" w:eastAsia="黑体" w:cs="Times New Roman"/>
                                  <w:color w:val="000000"/>
                                  <w:sz w:val="15"/>
                                  <w:szCs w:val="15"/>
                                </w:rPr>
                                <w:t>90%</w:t>
                              </w:r>
                              <w:r>
                                <w:rPr>
                                  <w:rFonts w:hint="eastAsia" w:ascii="Times New Roman" w:hAnsi="Times New Roman" w:eastAsia="黑体" w:cs="Times New Roman"/>
                                  <w:color w:val="000000"/>
                                  <w:sz w:val="15"/>
                                  <w:szCs w:val="15"/>
                                </w:rPr>
                                <w:t>）</w:t>
                              </w:r>
                            </w:p>
                          </w:txbxContent>
                        </v:textbox>
                      </v:shape>
                      <v:shape id="文本框 857" o:spid="_x0000_s1026" o:spt="202" type="#_x0000_t202" style="position:absolute;left:4792664;top:3657479;height:350569;width:817299;"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dy7tbXAAAACgEAAA8AAAAAAAAAAQAgAAAAIgAAAGRycy9kb3ducmV2LnhtbFBLAQIU&#10;ABQAAAAIAIdO4kBiLaB/uwEAAF0DAAAOAAAAAAAAAAEAIAAAACYBAABkcnMvZTJvRG9jLnhtbFBL&#10;BQYAAAAABgAGAFkBAABTBQAAAAA=&#10;">
                        <v:fill on="f" focussize="0,0"/>
                        <v:stroke on="f"/>
                        <v:imagedata o:title=""/>
                        <o:lock v:ext="edit" aspectratio="f"/>
                        <v:textbox>
                          <w:txbxContent>
                            <w:p w14:paraId="5CA99213">
                              <w:pPr>
                                <w:snapToGrid w:val="0"/>
                                <w:jc w:val="center"/>
                                <w:rPr>
                                  <w:rFonts w:ascii="Times New Roman" w:hAnsi="Times New Roman" w:eastAsia="黑体" w:cs="Times New Roman"/>
                                  <w:color w:val="000000"/>
                                  <w:sz w:val="15"/>
                                  <w:szCs w:val="15"/>
                                </w:rPr>
                              </w:pPr>
                              <w:r>
                                <w:rPr>
                                  <w:rFonts w:hint="eastAsia" w:ascii="Times New Roman" w:hAnsi="Calibri" w:eastAsia="黑体" w:cs="Times New Roman"/>
                                  <w:color w:val="000000"/>
                                  <w:sz w:val="15"/>
                                  <w:szCs w:val="15"/>
                                </w:rPr>
                                <w:t>活性炭吸附</w:t>
                              </w:r>
                              <w:r>
                                <w:rPr>
                                  <w:rFonts w:hint="eastAsia" w:ascii="Times New Roman" w:hAnsi="Times New Roman" w:eastAsia="黑体" w:cs="Times New Roman"/>
                                  <w:color w:val="000000"/>
                                  <w:sz w:val="15"/>
                                  <w:szCs w:val="15"/>
                                </w:rPr>
                                <w:t>（</w:t>
                              </w:r>
                              <w:r>
                                <w:rPr>
                                  <w:rFonts w:hint="eastAsia" w:ascii="Times New Roman" w:hAnsi="Calibri" w:eastAsia="黑体" w:cs="Times New Roman"/>
                                  <w:color w:val="000000"/>
                                  <w:sz w:val="15"/>
                                  <w:szCs w:val="15"/>
                                </w:rPr>
                                <w:t>净化效率</w:t>
                              </w:r>
                              <w:r>
                                <w:rPr>
                                  <w:rFonts w:ascii="Times New Roman" w:hAnsi="Times New Roman" w:eastAsia="黑体" w:cs="Times New Roman"/>
                                  <w:color w:val="000000"/>
                                  <w:sz w:val="15"/>
                                  <w:szCs w:val="15"/>
                                </w:rPr>
                                <w:t>90%</w:t>
                              </w:r>
                              <w:r>
                                <w:rPr>
                                  <w:rFonts w:hint="eastAsia" w:ascii="Times New Roman" w:hAnsi="Times New Roman" w:eastAsia="黑体" w:cs="Times New Roman"/>
                                  <w:color w:val="000000"/>
                                  <w:sz w:val="15"/>
                                  <w:szCs w:val="15"/>
                                </w:rPr>
                                <w:t>）</w:t>
                              </w:r>
                            </w:p>
                            <w:p w14:paraId="6CFC646D">
                              <w:pPr>
                                <w:rPr>
                                  <w:szCs w:val="15"/>
                                </w:rPr>
                              </w:pPr>
                            </w:p>
                          </w:txbxContent>
                        </v:textbox>
                      </v:shape>
                      <v:shape id="自选图形 858" o:spid="_x0000_s1026" o:spt="32" type="#_x0000_t32" style="position:absolute;left:4859978;top:2003071;height:635;width:880169;"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6nTW12gAAAAoBAAAPAAAAAAAA&#10;AAEAIAAAACIAAABkcnMvZG93bnJldi54bWxQSwECFAAUAAAACACHTuJAdeIWZxACAAD3AwAADgAA&#10;AAAAAAABACAAAAApAQAAZHJzL2Uyb0RvYy54bWxQSwUGAAAAAAYABgBZAQAAqwUAAAAA&#10;">
                        <v:fill on="f" focussize="0,0"/>
                        <v:stroke color="#000000" joinstyle="round" endarrow="block" endarrowwidth="narrow"/>
                        <v:imagedata o:title=""/>
                        <o:lock v:ext="edit" aspectratio="f"/>
                      </v:shape>
                      <v:rect id="矩形 859" o:spid="_x0000_s1026" o:spt="1" style="position:absolute;left:6138953;top:3403443;height:374703;width:1068141;"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ZA8ENgAAAAKAQAADwAAAAAA&#10;AAABACAAAAAiAAAAZHJzL2Rvd25yZXYueG1sUEsBAhQAFAAAAAgAh07iQJ+MKmETAgAAOQQAAA4A&#10;AAAAAAAAAQAgAAAAJwEAAGRycy9lMm9Eb2MueG1sUEsFBgAAAAAGAAYAWQEAAKwFAAAAAA==&#10;">
                        <v:fill on="t" focussize="0,0"/>
                        <v:stroke color="#000000" joinstyle="miter"/>
                        <v:imagedata o:title=""/>
                        <o:lock v:ext="edit" aspectratio="f"/>
                        <v:textbox>
                          <w:txbxContent>
                            <w:p w14:paraId="08FB729D">
                              <w:pPr>
                                <w:snapToGrid w:val="0"/>
                                <w:jc w:val="center"/>
                                <w:rPr>
                                  <w:rFonts w:hint="default" w:ascii="Times New Roman" w:hAnsi="Times New Roman" w:eastAsia="黑体" w:cs="Times New Roman"/>
                                  <w:color w:val="000000"/>
                                  <w:sz w:val="15"/>
                                  <w:szCs w:val="15"/>
                                  <w:lang w:val="en-US" w:eastAsia="zh-CN"/>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0.12</w:t>
                              </w:r>
                              <w:r>
                                <w:rPr>
                                  <w:rFonts w:hint="eastAsia" w:ascii="Times New Roman" w:hAnsi="Calibri" w:eastAsia="黑体" w:cs="Times New Roman"/>
                                  <w:color w:val="000000"/>
                                  <w:sz w:val="15"/>
                                  <w:szCs w:val="15"/>
                                  <w:lang w:val="en-US" w:eastAsia="zh-CN"/>
                                </w:rPr>
                                <w:t>59</w:t>
                              </w:r>
                            </w:p>
                          </w:txbxContent>
                        </v:textbox>
                      </v:rect>
                      <v:shape id="自选图形 860" o:spid="_x0000_s1026" o:spt="32" type="#_x0000_t32" style="position:absolute;left:5759198;top:3599050;height:635;width:379755;"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nTW12gAAAAoBAAAPAAAAAAAAAAEA&#10;IAAAACIAAABkcnMvZG93bnJldi54bWxQSwECFAAUAAAACACHTuJA6oc1jA0CAAD3AwAADgAAAAAA&#10;AAABACAAAAApAQAAZHJzL2Uyb0RvYy54bWxQSwUGAAAAAAYABgBZAQAAqAUAAAAA&#10;">
                        <v:fill on="f" focussize="0,0"/>
                        <v:stroke color="#000000" joinstyle="round" endarrow="block" endarrowwidth="narrow"/>
                        <v:imagedata o:title=""/>
                        <o:lock v:ext="edit" aspectratio="f"/>
                      </v:shape>
                      <v:rect id="矩形 861" o:spid="_x0000_s1026" o:spt="1" style="position:absolute;left:6138953;top:4192224;height:341678;width:1192609;"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ZA8ENgAAAAKAQAADwAAAAAAAAAB&#10;ACAAAAAiAAAAZHJzL2Rvd25yZXYueG1sUEsBAhQAFAAAAAgAh07iQNYvfhcQAgAAOQQAAA4AAAAA&#10;AAAAAQAgAAAAJwEAAGRycy9lMm9Eb2MueG1sUEsFBgAAAAAGAAYAWQEAAKkFAAAAAA==&#10;">
                        <v:fill on="t" focussize="0,0"/>
                        <v:stroke color="#000000" joinstyle="miter"/>
                        <v:imagedata o:title=""/>
                        <o:lock v:ext="edit" aspectratio="f"/>
                        <v:textbox>
                          <w:txbxContent>
                            <w:p w14:paraId="0DFBC852">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进入活性炭吸附装置</w:t>
                              </w:r>
                              <w:r>
                                <w:rPr>
                                  <w:rFonts w:ascii="Times New Roman" w:hAnsi="Calibri" w:eastAsia="黑体" w:cs="Times New Roman"/>
                                  <w:color w:val="000000"/>
                                  <w:sz w:val="15"/>
                                  <w:szCs w:val="15"/>
                                </w:rPr>
                                <w:t>1.1</w:t>
                              </w:r>
                              <w:r>
                                <w:rPr>
                                  <w:rFonts w:hint="eastAsia" w:ascii="Times New Roman" w:hAnsi="Calibri" w:eastAsia="黑体" w:cs="Times New Roman"/>
                                  <w:color w:val="000000"/>
                                  <w:sz w:val="15"/>
                                  <w:szCs w:val="15"/>
                                  <w:lang w:val="en-US" w:eastAsia="zh-CN"/>
                                </w:rPr>
                                <w:t>33</w:t>
                              </w:r>
                            </w:p>
                          </w:txbxContent>
                        </v:textbox>
                      </v:rect>
                      <v:shape id="自选图形 862" o:spid="_x0000_s1026" o:spt="32" type="#_x0000_t32" style="position:absolute;left:5759198;top:4371319;height:635;width:379755;"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up01tdoAAAAKAQAADwAAAAAA&#10;AAABACAAAAAiAAAAZHJzL2Rvd25yZXYueG1sUEsBAhQAFAAAAAgAh07iQIiOIEERAgAA9wMAAA4A&#10;AAAAAAAAAQAgAAAAKQEAAGRycy9lMm9Eb2MueG1sUEsFBgAAAAAGAAYAWQEAAKwFAAAAAA==&#10;">
                        <v:fill on="f" focussize="0,0"/>
                        <v:stroke color="#000000" joinstyle="round" endarrow="block" endarrowwidth="narrow"/>
                        <v:imagedata o:title=""/>
                        <o:lock v:ext="edit" aspectratio="f"/>
                      </v:shape>
                      <v:shape id="自选图形 863" o:spid="_x0000_s1026" o:spt="32" type="#_x0000_t32" style="position:absolute;left:5759198;top:3599686;flip:y;height:772268;width:635;" filled="f" stroked="t" coordsize="21600,21600" o:gfxdata="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9ydtPWAAAACgEAAA8AAAAAAAAA&#10;AQAgAAAAIgAAAGRycy9kb3ducmV2LnhtbFBLAQIUABQAAAAIAIdO4kC1+u7kEwIAAP0DAAAOAAAA&#10;AAAAAAEAIAAAACUBAABkcnMvZTJvRG9jLnhtbFBLBQYAAAAABgAGAFkBAACqBQAAAAA=&#10;">
                        <v:fill on="f" focussize="0,0"/>
                        <v:stroke color="#000000" joinstyle="round" endarrowwidth="narrow"/>
                        <v:imagedata o:title=""/>
                        <o:lock v:ext="edit" aspectratio="f"/>
                      </v:shape>
                      <v:shape id="自选图形 864" o:spid="_x0000_s1026" o:spt="32" type="#_x0000_t32" style="position:absolute;left:6952442;top:1858906;flip:y;height:5081;width:254652;" filled="f" stroked="t" coordsize="21600,21600" o:gfxdata="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q3EZtoAAAAKAQAA&#10;DwAAAAAAAAABACAAAAAiAAAAZHJzL2Rvd25yZXYueG1sUEsBAhQAFAAAAAgAh07iQK4pGfkXAgAA&#10;AgQAAA4AAAAAAAAAAQAgAAAAKQEAAGRycy9lMm9Eb2MueG1sUEsFBgAAAAAGAAYAWQEAALIFAAAA&#10;AA==&#10;">
                        <v:fill on="f" focussize="0,0"/>
                        <v:stroke color="#000000" joinstyle="round" endarrow="block" endarrowwidth="narrow"/>
                        <v:imagedata o:title=""/>
                        <o:lock v:ext="edit" aspectratio="f"/>
                      </v:shape>
                      <v:rect id="矩形 865" o:spid="_x0000_s1026" o:spt="1" style="position:absolute;left:7186773;top:1495000;height:628103;width:1125295;"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GQPBDYAAAACgEAAA8AAAAA&#10;AAAAAQAgAAAAIgAAAGRycy9kb3ducmV2LnhtbFBLAQIUABQAAAAIAIdO4kBol8KZFAIAADkEAAAO&#10;AAAAAAAAAAEAIAAAACcBAABkcnMvZTJvRG9jLnhtbFBLBQYAAAAABgAGAFkBAACtBQAAAAA=&#10;">
                        <v:fill on="t" focussize="0,0"/>
                        <v:stroke color="#000000" joinstyle="miter"/>
                        <v:imagedata o:title=""/>
                        <o:lock v:ext="edit" aspectratio="f"/>
                        <v:textbox>
                          <w:txbxContent>
                            <w:p w14:paraId="7D141E65">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0.21</w:t>
                              </w:r>
                              <w:r>
                                <w:rPr>
                                  <w:rFonts w:hint="eastAsia" w:ascii="Times New Roman" w:hAnsi="Calibri" w:eastAsia="黑体" w:cs="Times New Roman"/>
                                  <w:color w:val="000000"/>
                                  <w:sz w:val="15"/>
                                  <w:szCs w:val="15"/>
                                  <w:lang w:val="en-US" w:eastAsia="zh-CN"/>
                                </w:rPr>
                                <w:t>25</w:t>
                              </w:r>
                            </w:p>
                            <w:p w14:paraId="4C6B83EE">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漆雾：</w:t>
                              </w:r>
                              <w:r>
                                <w:rPr>
                                  <w:rFonts w:ascii="Times New Roman" w:hAnsi="Calibri" w:eastAsia="黑体" w:cs="Times New Roman"/>
                                  <w:color w:val="000000"/>
                                  <w:sz w:val="15"/>
                                  <w:szCs w:val="15"/>
                                </w:rPr>
                                <w:t>0.053</w:t>
                              </w:r>
                            </w:p>
                          </w:txbxContent>
                        </v:textbox>
                      </v:rect>
                      <v:shape id="自选图形 866" o:spid="_x0000_s1026" o:spt="32" type="#_x0000_t32" style="position:absolute;left:7745610;top:1300663;flip:x y;height:194337;width:635;" filled="f" stroked="t" coordsize="21600,21600" o:gfxdata="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dsccP2AAAAAoB&#10;AAAPAAAAAAAAAAEAIAAAACIAAABkcnMvZG93bnJldi54bWxQSwECFAAUAAAACACHTuJA1h4xdBsC&#10;AAALBAAADgAAAAAAAAABACAAAAAnAQAAZHJzL2Uyb0RvYy54bWxQSwUGAAAAAAYABgBZAQAAtAUA&#10;AAAA&#10;">
                        <v:fill on="f" focussize="0,0"/>
                        <v:stroke color="#000000" joinstyle="round" endarrow="block" endarrowwidth="narrow"/>
                        <v:imagedata o:title=""/>
                        <o:lock v:ext="edit" aspectratio="f"/>
                      </v:shape>
                      <v:rect id="矩形 867" o:spid="_x0000_s1026" o:spt="1" style="position:absolute;left:6526329;top:1116487;height:215930;width:2195976;" filled="f" stroked="f" coordsize="21600,21600" o:gfxdata="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VFxHn2wAAAAoBAAAPAAAAAAAAAAEAIAAAACIAAABkcnMvZG93bnJldi54bWxQSwECFAAU&#10;AAAACACHTuJABz5TALUBAABRAwAADgAAAAAAAAABACAAAAAqAQAAZHJzL2Uyb0RvYy54bWxQSwUG&#10;AAAAAAYABgBZAQAAUQUAAAAA&#10;">
                        <v:fill on="f" focussize="0,0"/>
                        <v:stroke on="f"/>
                        <v:imagedata o:title=""/>
                        <o:lock v:ext="edit" aspectratio="f"/>
                        <v:textbox>
                          <w:txbxContent>
                            <w:p w14:paraId="630D1852">
                              <w:pPr>
                                <w:snapToGrid w:val="0"/>
                                <w:ind w:firstLine="1200" w:firstLineChars="800"/>
                                <w:rPr>
                                  <w:rFonts w:ascii="Times New Roman" w:hAnsi="Times New Roman" w:eastAsia="黑体" w:cs="Times New Roman"/>
                                  <w:sz w:val="15"/>
                                  <w:szCs w:val="15"/>
                                </w:rPr>
                              </w:pPr>
                              <w:r>
                                <w:rPr>
                                  <w:rFonts w:ascii="Times New Roman" w:hAnsi="Times New Roman" w:eastAsia="黑体" w:cs="Times New Roman"/>
                                  <w:sz w:val="15"/>
                                  <w:szCs w:val="15"/>
                                </w:rPr>
                                <w:t>20m</w:t>
                              </w:r>
                              <w:r>
                                <w:rPr>
                                  <w:rFonts w:hint="eastAsia" w:ascii="Times New Roman" w:hAnsi="Calibri" w:eastAsia="黑体" w:cs="Times New Roman"/>
                                  <w:sz w:val="15"/>
                                  <w:szCs w:val="15"/>
                                </w:rPr>
                                <w:t>高</w:t>
                              </w:r>
                              <w:r>
                                <w:rPr>
                                  <w:rFonts w:ascii="Times New Roman" w:hAnsi="Times New Roman" w:eastAsia="黑体" w:cs="Times New Roman"/>
                                  <w:sz w:val="15"/>
                                  <w:szCs w:val="15"/>
                                </w:rPr>
                                <w:t>DA0</w:t>
                              </w:r>
                              <w:r>
                                <w:rPr>
                                  <w:rFonts w:hint="eastAsia" w:ascii="Times New Roman" w:hAnsi="Times New Roman" w:eastAsia="黑体" w:cs="Times New Roman"/>
                                  <w:sz w:val="15"/>
                                  <w:szCs w:val="15"/>
                                  <w:lang w:val="en-US" w:eastAsia="zh-CN"/>
                                </w:rPr>
                                <w:t>01</w:t>
                              </w:r>
                              <w:r>
                                <w:rPr>
                                  <w:rFonts w:hint="eastAsia" w:ascii="Times New Roman" w:hAnsi="Calibri" w:eastAsia="黑体" w:cs="Times New Roman"/>
                                  <w:sz w:val="15"/>
                                  <w:szCs w:val="15"/>
                                </w:rPr>
                                <w:t>排气筒</w:t>
                              </w:r>
                            </w:p>
                          </w:txbxContent>
                        </v:textbox>
                      </v:rect>
                      <v:shape id="自选图形 868" o:spid="_x0000_s1026" o:spt="33" type="#_x0000_t33" style="position:absolute;left:7207094;top:2123103;flip:y;height:1461975;width:542326;" filled="f" stroked="t" coordsize="21600,21600" o:gfxdata="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X5y/M1wAAAAoB&#10;AAAPAAAAAAAAAAEAIAAAACIAAABkcnMvZG93bnJldi54bWxQSwECFAAUAAAACACHTuJAovPAbhwC&#10;AAALBAAADgAAAAAAAAABACAAAAAmAQAAZHJzL2Uyb0RvYy54bWxQSwUGAAAAAAYABgBZAQAAtAUA&#10;AAAA&#10;">
                        <v:fill on="f" focussize="0,0"/>
                        <v:stroke color="#000000" joinstyle="miter" endarrow="block" endarrowwidth="narrow"/>
                        <v:imagedata o:title=""/>
                        <o:lock v:ext="edit" aspectratio="f"/>
                      </v:shape>
                      <v:rect id="矩形 869" o:spid="_x0000_s1026" o:spt="1" style="position:absolute;left:6137683;top:1647421;height:475682;width:875723;"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GQPBDYAAAACgEAAA8AAAAAAAAA&#10;AQAgAAAAIgAAAGRycy9kb3ducmV2LnhtbFBLAQIUABQAAAAIAIdO4kCpt4ZwEQIAADgEAAAOAAAA&#10;AAAAAAEAIAAAACcBAABkcnMvZTJvRG9jLnhtbFBLBQYAAAAABgAGAFkBAACqBQAAAAA=&#10;">
                        <v:fill on="t" focussize="0,0"/>
                        <v:stroke color="#000000" joinstyle="miter"/>
                        <v:imagedata o:title=""/>
                        <o:lock v:ext="edit" aspectratio="f"/>
                        <v:textbox>
                          <w:txbxContent>
                            <w:p w14:paraId="79D13342">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非甲烷总烃</w:t>
                              </w:r>
                            </w:p>
                            <w:p w14:paraId="011390E9">
                              <w:pPr>
                                <w:snapToGrid w:val="0"/>
                                <w:jc w:val="center"/>
                                <w:rPr>
                                  <w:rFonts w:ascii="Times New Roman" w:hAnsi="Calibri" w:eastAsia="黑体" w:cs="Times New Roman"/>
                                  <w:color w:val="000000"/>
                                  <w:sz w:val="15"/>
                                  <w:szCs w:val="15"/>
                                </w:rPr>
                              </w:pPr>
                              <w:r>
                                <w:rPr>
                                  <w:rFonts w:ascii="Times New Roman" w:hAnsi="Calibri" w:eastAsia="黑体" w:cs="Times New Roman"/>
                                  <w:color w:val="000000"/>
                                  <w:sz w:val="15"/>
                                  <w:szCs w:val="15"/>
                                </w:rPr>
                                <w:t>0.0041</w:t>
                              </w:r>
                            </w:p>
                          </w:txbxContent>
                        </v:textbox>
                      </v:rect>
                      <v:shape id="自选图形 870" o:spid="_x0000_s1026" o:spt="32" type="#_x0000_t32" style="position:absolute;left:5764913;top:1917969;height:635;width:379755;"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qdNbXaAAAACgEAAA8AAAAAAAAA&#10;AQAgAAAAIgAAAGRycy9kb3ducmV2LnhtbFBLAQIUABQAAAAIAIdO4kDbFzCXDwIAAPcDAAAOAAAA&#10;AAAAAAEAIAAAACkBAABkcnMvZTJvRG9jLnhtbFBLBQYAAAAABgAGAFkBAACqBQAAAAA=&#10;">
                        <v:fill on="f" focussize="0,0"/>
                        <v:stroke color="#000000" joinstyle="round" endarrow="block" endarrowwidth="narrow"/>
                        <v:imagedata o:title=""/>
                        <o:lock v:ext="edit" aspectratio="f"/>
                      </v:shape>
                      <v:rect id="矩形 871" o:spid="_x0000_s1026" o:spt="1" style="position:absolute;left:6126252;top:2156128;height:333422;width:1256749;"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BkDwQ2AAAAAoBAAAPAAAAAAAAAAEA&#10;IAAAACIAAABkcnMvZG93bnJldi54bWxQSwECFAAUAAAACACHTuJAJrUsNg8CAAA5BAAADgAAAAAA&#10;AAABACAAAAAnAQAAZHJzL2Uyb0RvYy54bWxQSwUGAAAAAAYABgBZAQAAqAUAAAAA&#10;">
                        <v:fill on="t" focussize="0,0"/>
                        <v:stroke color="#000000" joinstyle="miter"/>
                        <v:imagedata o:title=""/>
                        <o:lock v:ext="edit" aspectratio="f"/>
                        <v:textbox>
                          <w:txbxContent>
                            <w:p w14:paraId="6D020CA5">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进入活性炭吸附装置</w:t>
                              </w:r>
                              <w:r>
                                <w:rPr>
                                  <w:rFonts w:ascii="Times New Roman" w:hAnsi="Calibri" w:eastAsia="黑体" w:cs="Times New Roman"/>
                                  <w:color w:val="000000"/>
                                  <w:sz w:val="15"/>
                                  <w:szCs w:val="15"/>
                                </w:rPr>
                                <w:t>0.0369</w:t>
                              </w:r>
                            </w:p>
                          </w:txbxContent>
                        </v:textbox>
                      </v:rect>
                      <v:shape id="自选图形 872" o:spid="_x0000_s1026" o:spt="32" type="#_x0000_t32" style="position:absolute;left:5746497;top:2354911;height:635;width:379755;"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6nTW12gAAAAoBAAAPAAAAAAAA&#10;AAEAIAAAACIAAABkcnMvZG93bnJldi54bWxQSwECFAAUAAAACACHTuJAUotjIhACAAD3AwAADgAA&#10;AAAAAAABACAAAAApAQAAZHJzL2Uyb0RvYy54bWxQSwUGAAAAAAYABgBZAQAAqwUAAAAA&#10;">
                        <v:fill on="f" focussize="0,0"/>
                        <v:stroke color="#000000" joinstyle="round" endarrow="block" endarrowwidth="narrow"/>
                        <v:imagedata o:title=""/>
                        <o:lock v:ext="edit" aspectratio="f"/>
                      </v:shape>
                      <v:shape id="自选图形 873" o:spid="_x0000_s1026" o:spt="32" type="#_x0000_t32" style="position:absolute;left:5747132;top:1917969;flip:y;height:434401;width:635;" filled="f" stroked="t" coordsize="21600,21600" o:gfxdata="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3J209YAAAAKAQAADwAAAAAAAAAB&#10;ACAAAAAiAAAAZHJzL2Rvd25yZXYueG1sUEsBAhQAFAAAAAgAh07iQPf7st8SAgAA/QMAAA4AAAAA&#10;AAAAAQAgAAAAJQEAAGRycy9lMm9Eb2MueG1sUEsFBgAAAAAGAAYAWQEAAKkFAAAAAA==&#10;">
                        <v:fill on="f" focussize="0,0"/>
                        <v:stroke color="#000000" joinstyle="round" endarrowwidth="narrow"/>
                        <v:imagedata o:title=""/>
                        <o:lock v:ext="edit" aspectratio="f"/>
                      </v:shape>
                      <v:rect id="矩形 874" o:spid="_x0000_s1026" o:spt="1" style="position:absolute;left:102877;top:291506;height:851655;width:1040199;"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ZA8ENgAAAAKAQAADwAAAAAAAAABACAA&#10;AAAiAAAAZHJzL2Rvd25yZXYueG1sUEsBAhQAFAAAAAgAh07iQOPkNIQNAgAANwQAAA4AAAAAAAAA&#10;AQAgAAAAJwEAAGRycy9lMm9Eb2MueG1sUEsFBgAAAAAGAAYAWQEAAKYFAAAAAA==&#10;">
                        <v:fill on="t" focussize="0,0"/>
                        <v:stroke color="#000000" joinstyle="miter"/>
                        <v:imagedata o:title=""/>
                        <o:lock v:ext="edit" aspectratio="f"/>
                        <v:textbox>
                          <w:txbxContent>
                            <w:p w14:paraId="351CBCFB">
                              <w:pPr>
                                <w:snapToGrid w:val="0"/>
                                <w:rPr>
                                  <w:rFonts w:ascii="Times New Roman" w:hAnsi="Times New Roman" w:eastAsia="黑体" w:cs="Times New Roman"/>
                                  <w:color w:val="000000"/>
                                  <w:sz w:val="15"/>
                                  <w:szCs w:val="15"/>
                                </w:rPr>
                              </w:pPr>
                              <w:r>
                                <w:rPr>
                                  <w:rFonts w:hint="eastAsia" w:ascii="Times New Roman" w:hAnsi="Times New Roman" w:eastAsia="黑体" w:cs="Times New Roman"/>
                                  <w:b/>
                                  <w:color w:val="000000"/>
                                  <w:sz w:val="15"/>
                                  <w:szCs w:val="15"/>
                                </w:rPr>
                                <w:t>水性底漆</w:t>
                              </w:r>
                              <w:r>
                                <w:rPr>
                                  <w:rFonts w:ascii="Times New Roman" w:hAnsi="Times New Roman" w:eastAsia="黑体" w:cs="Times New Roman"/>
                                  <w:color w:val="000000"/>
                                  <w:sz w:val="15"/>
                                  <w:szCs w:val="15"/>
                                </w:rPr>
                                <w:t>2</w:t>
                              </w:r>
                              <w:r>
                                <w:rPr>
                                  <w:rFonts w:hint="eastAsia" w:ascii="Times New Roman" w:hAnsi="Times New Roman" w:eastAsia="黑体" w:cs="Times New Roman"/>
                                  <w:color w:val="000000"/>
                                  <w:sz w:val="15"/>
                                  <w:szCs w:val="15"/>
                                  <w:lang w:val="en-US" w:eastAsia="zh-CN"/>
                                </w:rPr>
                                <w:t>8.901</w:t>
                              </w:r>
                              <w:r>
                                <w:rPr>
                                  <w:rFonts w:hint="eastAsia" w:ascii="Times New Roman" w:hAnsi="Times New Roman" w:eastAsia="黑体" w:cs="Times New Roman"/>
                                  <w:color w:val="000000"/>
                                  <w:sz w:val="15"/>
                                  <w:szCs w:val="15"/>
                                </w:rPr>
                                <w:t>（固体份</w:t>
                              </w:r>
                              <w:r>
                                <w:rPr>
                                  <w:rFonts w:hint="eastAsia" w:ascii="Times New Roman" w:hAnsi="Times New Roman" w:eastAsia="黑体" w:cs="Times New Roman"/>
                                  <w:color w:val="000000"/>
                                  <w:sz w:val="15"/>
                                  <w:szCs w:val="15"/>
                                  <w:lang w:val="en-US" w:eastAsia="zh-CN"/>
                                </w:rPr>
                                <w:t>20.520</w:t>
                              </w:r>
                              <w:r>
                                <w:rPr>
                                  <w:rFonts w:hint="eastAsia" w:ascii="Times New Roman" w:hAnsi="Times New Roman" w:eastAsia="黑体" w:cs="Times New Roman"/>
                                  <w:color w:val="000000"/>
                                  <w:sz w:val="15"/>
                                  <w:szCs w:val="15"/>
                                </w:rPr>
                                <w:t>，挥发份</w:t>
                              </w:r>
                              <w:r>
                                <w:rPr>
                                  <w:rFonts w:ascii="Times New Roman" w:hAnsi="Times New Roman" w:eastAsia="黑体" w:cs="Times New Roman"/>
                                  <w:color w:val="000000"/>
                                  <w:sz w:val="15"/>
                                  <w:szCs w:val="15"/>
                                </w:rPr>
                                <w:t>1.1</w:t>
                              </w:r>
                              <w:r>
                                <w:rPr>
                                  <w:rFonts w:hint="eastAsia" w:ascii="Times New Roman" w:hAnsi="Times New Roman" w:eastAsia="黑体" w:cs="Times New Roman"/>
                                  <w:color w:val="000000"/>
                                  <w:sz w:val="15"/>
                                  <w:szCs w:val="15"/>
                                  <w:lang w:val="en-US" w:eastAsia="zh-CN"/>
                                </w:rPr>
                                <w:t>56</w:t>
                              </w:r>
                              <w:r>
                                <w:rPr>
                                  <w:rFonts w:hint="eastAsia" w:ascii="Times New Roman" w:hAnsi="Times New Roman" w:eastAsia="黑体" w:cs="Times New Roman"/>
                                  <w:color w:val="000000"/>
                                  <w:sz w:val="15"/>
                                  <w:szCs w:val="15"/>
                                  <w:lang w:eastAsia="zh-CN"/>
                                </w:rPr>
                                <w:t>，</w:t>
                              </w:r>
                              <w:r>
                                <w:rPr>
                                  <w:rFonts w:hint="eastAsia" w:ascii="Times New Roman" w:hAnsi="Times New Roman" w:eastAsia="黑体" w:cs="Times New Roman"/>
                                  <w:color w:val="000000"/>
                                  <w:sz w:val="15"/>
                                  <w:szCs w:val="15"/>
                                  <w:lang w:val="en-US" w:eastAsia="zh-CN"/>
                                </w:rPr>
                                <w:t>水份7.225</w:t>
                              </w:r>
                              <w:r>
                                <w:rPr>
                                  <w:rFonts w:hint="eastAsia" w:ascii="Times New Roman" w:hAnsi="Times New Roman" w:eastAsia="黑体" w:cs="Times New Roman"/>
                                  <w:color w:val="000000"/>
                                  <w:sz w:val="15"/>
                                  <w:szCs w:val="15"/>
                                </w:rPr>
                                <w:t>）</w:t>
                              </w:r>
                            </w:p>
                            <w:p w14:paraId="41436CEB">
                              <w:pPr>
                                <w:snapToGrid w:val="0"/>
                                <w:rPr>
                                  <w:rFonts w:ascii="Times New Roman" w:hAnsi="Times New Roman" w:eastAsia="黑体" w:cs="Times New Roman"/>
                                  <w:color w:val="000000"/>
                                  <w:sz w:val="15"/>
                                  <w:szCs w:val="15"/>
                                </w:rPr>
                              </w:pPr>
                              <w:r>
                                <w:rPr>
                                  <w:rFonts w:hint="eastAsia" w:ascii="Times New Roman" w:hAnsi="Times New Roman" w:eastAsia="黑体" w:cs="Times New Roman"/>
                                  <w:b/>
                                  <w:color w:val="000000"/>
                                  <w:sz w:val="15"/>
                                  <w:szCs w:val="15"/>
                                </w:rPr>
                                <w:t>水性面漆</w:t>
                              </w:r>
                              <w:r>
                                <w:rPr>
                                  <w:rFonts w:ascii="Times New Roman" w:hAnsi="Times New Roman" w:eastAsia="黑体" w:cs="Times New Roman"/>
                                  <w:bCs/>
                                  <w:color w:val="000000"/>
                                  <w:sz w:val="15"/>
                                  <w:szCs w:val="15"/>
                                </w:rPr>
                                <w:t>25.</w:t>
                              </w:r>
                              <w:r>
                                <w:rPr>
                                  <w:rFonts w:hint="eastAsia" w:ascii="Times New Roman" w:hAnsi="Times New Roman" w:eastAsia="黑体" w:cs="Times New Roman"/>
                                  <w:bCs/>
                                  <w:color w:val="000000"/>
                                  <w:sz w:val="15"/>
                                  <w:szCs w:val="15"/>
                                  <w:lang w:val="en-US" w:eastAsia="zh-CN"/>
                                </w:rPr>
                                <w:t>364</w:t>
                              </w:r>
                              <w:r>
                                <w:rPr>
                                  <w:rFonts w:hint="eastAsia" w:ascii="Times New Roman" w:hAnsi="Times New Roman" w:eastAsia="黑体" w:cs="Times New Roman"/>
                                  <w:color w:val="000000"/>
                                  <w:sz w:val="15"/>
                                  <w:szCs w:val="15"/>
                                </w:rPr>
                                <w:t>（固体份</w:t>
                              </w:r>
                              <w:r>
                                <w:rPr>
                                  <w:rFonts w:ascii="Times New Roman" w:hAnsi="Times New Roman" w:eastAsia="黑体" w:cs="Times New Roman"/>
                                  <w:color w:val="000000"/>
                                  <w:sz w:val="15"/>
                                  <w:szCs w:val="15"/>
                                </w:rPr>
                                <w:t>1</w:t>
                              </w:r>
                              <w:r>
                                <w:rPr>
                                  <w:rFonts w:hint="eastAsia" w:ascii="Times New Roman" w:hAnsi="Times New Roman" w:eastAsia="黑体" w:cs="Times New Roman"/>
                                  <w:color w:val="000000"/>
                                  <w:sz w:val="15"/>
                                  <w:szCs w:val="15"/>
                                  <w:lang w:val="en-US" w:eastAsia="zh-CN"/>
                                </w:rPr>
                                <w:t>6.740</w:t>
                              </w:r>
                              <w:r>
                                <w:rPr>
                                  <w:rFonts w:hint="eastAsia" w:ascii="Times New Roman" w:hAnsi="Times New Roman" w:eastAsia="黑体" w:cs="Times New Roman"/>
                                  <w:color w:val="000000"/>
                                  <w:sz w:val="15"/>
                                  <w:szCs w:val="15"/>
                                </w:rPr>
                                <w:t>，挥发份</w:t>
                              </w:r>
                              <w:r>
                                <w:rPr>
                                  <w:rFonts w:ascii="Times New Roman" w:hAnsi="Times New Roman" w:eastAsia="黑体" w:cs="Times New Roman"/>
                                  <w:color w:val="000000"/>
                                  <w:sz w:val="15"/>
                                  <w:szCs w:val="15"/>
                                </w:rPr>
                                <w:t>1.0</w:t>
                              </w:r>
                              <w:r>
                                <w:rPr>
                                  <w:rFonts w:hint="eastAsia" w:ascii="Times New Roman" w:hAnsi="Times New Roman" w:eastAsia="黑体" w:cs="Times New Roman"/>
                                  <w:color w:val="000000"/>
                                  <w:sz w:val="15"/>
                                  <w:szCs w:val="15"/>
                                  <w:lang w:val="en-US" w:eastAsia="zh-CN"/>
                                </w:rPr>
                                <w:t>15</w:t>
                              </w:r>
                              <w:r>
                                <w:rPr>
                                  <w:rFonts w:hint="eastAsia" w:ascii="Times New Roman" w:hAnsi="Times New Roman" w:eastAsia="黑体" w:cs="Times New Roman"/>
                                  <w:color w:val="000000"/>
                                  <w:sz w:val="15"/>
                                  <w:szCs w:val="15"/>
                                  <w:lang w:eastAsia="zh-CN"/>
                                </w:rPr>
                                <w:t>，</w:t>
                              </w:r>
                              <w:r>
                                <w:rPr>
                                  <w:rFonts w:hint="eastAsia" w:ascii="Times New Roman" w:hAnsi="Times New Roman" w:eastAsia="黑体" w:cs="Times New Roman"/>
                                  <w:color w:val="000000"/>
                                  <w:sz w:val="15"/>
                                  <w:szCs w:val="15"/>
                                  <w:lang w:val="en-US" w:eastAsia="zh-CN"/>
                                </w:rPr>
                                <w:t>水份7.609</w:t>
                              </w:r>
                              <w:r>
                                <w:rPr>
                                  <w:rFonts w:hint="eastAsia" w:ascii="Times New Roman" w:hAnsi="Times New Roman" w:eastAsia="黑体" w:cs="Times New Roman"/>
                                  <w:color w:val="000000"/>
                                  <w:sz w:val="15"/>
                                  <w:szCs w:val="15"/>
                                </w:rPr>
                                <w:t>）</w:t>
                              </w:r>
                            </w:p>
                            <w:p w14:paraId="35F33C46">
                              <w:pPr>
                                <w:snapToGrid w:val="0"/>
                                <w:rPr>
                                  <w:rFonts w:ascii="Times New Roman" w:hAnsi="Times New Roman" w:eastAsia="黑体" w:cs="Times New Roman"/>
                                  <w:color w:val="000000"/>
                                  <w:sz w:val="15"/>
                                  <w:szCs w:val="15"/>
                                </w:rPr>
                              </w:pPr>
                            </w:p>
                          </w:txbxContent>
                        </v:textbox>
                      </v:rect>
                      <v:rect id="Rectangle 1976" o:spid="_x0000_s1026" o:spt="1" style="position:absolute;left:1933704;top:1732523;height:459169;width:746175;"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&#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kDwQ2AAAAAoBAAAPAAAAAAAAAAEAIAAAACIAAABk&#10;cnMvZG93bnJldi54bWxQSwECFAAUAAAACACHTuJA5PdhngYCAAA8BAAADgAAAAAAAAABACAAAAAn&#10;AQAAZHJzL2Uyb0RvYy54bWxQSwUGAAAAAAYABgBZAQAAnwUAAAAA&#10;">
                        <v:fill on="t" focussize="0,0"/>
                        <v:stroke color="#000000" joinstyle="miter"/>
                        <v:imagedata o:title=""/>
                        <o:lock v:ext="edit" aspectratio="f"/>
                        <v:textbox>
                          <w:txbxContent>
                            <w:p w14:paraId="567EA0CD">
                              <w:pPr>
                                <w:snapToGrid w:val="0"/>
                                <w:jc w:val="center"/>
                                <w:rPr>
                                  <w:rFonts w:eastAsia="黑体"/>
                                  <w:sz w:val="15"/>
                                  <w:szCs w:val="15"/>
                                </w:rPr>
                              </w:pPr>
                              <w:r>
                                <w:rPr>
                                  <w:rFonts w:hint="eastAsia" w:ascii="Calibri" w:hAnsi="Calibri" w:eastAsia="黑体" w:cs="黑体"/>
                                  <w:sz w:val="15"/>
                                  <w:szCs w:val="15"/>
                                </w:rPr>
                                <w:t>非甲烷总烃</w:t>
                              </w:r>
                            </w:p>
                            <w:p w14:paraId="1C063EBC">
                              <w:pPr>
                                <w:snapToGrid w:val="0"/>
                                <w:jc w:val="center"/>
                                <w:rPr>
                                  <w:rFonts w:eastAsia="黑体"/>
                                  <w:sz w:val="15"/>
                                  <w:szCs w:val="15"/>
                                </w:rPr>
                              </w:pPr>
                              <w:r>
                                <w:rPr>
                                  <w:rFonts w:ascii="Times New Roman" w:hAnsi="Times New Roman" w:eastAsia="黑体" w:cs="Times New Roman"/>
                                  <w:sz w:val="15"/>
                                  <w:szCs w:val="15"/>
                                </w:rPr>
                                <w:t>0.043</w:t>
                              </w:r>
                            </w:p>
                          </w:txbxContent>
                        </v:textbox>
                      </v:rect>
                      <v:shape id="AutoShape 1977" o:spid="_x0000_s1026" o:spt="32" type="#_x0000_t32" style="position:absolute;left:1454247;top:2920775;height:635;width:504224;"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up01tdoAAAAKAQAADwAAAAAAAAABACAAAAAiAAAAZHJzL2Rvd25y&#10;ZXYueG1sUEsBAhQAFAAAAAgAh07iQIvlRLD8AQAA9QMAAA4AAAAAAAAAAQAgAAAAKQEAAGRycy9l&#10;Mm9Eb2MueG1sUEsFBgAAAAAGAAYAWQEAAJcFAAAAAA==&#10;">
                        <v:fill on="f" focussize="0,0"/>
                        <v:stroke color="#000000" joinstyle="round" endarrow="block" endarrowwidth="narrow"/>
                        <v:imagedata o:title=""/>
                        <o:lock v:ext="edit" aspectratio="f"/>
                      </v:shape>
                      <v:shape id="Text Box 1978" o:spid="_x0000_s1026" o:spt="202" type="#_x0000_t202" style="position:absolute;left:1418049;top:1740144;height:290871;width:636947;"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Jdy7tbXAAAA&#10;CgEAAA8AAAAAAAAAAQAgAAAAIgAAAGRycy9kb3ducmV2LnhtbFBLAQIUABQAAAAIAIdO4kA7sRWs&#10;rAEAAF0DAAAOAAAAAAAAAAEAIAAAACYBAABkcnMvZTJvRG9jLnhtbFBLBQYAAAAABgAGAFkBAABE&#10;BQAAAAA=&#10;">
                        <v:fill on="f" focussize="0,0"/>
                        <v:stroke on="f"/>
                        <v:imagedata o:title=""/>
                        <o:lock v:ext="edit" aspectratio="f"/>
                        <v:textbox>
                          <w:txbxContent>
                            <w:p w14:paraId="09D5018E">
                              <w:pPr>
                                <w:rPr>
                                  <w:rFonts w:ascii="Times New Roman" w:hAnsi="Times New Roman" w:eastAsia="黑体" w:cs="Times New Roman"/>
                                  <w:sz w:val="15"/>
                                  <w:szCs w:val="15"/>
                                </w:rPr>
                              </w:pPr>
                              <w:r>
                                <w:rPr>
                                  <w:rFonts w:ascii="Times New Roman" w:hAnsi="Times New Roman" w:eastAsia="黑体" w:cs="Times New Roman"/>
                                  <w:sz w:val="15"/>
                                  <w:szCs w:val="15"/>
                                </w:rPr>
                                <w:t>2%</w:t>
                              </w:r>
                              <w:r>
                                <w:rPr>
                                  <w:rFonts w:hint="eastAsia" w:ascii="Times New Roman" w:hAnsi="Calibri" w:eastAsia="黑体" w:cs="Times New Roman"/>
                                  <w:sz w:val="15"/>
                                  <w:szCs w:val="15"/>
                                </w:rPr>
                                <w:t>调漆</w:t>
                              </w:r>
                            </w:p>
                          </w:txbxContent>
                        </v:textbox>
                      </v:shape>
                      <v:shape id="AutoShape 1979" o:spid="_x0000_s1026" o:spt="32" type="#_x0000_t32" style="position:absolute;left:2710995;top:2922680;height:635;width:1080207;"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nTW12gAAAAoBAAAPAAAAAAAAAAEAIAAAACIAAABkcnMvZG93bnJldi54&#10;bWxQSwECFAAUAAAACACHTuJABHm8VPgBAAD2AwAADgAAAAAAAAABACAAAAApAQAAZHJzL2Uyb0Rv&#10;Yy54bWxQSwUGAAAAAAYABgBZAQAAkwUAAAAA&#10;">
                        <v:fill on="f" focussize="0,0"/>
                        <v:stroke color="#000000" joinstyle="round" endarrow="block" endarrowwidth="narrow"/>
                        <v:imagedata o:title=""/>
                        <o:lock v:ext="edit" aspectratio="f"/>
                      </v:shape>
                      <v:rect id="Rectangle 1980" o:spid="_x0000_s1026" o:spt="1" style="position:absolute;left:3787392;top:2731519;height:381689;width:1044009;"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BkDwQ2AAAAAoBAAAPAAAAAAAAAAEAIAAAACIA&#10;AABkcnMvZG93bnJldi54bWxQSwECFAAUAAAACACHTuJAmiK7WwkCAAA9BAAADgAAAAAAAAABACAA&#10;AAAnAQAAZHJzL2Uyb0RvYy54bWxQSwUGAAAAAAYABgBZAQAAogUAAAAA&#10;">
                        <v:fill on="t" focussize="0,0"/>
                        <v:stroke color="#000000" joinstyle="miter"/>
                        <v:imagedata o:title=""/>
                        <o:lock v:ext="edit" aspectratio="f"/>
                        <v:textbox>
                          <w:txbxContent>
                            <w:p w14:paraId="20288423">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0.8</w:t>
                              </w:r>
                              <w:r>
                                <w:rPr>
                                  <w:rFonts w:hint="eastAsia" w:ascii="Times New Roman" w:hAnsi="Calibri" w:eastAsia="黑体" w:cs="Times New Roman"/>
                                  <w:color w:val="000000"/>
                                  <w:sz w:val="15"/>
                                  <w:szCs w:val="15"/>
                                  <w:lang w:val="en-US" w:eastAsia="zh-CN"/>
                                </w:rPr>
                                <w:t>25</w:t>
                              </w:r>
                            </w:p>
                          </w:txbxContent>
                        </v:textbox>
                      </v:rect>
                      <v:rect id="Rectangle 1981" o:spid="_x0000_s1026" o:spt="1" style="position:absolute;left:3822319;top:2215826;height:331517;width:1380582;"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ZA8ENgAAAAKAQAADwAAAAAAAAABACAAAAAiAAAAZHJz&#10;L2Rvd25yZXYueG1sUEsBAhQAFAAAAAgAh07iQOC3rCcEAgAAPQQAAA4AAAAAAAAAAQAgAAAAJwEA&#10;AGRycy9lMm9Eb2MueG1sUEsFBgAAAAAGAAYAWQEAAJ0FAAAAAA==&#10;">
                        <v:fill on="t" focussize="0,0"/>
                        <v:stroke color="#000000" joinstyle="miter"/>
                        <v:imagedata o:title=""/>
                        <o:lock v:ext="edit" aspectratio="f"/>
                        <v:textbox>
                          <w:txbxContent>
                            <w:p w14:paraId="3CA3CC61">
                              <w:pPr>
                                <w:snapToGrid w:val="0"/>
                                <w:jc w:val="center"/>
                                <w:rPr>
                                  <w:rFonts w:ascii="Times New Roman" w:hAnsi="Calibri" w:eastAsia="黑体" w:cs="Times New Roman"/>
                                  <w:color w:val="000000"/>
                                  <w:sz w:val="15"/>
                                  <w:szCs w:val="15"/>
                                </w:rPr>
                              </w:pPr>
                              <w:r>
                                <w:rPr>
                                  <w:rFonts w:hint="eastAsia" w:ascii="Times New Roman" w:hAnsi="Calibri" w:eastAsia="黑体" w:cs="Times New Roman"/>
                                  <w:color w:val="000000"/>
                                  <w:sz w:val="15"/>
                                  <w:szCs w:val="15"/>
                                </w:rPr>
                                <w:t>无组织非甲烷总烃：</w:t>
                              </w:r>
                              <w:r>
                                <w:rPr>
                                  <w:rFonts w:ascii="Times New Roman" w:hAnsi="Calibri" w:eastAsia="黑体" w:cs="Times New Roman"/>
                                  <w:color w:val="000000"/>
                                  <w:sz w:val="15"/>
                                  <w:szCs w:val="15"/>
                                </w:rPr>
                                <w:t>0.043</w:t>
                              </w:r>
                            </w:p>
                          </w:txbxContent>
                        </v:textbox>
                      </v:rect>
                      <v:shape id="AutoShape 1982" o:spid="_x0000_s1026" o:spt="33" type="#_x0000_t33" style="position:absolute;left:3372074;top:2481293;height:323895;width:575983;rotation:-5898240f;" filled="f" stroked="t" coordsize="21600,21600" o:gfxdata="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CKv+vZAAAACgEAAA8AAAAAAAAAAQAgAAAA&#10;IgAAAGRycy9kb3ducmV2LnhtbFBLAQIUABQAAAAIAIdO4kBZuFxBCgIAAA0EAAAOAAAAAAAAAAEA&#10;IAAAACgBAABkcnMvZTJvRG9jLnhtbFBLBQYAAAAABgAGAFkBAACkBQAAAAA=&#10;">
                        <v:fill on="f" focussize="0,0"/>
                        <v:stroke color="#000000" joinstyle="miter" endarrow="block" endarrowwidth="narrow"/>
                        <v:imagedata o:title=""/>
                        <o:lock v:ext="edit" aspectratio="f"/>
                      </v:shape>
                      <v:shape id="Text Box 1983" o:spid="_x0000_s1026" o:spt="202" type="#_x0000_t202" style="position:absolute;left:2679878;top:2632445;height:364541;width:828095;"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Jdy7tbXAAAA&#10;CgEAAA8AAAAAAAAAAQAgAAAAIgAAAGRycy9kb3ducmV2LnhtbFBLAQIUABQAAAAIAIdO4kA8rL9H&#10;rAEAAF0DAAAOAAAAAAAAAAEAIAAAACYBAABkcnMvZTJvRG9jLnhtbFBLBQYAAAAABgAGAFkBAABE&#10;BQAAAAA=&#10;">
                        <v:fill on="f" focussize="0,0"/>
                        <v:stroke on="f"/>
                        <v:imagedata o:title=""/>
                        <o:lock v:ext="edit" aspectratio="f"/>
                        <v:textbox>
                          <w:txbxContent>
                            <w:p w14:paraId="182CFA84">
                              <w:pPr>
                                <w:snapToGrid w:val="0"/>
                                <w:jc w:val="center"/>
                                <w:rPr>
                                  <w:rFonts w:ascii="Times New Roman" w:hAnsi="Times New Roman" w:eastAsia="黑体" w:cs="Times New Roman"/>
                                  <w:color w:val="000000"/>
                                  <w:sz w:val="15"/>
                                  <w:szCs w:val="15"/>
                                </w:rPr>
                              </w:pPr>
                              <w:r>
                                <w:rPr>
                                  <w:rFonts w:hint="eastAsia" w:ascii="Times New Roman" w:hAnsi="Calibri" w:eastAsia="黑体" w:cs="Times New Roman"/>
                                  <w:color w:val="000000"/>
                                  <w:sz w:val="15"/>
                                  <w:szCs w:val="15"/>
                                </w:rPr>
                                <w:t>负压收集（收集效率</w:t>
                              </w:r>
                              <w:r>
                                <w:rPr>
                                  <w:rFonts w:ascii="Times New Roman" w:hAnsi="Times New Roman" w:eastAsia="黑体" w:cs="Times New Roman"/>
                                  <w:color w:val="000000"/>
                                  <w:sz w:val="15"/>
                                  <w:szCs w:val="15"/>
                                </w:rPr>
                                <w:t>95%</w:t>
                              </w:r>
                              <w:r>
                                <w:rPr>
                                  <w:rFonts w:hint="eastAsia" w:ascii="Times New Roman" w:hAnsi="Calibri" w:eastAsia="黑体" w:cs="Times New Roman"/>
                                  <w:color w:val="000000"/>
                                  <w:sz w:val="15"/>
                                  <w:szCs w:val="15"/>
                                </w:rPr>
                                <w:t>）</w:t>
                              </w:r>
                            </w:p>
                            <w:p w14:paraId="47702B7C">
                              <w:pPr>
                                <w:rPr>
                                  <w:szCs w:val="15"/>
                                </w:rPr>
                              </w:pPr>
                            </w:p>
                          </w:txbxContent>
                        </v:textbox>
                      </v:shape>
                      <v:shape id="AutoShape 1984" o:spid="_x0000_s1026" o:spt="32" type="#_x0000_t32" style="position:absolute;left:4833306;top:2930302;height:635;width:956374;"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p01tdoAAAAKAQAADwAAAAAAAAABACAAAAAiAAAAZHJzL2Rvd25yZXYu&#10;eG1sUEsBAhQAFAAAAAgAh07iQBzgZH75AQAA9QMAAA4AAAAAAAAAAQAgAAAAKQEAAGRycy9lMm9E&#10;b2MueG1sUEsFBgAAAAAGAAYAWQEAAJQFAAAAAA==&#10;">
                        <v:fill on="f" focussize="0,0"/>
                        <v:stroke color="#000000" joinstyle="round" endarrow="block" endarrowwidth="narrow"/>
                        <v:imagedata o:title=""/>
                        <o:lock v:ext="edit" aspectratio="f"/>
                      </v:shape>
                      <v:shape id="Text Box 1985" o:spid="_x0000_s1026" o:spt="202" type="#_x0000_t202" style="position:absolute;left:4831401;top:2621648;height:350569;width:817299;" filled="f" stroked="f" coordsize="21600,21600" o:gfxdata="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Xcu7W1wAA&#10;AAoBAAAPAAAAAAAAAAEAIAAAACIAAABkcnMvZG93bnJldi54bWxQSwECFAAUAAAACACHTuJAXgym&#10;d60BAABdAwAADgAAAAAAAAABACAAAAAmAQAAZHJzL2Uyb0RvYy54bWxQSwUGAAAAAAYABgBZAQAA&#10;RQUAAAAA&#10;">
                        <v:fill on="f" focussize="0,0"/>
                        <v:stroke on="f"/>
                        <v:imagedata o:title=""/>
                        <o:lock v:ext="edit" aspectratio="f"/>
                        <v:textbox>
                          <w:txbxContent>
                            <w:p w14:paraId="36834DE8">
                              <w:pPr>
                                <w:snapToGrid w:val="0"/>
                                <w:jc w:val="center"/>
                                <w:rPr>
                                  <w:rFonts w:ascii="Times New Roman" w:hAnsi="Times New Roman" w:eastAsia="黑体" w:cs="Times New Roman"/>
                                  <w:color w:val="000000"/>
                                  <w:sz w:val="15"/>
                                  <w:szCs w:val="15"/>
                                </w:rPr>
                              </w:pPr>
                              <w:r>
                                <w:rPr>
                                  <w:rFonts w:hint="eastAsia" w:ascii="Times New Roman" w:hAnsi="Calibri" w:eastAsia="黑体" w:cs="Times New Roman"/>
                                  <w:color w:val="000000"/>
                                  <w:sz w:val="15"/>
                                  <w:szCs w:val="15"/>
                                </w:rPr>
                                <w:t>活性炭吸附（净化效率</w:t>
                              </w:r>
                              <w:r>
                                <w:rPr>
                                  <w:rFonts w:ascii="Times New Roman" w:hAnsi="Times New Roman" w:eastAsia="黑体" w:cs="Times New Roman"/>
                                  <w:color w:val="000000"/>
                                  <w:sz w:val="15"/>
                                  <w:szCs w:val="15"/>
                                </w:rPr>
                                <w:t>90%</w:t>
                              </w:r>
                              <w:r>
                                <w:rPr>
                                  <w:rFonts w:hint="eastAsia" w:ascii="Times New Roman" w:hAnsi="Calibri" w:eastAsia="黑体" w:cs="Times New Roman"/>
                                  <w:color w:val="000000"/>
                                  <w:sz w:val="15"/>
                                  <w:szCs w:val="15"/>
                                </w:rPr>
                                <w:t>）</w:t>
                              </w:r>
                            </w:p>
                            <w:p w14:paraId="07B0A910">
                              <w:pPr>
                                <w:rPr>
                                  <w:szCs w:val="15"/>
                                </w:rPr>
                              </w:pPr>
                            </w:p>
                          </w:txbxContent>
                        </v:textbox>
                      </v:shape>
                      <v:rect id="Rectangle 1986" o:spid="_x0000_s1026" o:spt="1" style="position:absolute;left:6197377;top:2542897;height:331517;width:1029403;"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ZA8ENgAAAAKAQAADwAAAAAAAAABACAAAAAi&#10;AAAAZHJzL2Rvd25yZXYueG1sUEsBAhQAFAAAAAgAh07iQBaiW4EKAgAAPQQAAA4AAAAAAAAAAQAg&#10;AAAAJwEAAGRycy9lMm9Eb2MueG1sUEsFBgAAAAAGAAYAWQEAAKMFAAAAAA==&#10;">
                        <v:fill on="t" focussize="0,0"/>
                        <v:stroke color="#000000" joinstyle="miter"/>
                        <v:imagedata o:title=""/>
                        <o:lock v:ext="edit" aspectratio="f"/>
                        <v:textbox>
                          <w:txbxContent>
                            <w:p w14:paraId="21819C7C">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非甲烷总烃</w:t>
                              </w:r>
                              <w:r>
                                <w:rPr>
                                  <w:rFonts w:ascii="Times New Roman" w:hAnsi="Calibri" w:eastAsia="黑体" w:cs="Times New Roman"/>
                                  <w:color w:val="000000"/>
                                  <w:sz w:val="15"/>
                                  <w:szCs w:val="15"/>
                                </w:rPr>
                                <w:t>0.08</w:t>
                              </w:r>
                              <w:r>
                                <w:rPr>
                                  <w:rFonts w:hint="eastAsia" w:ascii="Times New Roman" w:hAnsi="Calibri" w:eastAsia="黑体" w:cs="Times New Roman"/>
                                  <w:color w:val="000000"/>
                                  <w:sz w:val="15"/>
                                  <w:szCs w:val="15"/>
                                  <w:lang w:val="en-US" w:eastAsia="zh-CN"/>
                                </w:rPr>
                                <w:t>25</w:t>
                              </w:r>
                            </w:p>
                          </w:txbxContent>
                        </v:textbox>
                      </v:rect>
                      <v:shape id="AutoShape 1987" o:spid="_x0000_s1026" o:spt="32" type="#_x0000_t32" style="position:absolute;left:5797936;top:2636890;height:635;width:379755;"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6nTW12gAAAAoBAAAPAAAAAAAAAAEAIAAAACIAAABkcnMvZG93bnJldi54&#10;bWxQSwECFAAUAAAACACHTuJA81YF9/gBAAD1AwAADgAAAAAAAAABACAAAAApAQAAZHJzL2Uyb0Rv&#10;Yy54bWxQSwUGAAAAAAYABgBZAQAAkwUAAAAA&#10;">
                        <v:fill on="f" focussize="0,0"/>
                        <v:stroke color="#000000" joinstyle="round" endarrow="block" endarrowwidth="narrow"/>
                        <v:imagedata o:title=""/>
                        <o:lock v:ext="edit" aspectratio="f"/>
                      </v:shape>
                      <v:rect id="Rectangle 1988" o:spid="_x0000_s1026" o:spt="1" style="position:absolute;left:6197377;top:2962691;height:365811;width:1151967;"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BkDwQ2AAAAAoBAAAPAAAAAAAAAAEAIAAAACIA&#10;AABkcnMvZG93bnJldi54bWxQSwECFAAUAAAACACHTuJAmK8UMwkCAAA9BAAADgAAAAAAAAABACAA&#10;AAAnAQAAZHJzL2Uyb0RvYy54bWxQSwUGAAAAAAYABgBZAQAAogUAAAAA&#10;">
                        <v:fill on="t" focussize="0,0"/>
                        <v:stroke color="#000000" joinstyle="miter"/>
                        <v:imagedata o:title=""/>
                        <o:lock v:ext="edit" aspectratio="f"/>
                        <v:textbox>
                          <w:txbxContent>
                            <w:p w14:paraId="0BE3ACD6">
                              <w:pPr>
                                <w:snapToGrid w:val="0"/>
                                <w:jc w:val="center"/>
                                <w:rPr>
                                  <w:rFonts w:hint="default" w:ascii="Times New Roman" w:hAnsi="Calibri" w:eastAsia="黑体" w:cs="Times New Roman"/>
                                  <w:color w:val="000000"/>
                                  <w:sz w:val="15"/>
                                  <w:szCs w:val="15"/>
                                  <w:lang w:val="en-US" w:eastAsia="zh-CN"/>
                                </w:rPr>
                              </w:pPr>
                              <w:r>
                                <w:rPr>
                                  <w:rFonts w:hint="eastAsia" w:ascii="Times New Roman" w:hAnsi="Calibri" w:eastAsia="黑体" w:cs="Times New Roman"/>
                                  <w:color w:val="000000"/>
                                  <w:sz w:val="15"/>
                                  <w:szCs w:val="15"/>
                                </w:rPr>
                                <w:t>进入活性炭吸附装置</w:t>
                              </w:r>
                              <w:r>
                                <w:rPr>
                                  <w:rFonts w:ascii="Times New Roman" w:hAnsi="Calibri" w:eastAsia="黑体" w:cs="Times New Roman"/>
                                  <w:color w:val="000000"/>
                                  <w:sz w:val="15"/>
                                  <w:szCs w:val="15"/>
                                </w:rPr>
                                <w:t>0.7</w:t>
                              </w:r>
                              <w:r>
                                <w:rPr>
                                  <w:rFonts w:hint="eastAsia" w:ascii="Times New Roman" w:hAnsi="Calibri" w:eastAsia="黑体" w:cs="Times New Roman"/>
                                  <w:color w:val="000000"/>
                                  <w:sz w:val="15"/>
                                  <w:szCs w:val="15"/>
                                  <w:lang w:val="en-US" w:eastAsia="zh-CN"/>
                                </w:rPr>
                                <w:t>43</w:t>
                              </w:r>
                            </w:p>
                          </w:txbxContent>
                        </v:textbox>
                      </v:rect>
                      <v:shape id="AutoShape 1989" o:spid="_x0000_s1026" o:spt="32" type="#_x0000_t32" style="position:absolute;left:5797936;top:3089709;height:635;width:379755;"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p01tdoAAAAKAQAADwAAAAAAAAABACAAAAAiAAAAZHJzL2Rvd25yZXYu&#10;eG1sUEsBAhQAFAAAAAgAh07iQDEV07j5AQAA9QMAAA4AAAAAAAAAAQAgAAAAKQEAAGRycy9lMm9E&#10;b2MueG1sUEsFBgAAAAAGAAYAWQEAAJQFAAAAAA==&#10;">
                        <v:fill on="f" focussize="0,0"/>
                        <v:stroke color="#000000" joinstyle="round" endarrow="block" endarrowwidth="narrow"/>
                        <v:imagedata o:title=""/>
                        <o:lock v:ext="edit" aspectratio="f"/>
                      </v:shape>
                      <v:shape id="AutoShape 1990" o:spid="_x0000_s1026" o:spt="32" type="#_x0000_t32" style="position:absolute;left:5797936;top:2647052;flip:y;height:431861;width:635;" filled="f" stroked="t" coordsize="21600,21600" o:gfxdata="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3J209YAAAAKAQAADwAAAAAAAAABACAAAAAiAAAAZHJzL2Rvd25yZXYueG1s&#10;UEsBAhQAFAAAAAgAh07iQBqXUon6AQAA+wMAAA4AAAAAAAAAAQAgAAAAJQEAAGRycy9lMm9Eb2Mu&#10;eG1sUEsFBgAAAAAGAAYAWQEAAJEFAAAAAA==&#10;">
                        <v:fill on="f" focussize="0,0"/>
                        <v:stroke color="#000000" joinstyle="round" endarrowwidth="narrow"/>
                        <v:imagedata o:title=""/>
                        <o:lock v:ext="edit" aspectratio="f"/>
                      </v:shape>
                      <v:shape id="自选图形 890" o:spid="_x0000_s1026" o:spt="32" type="#_x0000_t32" style="position:absolute;left:7226781;top:2708655;height:635;width:501683;" filled="f" stroked="t" coordsize="21600,21600" o:gfxdata="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Fy4FNkAAAAKAQAADwAAAAAAAAABACAAAAAiAAAA&#10;ZHJzL2Rvd25yZXYueG1sUEsBAhQAFAAAAAgAh07iQGHUmm8GAgAA9AMAAA4AAAAAAAAAAQAgAAAA&#10;KAEAAGRycy9lMm9Eb2MueG1sUEsFBgAAAAAGAAYAWQEAAKAFAAAAAA==&#10;">
                        <v:fill on="f" focussize="0,0"/>
                        <v:stroke color="#000000" joinstyle="round"/>
                        <v:imagedata o:title=""/>
                        <o:lock v:ext="edit" aspectratio="f"/>
                      </v:shape>
                      <v:shape id="AutoShape 1977_SpCnt_1" o:spid="_x0000_s1026" o:spt="32" type="#_x0000_t32" style="position:absolute;left:1140536;top:2920140;height:635;width:323872;" filled="f" stroked="t" coordsize="21600,21600" o:gfxdata="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qdNbXaAAAACgEAAA8AAAAAAAAAAQAgAAAAIgAAAGRycy9k&#10;b3ducmV2LnhtbFBLAQIUABQAAAAIAIdO4kBwPo8xAAIAAP0DAAAOAAAAAAAAAAEAIAAAACkBAABk&#10;cnMvZTJvRG9jLnhtbFBLBQYAAAAABgAGAFkBAACbBQAAAAA=&#10;">
                        <v:fill on="f" focussize="0,0"/>
                        <v:stroke color="#000000" joinstyle="round" endarrow="block" endarrowwidth="narrow"/>
                        <v:imagedata o:title=""/>
                        <o:lock v:ext="edit" aspectratio="f"/>
                      </v:shape>
                      <v:rect id="矩形 892" o:spid="_x0000_s1026" o:spt="1" style="position:absolute;left:6660958;top:426145;height:215930;width:1104338;" filled="f" stroked="f" coordsize="21600,21600" o:gfxdata="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VFxHn2wAAAAoBAAAPAAAAAAAAAAEAIAAAACIAAABkcnMvZG93bnJldi54bWxQSwECFAAUAAAA&#10;CACHTuJAVLG1jbIBAABQAwAADgAAAAAAAAABACAAAAAqAQAAZHJzL2Uyb0RvYy54bWxQSwUGAAAA&#10;AAYABgBZAQAATgUAAAAA&#10;">
                        <v:fill on="f" focussize="0,0"/>
                        <v:stroke on="f"/>
                        <v:imagedata o:title=""/>
                        <o:lock v:ext="edit" aspectratio="f"/>
                        <v:textbox>
                          <w:txbxContent>
                            <w:p w14:paraId="4EF2CA75">
                              <w:pPr>
                                <w:snapToGrid w:val="0"/>
                                <w:rPr>
                                  <w:rFonts w:ascii="Times New Roman" w:hAnsi="Times New Roman" w:eastAsia="黑体" w:cs="Times New Roman"/>
                                  <w:color w:val="000000"/>
                                  <w:sz w:val="15"/>
                                  <w:szCs w:val="15"/>
                                </w:rPr>
                              </w:pPr>
                              <w:r>
                                <w:rPr>
                                  <w:rFonts w:hint="eastAsia" w:ascii="Times New Roman" w:hAnsi="Times New Roman" w:eastAsia="黑体" w:cs="Times New Roman"/>
                                  <w:color w:val="000000"/>
                                  <w:sz w:val="15"/>
                                  <w:szCs w:val="15"/>
                                </w:rPr>
                                <w:t>有组织排放：</w:t>
                              </w:r>
                              <w:r>
                                <w:rPr>
                                  <w:rFonts w:ascii="Times New Roman" w:hAnsi="Times New Roman" w:eastAsia="黑体" w:cs="Times New Roman"/>
                                  <w:color w:val="000000"/>
                                  <w:sz w:val="15"/>
                                  <w:szCs w:val="15"/>
                                </w:rPr>
                                <w:t>0.053</w:t>
                              </w:r>
                            </w:p>
                            <w:p w14:paraId="5ED5090D">
                              <w:pPr>
                                <w:snapToGrid w:val="0"/>
                                <w:rPr>
                                  <w:rFonts w:ascii="Times New Roman" w:hAnsi="Times New Roman" w:eastAsia="黑体" w:cs="Times New Roman"/>
                                  <w:sz w:val="15"/>
                                  <w:szCs w:val="15"/>
                                </w:rPr>
                              </w:pPr>
                            </w:p>
                          </w:txbxContent>
                        </v:textbox>
                      </v:rect>
                      <v:shape id="自选图形 893" o:spid="_x0000_s1026" o:spt="32" type="#_x0000_t32" style="position:absolute;left:621071;top:1160943;flip:x;height:1564860;width:2540;" filled="f" stroked="t" coordsize="21600,21600" o:gfxdata="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QP17T2gAAAAoB&#10;AAAPAAAAAAAAAAEAIAAAACIAAABkcnMvZG93bnJldi54bWxQSwECFAAUAAAACACHTuJAvFNzKRkC&#10;AAADBAAADgAAAAAAAAABACAAAAApAQAAZHJzL2Uyb0RvYy54bWxQSwUGAAAAAAYABgBZAQAAtAUA&#10;AAAA&#10;">
                        <v:fill on="f" focussize="0,0"/>
                        <v:stroke color="#000000" joinstyle="round" endarrow="block"/>
                        <v:imagedata o:title=""/>
                        <o:lock v:ext="edit" aspectratio="f"/>
                      </v:shape>
                      <v:rect id="矩形 953" o:spid="_x0000_s1026" o:spt="1" style="position:absolute;left:1404713;top:905002;height:317545;width:635042;"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ZA8ENgAAAAKAQAADwAAAAAAAAAB&#10;ACAAAAAiAAAAZHJzL2Rvd25yZXYueG1sUEsBAhQAFAAAAAgAh07iQEfKxEkQAgAANwQAAA4AAAAA&#10;AAAAAQAgAAAAJwEAAGRycy9lMm9Eb2MueG1sUEsFBgAAAAAGAAYAWQEAAKkFAAAAAA==&#10;">
                        <v:fill on="t" focussize="0,0"/>
                        <v:stroke color="#000000" joinstyle="miter"/>
                        <v:imagedata o:title=""/>
                        <o:lock v:ext="edit" aspectratio="f"/>
                        <v:textbox>
                          <w:txbxContent>
                            <w:p w14:paraId="6EA198C4">
                              <w:pPr>
                                <w:snapToGrid w:val="0"/>
                                <w:jc w:val="center"/>
                                <w:rPr>
                                  <w:rFonts w:hint="default" w:ascii="Times New Roman" w:hAnsi="Times New Roman" w:eastAsia="黑体" w:cs="Times New Roman"/>
                                  <w:sz w:val="15"/>
                                  <w:szCs w:val="15"/>
                                  <w:lang w:val="en-US"/>
                                </w:rPr>
                              </w:pPr>
                              <w:r>
                                <w:rPr>
                                  <w:rFonts w:hint="eastAsia" w:ascii="Times New Roman" w:hAnsi="Times New Roman" w:eastAsia="黑体" w:cs="Times New Roman"/>
                                  <w:color w:val="000000"/>
                                  <w:sz w:val="15"/>
                                  <w:szCs w:val="15"/>
                                  <w:lang w:val="en-US" w:eastAsia="zh-CN"/>
                                </w:rPr>
                                <w:t>水份14.834</w:t>
                              </w:r>
                            </w:p>
                          </w:txbxContent>
                        </v:textbox>
                      </v:rect>
                      <v:shape id="自选图形 954" o:spid="_x0000_s1026" o:spt="32" type="#_x0000_t32" style="position:absolute;left:2044836;top:1094894;flip:y;height:7621;width:260367;" filled="f" stroked="t" coordsize="21600,21600" o:gfxdata="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q3EZtoAAAAKAQAA&#10;DwAAAAAAAAABACAAAAAiAAAAZHJzL2Rvd25yZXYueG1sUEsBAhQAFAAAAAgAh07iQMCGIAAXAgAA&#10;AgQAAA4AAAAAAAAAAQAgAAAAKQEAAGRycy9lMm9Eb2MueG1sUEsFBgAAAAAGAAYAWQEAALIFAAAA&#10;AA==&#10;">
                        <v:fill on="f" focussize="0,0"/>
                        <v:stroke color="#000000" joinstyle="round" endarrow="block" endarrowwidth="narrow"/>
                        <v:imagedata o:title=""/>
                        <o:lock v:ext="edit" aspectratio="f"/>
                      </v:shape>
                      <v:rect id="矩形 955" o:spid="_x0000_s1026" o:spt="1" style="position:absolute;left:2309014;top:870707;height:515692;width:582969;" fillcolor="#FFFFFF" filled="t" stroked="t" coordsize="21600,21600" o:gfxdata="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ZA8ENgAAAAKAQAADwAAAAAAAAABACAA&#10;AAAiAAAAZHJzL2Rvd25yZXYueG1sUEsBAhQAFAAAAAgAh07iQMkudCENAgAANwQAAA4AAAAAAAAA&#10;AQAgAAAAJwEAAGRycy9lMm9Eb2MueG1sUEsFBgAAAAAGAAYAWQEAAKYFAAAAAA==&#10;">
                        <v:fill on="t" focussize="0,0"/>
                        <v:stroke color="#000000" joinstyle="miter"/>
                        <v:imagedata o:title=""/>
                        <o:lock v:ext="edit" aspectratio="f"/>
                        <v:textbox>
                          <w:txbxContent>
                            <w:p w14:paraId="753C8C4A">
                              <w:pPr>
                                <w:snapToGrid w:val="0"/>
                                <w:jc w:val="center"/>
                                <w:rPr>
                                  <w:rFonts w:hint="default" w:ascii="Times New Roman" w:hAnsi="Times New Roman" w:eastAsia="黑体" w:cs="Times New Roman"/>
                                  <w:sz w:val="15"/>
                                  <w:szCs w:val="15"/>
                                  <w:lang w:val="en-US"/>
                                </w:rPr>
                              </w:pPr>
                              <w:r>
                                <w:rPr>
                                  <w:rFonts w:hint="eastAsia" w:ascii="Times New Roman" w:hAnsi="Times New Roman" w:eastAsia="黑体" w:cs="Times New Roman"/>
                                  <w:color w:val="000000"/>
                                  <w:sz w:val="15"/>
                                  <w:szCs w:val="15"/>
                                  <w:lang w:val="en-US" w:eastAsia="zh-CN"/>
                                </w:rPr>
                                <w:t>烘干过程排放1</w:t>
                              </w:r>
                              <w:r>
                                <w:rPr>
                                  <w:rFonts w:hint="default" w:ascii="Times New Roman" w:hAnsi="Times New Roman" w:eastAsia="黑体" w:cs="Times New Roman"/>
                                  <w:color w:val="000000"/>
                                  <w:sz w:val="15"/>
                                  <w:szCs w:val="15"/>
                                  <w:lang w:val="en-US" w:eastAsia="zh-CN"/>
                                </w:rPr>
                                <w:t>4.</w:t>
                              </w:r>
                              <w:r>
                                <w:rPr>
                                  <w:rFonts w:hint="eastAsia" w:ascii="Times New Roman" w:hAnsi="Times New Roman" w:eastAsia="黑体" w:cs="Times New Roman"/>
                                  <w:color w:val="000000"/>
                                  <w:sz w:val="15"/>
                                  <w:szCs w:val="15"/>
                                  <w:lang w:val="en-US" w:eastAsia="zh-CN"/>
                                </w:rPr>
                                <w:t>834</w:t>
                              </w:r>
                            </w:p>
                          </w:txbxContent>
                        </v:textbox>
                      </v:rect>
                      <v:shape id="自选图形 956" o:spid="_x0000_s1026" o:spt="32" type="#_x0000_t32" style="position:absolute;left:1162127;top:1035195;flip:y;height:0;width:254017;" filled="f" stroked="t" coordsize="21600,21600" o:gfxdata="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KrcRm2gAAAAoBAAAP&#10;AAAAAAAAAAEAIAAAACIAAABkcnMvZG93bnJldi54bWxQSwECFAAUAAAACACHTuJAKSyzcRYCAAD/&#10;AwAADgAAAAAAAAABACAAAAApAQAAZHJzL2Uyb0RvYy54bWxQSwUGAAAAAAYABgBZAQAAsQUAAAAA&#10;">
                        <v:fill on="f" focussize="0,0"/>
                        <v:stroke color="#000000" joinstyle="round" endarrow="block" endarrowwidth="narrow"/>
                        <v:imagedata o:title=""/>
                        <o:lock v:ext="edit" aspectratio="f"/>
                      </v:shape>
                    </v:group>
                  </w:pict>
                </mc:Fallback>
              </mc:AlternateContent>
            </w:r>
            <w:r>
              <w:rPr>
                <w:rFonts w:ascii="Times New Roman" w:hAnsi="Times New Roman" w:cs="Times New Roman"/>
                <w:bCs/>
                <w:sz w:val="24"/>
                <w:szCs w:val="28"/>
              </w:rPr>
              <w:t>本项目</w:t>
            </w:r>
            <w:r>
              <w:rPr>
                <w:rFonts w:hint="eastAsia" w:ascii="Times New Roman" w:hAnsi="Times New Roman" w:cs="Times New Roman"/>
                <w:bCs/>
                <w:sz w:val="24"/>
                <w:szCs w:val="28"/>
              </w:rPr>
              <w:t>漆料</w:t>
            </w:r>
            <w:r>
              <w:rPr>
                <w:rFonts w:ascii="Times New Roman" w:hAnsi="Times New Roman" w:cs="Times New Roman"/>
                <w:bCs/>
                <w:sz w:val="24"/>
                <w:szCs w:val="28"/>
              </w:rPr>
              <w:t>平衡</w:t>
            </w:r>
            <w:r>
              <w:rPr>
                <w:rFonts w:hint="eastAsia" w:ascii="Times New Roman" w:hAnsi="Times New Roman" w:cs="Times New Roman"/>
                <w:bCs/>
                <w:sz w:val="24"/>
                <w:szCs w:val="28"/>
              </w:rPr>
              <w:t>图</w:t>
            </w:r>
            <w:r>
              <w:rPr>
                <w:rFonts w:ascii="Times New Roman" w:hAnsi="Times New Roman" w:cs="Times New Roman"/>
                <w:bCs/>
                <w:sz w:val="24"/>
                <w:szCs w:val="28"/>
              </w:rPr>
              <w:t>如下：</w:t>
            </w:r>
          </w:p>
          <w:p w14:paraId="7400EA1C">
            <w:pPr>
              <w:spacing w:line="360" w:lineRule="auto"/>
              <w:ind w:firstLine="480" w:firstLineChars="200"/>
              <w:rPr>
                <w:rFonts w:ascii="Times New Roman" w:hAnsi="Times New Roman" w:cs="Times New Roman"/>
                <w:bCs/>
                <w:sz w:val="24"/>
                <w:szCs w:val="28"/>
              </w:rPr>
            </w:pPr>
          </w:p>
          <w:p w14:paraId="0AC20D39">
            <w:pPr>
              <w:spacing w:line="360" w:lineRule="auto"/>
              <w:rPr>
                <w:rFonts w:ascii="Times New Roman" w:hAnsi="Times New Roman" w:eastAsia="黑体" w:cs="Times New Roman"/>
                <w:sz w:val="24"/>
                <w:szCs w:val="24"/>
              </w:rPr>
            </w:pPr>
          </w:p>
          <w:p w14:paraId="0FDB3B33">
            <w:pPr>
              <w:spacing w:line="360" w:lineRule="auto"/>
              <w:rPr>
                <w:rFonts w:ascii="Times New Roman" w:hAnsi="Times New Roman" w:eastAsia="黑体" w:cs="Times New Roman"/>
                <w:sz w:val="24"/>
                <w:szCs w:val="24"/>
              </w:rPr>
            </w:pPr>
          </w:p>
          <w:p w14:paraId="4F18100D">
            <w:pPr>
              <w:spacing w:line="360" w:lineRule="auto"/>
              <w:rPr>
                <w:rFonts w:ascii="Times New Roman" w:hAnsi="Times New Roman" w:eastAsia="黑体" w:cs="Times New Roman"/>
                <w:sz w:val="24"/>
                <w:szCs w:val="24"/>
              </w:rPr>
            </w:pPr>
          </w:p>
          <w:p w14:paraId="2E70F211">
            <w:pPr>
              <w:spacing w:line="360" w:lineRule="auto"/>
              <w:rPr>
                <w:rFonts w:ascii="Times New Roman" w:hAnsi="Times New Roman" w:eastAsia="黑体" w:cs="Times New Roman"/>
                <w:sz w:val="24"/>
                <w:szCs w:val="24"/>
              </w:rPr>
            </w:pPr>
          </w:p>
          <w:p w14:paraId="11E1A4F2">
            <w:pPr>
              <w:spacing w:line="360" w:lineRule="auto"/>
              <w:rPr>
                <w:rFonts w:ascii="Times New Roman" w:hAnsi="Times New Roman" w:eastAsia="黑体" w:cs="Times New Roman"/>
                <w:sz w:val="24"/>
                <w:szCs w:val="24"/>
              </w:rPr>
            </w:pPr>
          </w:p>
          <w:p w14:paraId="128F96DD">
            <w:pPr>
              <w:spacing w:line="360" w:lineRule="auto"/>
              <w:rPr>
                <w:rFonts w:ascii="Times New Roman" w:hAnsi="Times New Roman" w:eastAsia="黑体" w:cs="Times New Roman"/>
                <w:sz w:val="24"/>
                <w:szCs w:val="24"/>
              </w:rPr>
            </w:pPr>
          </w:p>
          <w:p w14:paraId="519F374A">
            <w:pPr>
              <w:spacing w:line="360" w:lineRule="auto"/>
              <w:rPr>
                <w:rFonts w:ascii="Times New Roman" w:hAnsi="Times New Roman" w:eastAsia="黑体" w:cs="Times New Roman"/>
                <w:sz w:val="24"/>
                <w:szCs w:val="24"/>
              </w:rPr>
            </w:pPr>
          </w:p>
          <w:p w14:paraId="583DCC65">
            <w:pPr>
              <w:spacing w:line="360" w:lineRule="auto"/>
              <w:rPr>
                <w:rFonts w:ascii="Times New Roman" w:hAnsi="Times New Roman" w:eastAsia="黑体" w:cs="Times New Roman"/>
                <w:sz w:val="24"/>
                <w:szCs w:val="24"/>
              </w:rPr>
            </w:pPr>
          </w:p>
          <w:p w14:paraId="17DCE403">
            <w:pPr>
              <w:spacing w:line="360" w:lineRule="auto"/>
              <w:rPr>
                <w:rFonts w:ascii="Times New Roman" w:hAnsi="Times New Roman" w:eastAsia="黑体" w:cs="Times New Roman"/>
                <w:sz w:val="24"/>
                <w:szCs w:val="24"/>
              </w:rPr>
            </w:pPr>
          </w:p>
          <w:p w14:paraId="5F1C76EF">
            <w:pPr>
              <w:spacing w:line="360" w:lineRule="auto"/>
              <w:rPr>
                <w:rFonts w:ascii="Times New Roman" w:hAnsi="Times New Roman" w:eastAsia="黑体" w:cs="Times New Roman"/>
                <w:sz w:val="24"/>
                <w:szCs w:val="24"/>
              </w:rPr>
            </w:pPr>
          </w:p>
          <w:p w14:paraId="79FC0F05">
            <w:pPr>
              <w:spacing w:line="360" w:lineRule="auto"/>
              <w:rPr>
                <w:rFonts w:ascii="Times New Roman" w:hAnsi="Times New Roman" w:eastAsia="黑体" w:cs="Times New Roman"/>
                <w:sz w:val="24"/>
                <w:szCs w:val="24"/>
              </w:rPr>
            </w:pPr>
          </w:p>
          <w:p w14:paraId="6B7EF811">
            <w:pPr>
              <w:spacing w:line="360" w:lineRule="auto"/>
              <w:rPr>
                <w:rFonts w:ascii="Times New Roman" w:hAnsi="Times New Roman" w:eastAsia="黑体" w:cs="Times New Roman"/>
                <w:sz w:val="24"/>
                <w:szCs w:val="24"/>
              </w:rPr>
            </w:pPr>
          </w:p>
          <w:p w14:paraId="33412F2F">
            <w:pPr>
              <w:spacing w:line="360" w:lineRule="auto"/>
              <w:rPr>
                <w:rFonts w:ascii="Times New Roman" w:hAnsi="Times New Roman" w:eastAsia="黑体" w:cs="Times New Roman"/>
                <w:sz w:val="24"/>
                <w:szCs w:val="24"/>
              </w:rPr>
            </w:pPr>
          </w:p>
          <w:p w14:paraId="7E432B9B">
            <w:pPr>
              <w:spacing w:line="360" w:lineRule="auto"/>
              <w:rPr>
                <w:rFonts w:ascii="Times New Roman" w:hAnsi="Times New Roman" w:eastAsia="黑体" w:cs="Times New Roman"/>
                <w:sz w:val="24"/>
                <w:szCs w:val="24"/>
              </w:rPr>
            </w:pPr>
          </w:p>
          <w:p w14:paraId="278761FC">
            <w:pPr>
              <w:spacing w:line="360" w:lineRule="auto"/>
              <w:jc w:val="center"/>
              <w:rPr>
                <w:rFonts w:ascii="Times New Roman" w:hAnsi="Times New Roman" w:eastAsia="黑体" w:cs="Times New Roman"/>
                <w:sz w:val="24"/>
                <w:szCs w:val="24"/>
              </w:rPr>
            </w:pPr>
            <w:r>
              <w:rPr>
                <w:rFonts w:ascii="Times New Roman" w:hAnsi="黑体" w:eastAsia="黑体"/>
                <w:szCs w:val="24"/>
              </w:rPr>
              <w:t>图</w:t>
            </w:r>
            <w:r>
              <w:rPr>
                <w:rFonts w:hint="eastAsia" w:ascii="Times New Roman" w:hAnsi="黑体" w:eastAsia="黑体"/>
                <w:szCs w:val="24"/>
              </w:rPr>
              <w:t xml:space="preserve">2-4  </w:t>
            </w:r>
            <w:r>
              <w:rPr>
                <w:rFonts w:ascii="Times New Roman" w:hAnsi="黑体" w:eastAsia="黑体"/>
                <w:szCs w:val="24"/>
              </w:rPr>
              <w:t>项目漆料平衡图单位：</w:t>
            </w:r>
            <w:r>
              <w:rPr>
                <w:rFonts w:ascii="Times New Roman" w:hAnsi="Times New Roman" w:eastAsia="黑体"/>
                <w:szCs w:val="24"/>
              </w:rPr>
              <w:t>t/a</w:t>
            </w:r>
          </w:p>
        </w:tc>
      </w:tr>
    </w:tbl>
    <w:p w14:paraId="06D1C0C5">
      <w:pPr>
        <w:rPr>
          <w:rFonts w:ascii="Times New Roman" w:hAnsi="Times New Roman" w:eastAsia="宋体" w:cs="宋体"/>
          <w:bCs/>
          <w:sz w:val="24"/>
          <w:szCs w:val="24"/>
        </w:rPr>
      </w:pPr>
      <w:r>
        <w:rPr>
          <w:rFonts w:ascii="Times New Roman" w:hAnsi="Times New Roman" w:eastAsia="宋体" w:cs="宋体"/>
          <w:bCs/>
          <w:sz w:val="24"/>
          <w:szCs w:val="24"/>
        </w:rPr>
        <w:br w:type="page"/>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86C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0F006B8">
            <w:pPr>
              <w:spacing w:line="358" w:lineRule="auto"/>
              <w:jc w:val="center"/>
              <w:rPr>
                <w:rFonts w:ascii="Times New Roman" w:hAnsi="Times New Roman" w:eastAsia="黑体" w:cs="Times New Roman"/>
                <w:bCs/>
                <w:sz w:val="24"/>
                <w:szCs w:val="24"/>
              </w:rPr>
            </w:pPr>
            <w:r>
              <w:rPr>
                <w:rFonts w:hint="eastAsia" w:ascii="Times New Roman" w:hAnsi="Times New Roman" w:eastAsia="黑体" w:cs="Times New Roman"/>
                <w:bCs/>
                <w:sz w:val="24"/>
                <w:szCs w:val="24"/>
              </w:rPr>
              <w:t>表2-1</w:t>
            </w:r>
            <w:r>
              <w:rPr>
                <w:rFonts w:hint="eastAsia" w:ascii="Times New Roman" w:hAnsi="Times New Roman" w:eastAsia="黑体" w:cs="Times New Roman"/>
                <w:bCs/>
                <w:sz w:val="24"/>
                <w:szCs w:val="24"/>
                <w:lang w:val="en-US" w:eastAsia="zh-CN"/>
              </w:rPr>
              <w:t>1</w:t>
            </w:r>
            <w:r>
              <w:rPr>
                <w:rFonts w:hint="eastAsia" w:ascii="Times New Roman" w:hAnsi="Times New Roman" w:eastAsia="黑体" w:cs="Times New Roman"/>
                <w:bCs/>
                <w:sz w:val="24"/>
                <w:szCs w:val="24"/>
              </w:rPr>
              <w:t xml:space="preserve">  项目底漆漆料平衡一览表 单位：t/a</w:t>
            </w:r>
          </w:p>
          <w:tbl>
            <w:tblPr>
              <w:tblStyle w:val="18"/>
              <w:tblW w:w="5000" w:type="pct"/>
              <w:tblInd w:w="5"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2775"/>
              <w:gridCol w:w="5564"/>
              <w:gridCol w:w="2780"/>
              <w:gridCol w:w="2839"/>
            </w:tblGrid>
            <w:tr w14:paraId="546DBB3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5000" w:type="pct"/>
                  <w:gridSpan w:val="4"/>
                  <w:tcBorders>
                    <w:tl2br w:val="nil"/>
                    <w:tr2bl w:val="nil"/>
                  </w:tcBorders>
                  <w:shd w:val="clear" w:color="auto" w:fill="auto"/>
                  <w:vAlign w:val="center"/>
                </w:tcPr>
                <w:p w14:paraId="2ED4101D">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水性底漆2</w:t>
                  </w:r>
                  <w:r>
                    <w:rPr>
                      <w:rFonts w:hint="eastAsia" w:ascii="Times New Roman" w:hAnsi="Times New Roman" w:cs="Times New Roman"/>
                      <w:color w:val="auto"/>
                      <w:kern w:val="0"/>
                      <w:szCs w:val="21"/>
                      <w:lang w:val="en-US" w:eastAsia="zh-CN"/>
                    </w:rPr>
                    <w:t>8.901</w:t>
                  </w:r>
                </w:p>
              </w:tc>
            </w:tr>
            <w:tr w14:paraId="07438CF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restart"/>
                  <w:tcBorders>
                    <w:tl2br w:val="nil"/>
                    <w:tr2bl w:val="nil"/>
                  </w:tcBorders>
                  <w:shd w:val="clear" w:color="auto" w:fill="auto"/>
                  <w:vAlign w:val="center"/>
                </w:tcPr>
                <w:p w14:paraId="7C2711C3">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固体份</w:t>
                  </w:r>
                  <w:r>
                    <w:rPr>
                      <w:rFonts w:hint="eastAsia" w:ascii="Times New Roman" w:hAnsi="Times New Roman" w:cs="Times New Roman"/>
                      <w:color w:val="auto"/>
                      <w:kern w:val="0"/>
                      <w:szCs w:val="21"/>
                      <w:lang w:val="en-US" w:eastAsia="zh-CN"/>
                    </w:rPr>
                    <w:t>20.520</w:t>
                  </w:r>
                </w:p>
              </w:tc>
              <w:tc>
                <w:tcPr>
                  <w:tcW w:w="4005" w:type="pct"/>
                  <w:gridSpan w:val="3"/>
                  <w:tcBorders>
                    <w:tl2br w:val="nil"/>
                    <w:tr2bl w:val="nil"/>
                  </w:tcBorders>
                  <w:shd w:val="clear" w:color="auto" w:fill="auto"/>
                  <w:vAlign w:val="center"/>
                </w:tcPr>
                <w:p w14:paraId="5F86004D">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漆渣</w:t>
                  </w:r>
                  <w:r>
                    <w:rPr>
                      <w:rFonts w:hint="eastAsia" w:ascii="Times New Roman" w:hAnsi="Times New Roman" w:cs="Times New Roman"/>
                      <w:color w:val="auto"/>
                      <w:kern w:val="0"/>
                      <w:szCs w:val="21"/>
                      <w:lang w:val="en-US" w:eastAsia="zh-CN"/>
                    </w:rPr>
                    <w:t>1.026</w:t>
                  </w:r>
                </w:p>
              </w:tc>
            </w:tr>
            <w:tr w14:paraId="5F46F946">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33FD73F1">
                  <w:pPr>
                    <w:spacing w:line="276" w:lineRule="auto"/>
                    <w:jc w:val="center"/>
                    <w:rPr>
                      <w:rFonts w:ascii="Times New Roman" w:hAnsi="Times New Roman" w:cs="Times New Roman"/>
                      <w:color w:val="auto"/>
                      <w:szCs w:val="21"/>
                    </w:rPr>
                  </w:pPr>
                </w:p>
              </w:tc>
              <w:tc>
                <w:tcPr>
                  <w:tcW w:w="1993" w:type="pct"/>
                  <w:vMerge w:val="restart"/>
                  <w:tcBorders>
                    <w:tl2br w:val="nil"/>
                    <w:tr2bl w:val="nil"/>
                  </w:tcBorders>
                  <w:shd w:val="clear" w:color="auto" w:fill="auto"/>
                  <w:vAlign w:val="center"/>
                </w:tcPr>
                <w:p w14:paraId="1812DBB4">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漆雾</w:t>
                  </w:r>
                  <w:r>
                    <w:rPr>
                      <w:rFonts w:hint="eastAsia" w:ascii="Times New Roman" w:hAnsi="Times New Roman" w:cs="Times New Roman"/>
                      <w:color w:val="auto"/>
                      <w:kern w:val="0"/>
                      <w:szCs w:val="21"/>
                      <w:lang w:val="en-US" w:eastAsia="zh-CN"/>
                    </w:rPr>
                    <w:t>5.13</w:t>
                  </w:r>
                </w:p>
              </w:tc>
              <w:tc>
                <w:tcPr>
                  <w:tcW w:w="996" w:type="pct"/>
                  <w:tcBorders>
                    <w:tl2br w:val="nil"/>
                    <w:tr2bl w:val="nil"/>
                  </w:tcBorders>
                  <w:shd w:val="clear" w:color="auto" w:fill="auto"/>
                  <w:vAlign w:val="center"/>
                </w:tcPr>
                <w:p w14:paraId="5290001C">
                  <w:pPr>
                    <w:spacing w:line="276" w:lineRule="auto"/>
                    <w:jc w:val="center"/>
                    <w:rPr>
                      <w:rFonts w:ascii="Times New Roman" w:hAnsi="Times New Roman" w:cs="Times New Roman"/>
                      <w:color w:val="auto"/>
                      <w:kern w:val="0"/>
                      <w:szCs w:val="21"/>
                    </w:rPr>
                  </w:pPr>
                  <w:r>
                    <w:rPr>
                      <w:rFonts w:ascii="Times New Roman" w:hAnsi="Times New Roman" w:cs="Times New Roman"/>
                      <w:color w:val="auto"/>
                      <w:kern w:val="0"/>
                      <w:szCs w:val="21"/>
                    </w:rPr>
                    <w:t>吸附的漆雾</w:t>
                  </w:r>
                </w:p>
              </w:tc>
              <w:tc>
                <w:tcPr>
                  <w:tcW w:w="1015" w:type="pct"/>
                  <w:tcBorders>
                    <w:tl2br w:val="nil"/>
                    <w:tr2bl w:val="nil"/>
                  </w:tcBorders>
                  <w:shd w:val="clear" w:color="auto" w:fill="auto"/>
                  <w:vAlign w:val="center"/>
                </w:tcPr>
                <w:p w14:paraId="58AEF431">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4.</w:t>
                  </w:r>
                  <w:r>
                    <w:rPr>
                      <w:rFonts w:hint="eastAsia" w:ascii="Times New Roman" w:hAnsi="Times New Roman" w:cs="Times New Roman"/>
                      <w:color w:val="auto"/>
                      <w:kern w:val="0"/>
                      <w:szCs w:val="21"/>
                      <w:lang w:val="en-US" w:eastAsia="zh-CN"/>
                    </w:rPr>
                    <w:t>844</w:t>
                  </w:r>
                </w:p>
              </w:tc>
            </w:tr>
            <w:tr w14:paraId="010CD63D">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40FAB1E0">
                  <w:pPr>
                    <w:spacing w:line="276" w:lineRule="auto"/>
                    <w:jc w:val="center"/>
                    <w:rPr>
                      <w:rFonts w:ascii="Times New Roman" w:hAnsi="Times New Roman" w:cs="Times New Roman"/>
                      <w:color w:val="auto"/>
                      <w:szCs w:val="21"/>
                    </w:rPr>
                  </w:pPr>
                </w:p>
              </w:tc>
              <w:tc>
                <w:tcPr>
                  <w:tcW w:w="1993" w:type="pct"/>
                  <w:vMerge w:val="continue"/>
                  <w:tcBorders>
                    <w:tl2br w:val="nil"/>
                    <w:tr2bl w:val="nil"/>
                  </w:tcBorders>
                  <w:shd w:val="clear" w:color="auto" w:fill="auto"/>
                  <w:vAlign w:val="center"/>
                </w:tcPr>
                <w:p w14:paraId="46037DA0">
                  <w:pPr>
                    <w:spacing w:line="276" w:lineRule="auto"/>
                    <w:jc w:val="center"/>
                    <w:rPr>
                      <w:rFonts w:ascii="Times New Roman" w:hAnsi="Times New Roman" w:cs="Times New Roman"/>
                      <w:color w:val="auto"/>
                      <w:szCs w:val="21"/>
                    </w:rPr>
                  </w:pPr>
                </w:p>
              </w:tc>
              <w:tc>
                <w:tcPr>
                  <w:tcW w:w="996" w:type="pct"/>
                  <w:tcBorders>
                    <w:tl2br w:val="nil"/>
                    <w:tr2bl w:val="nil"/>
                  </w:tcBorders>
                  <w:shd w:val="clear" w:color="auto" w:fill="auto"/>
                  <w:vAlign w:val="center"/>
                </w:tcPr>
                <w:p w14:paraId="25CF123C">
                  <w:pPr>
                    <w:spacing w:line="276" w:lineRule="auto"/>
                    <w:jc w:val="center"/>
                    <w:rPr>
                      <w:rFonts w:ascii="Times New Roman" w:hAnsi="Times New Roman" w:cs="Times New Roman"/>
                      <w:color w:val="auto"/>
                      <w:kern w:val="0"/>
                      <w:szCs w:val="21"/>
                    </w:rPr>
                  </w:pPr>
                  <w:r>
                    <w:rPr>
                      <w:rFonts w:ascii="Times New Roman" w:hAnsi="Times New Roman" w:cs="Times New Roman"/>
                      <w:color w:val="auto"/>
                      <w:kern w:val="0"/>
                      <w:szCs w:val="21"/>
                    </w:rPr>
                    <w:t>有组织排放</w:t>
                  </w:r>
                </w:p>
              </w:tc>
              <w:tc>
                <w:tcPr>
                  <w:tcW w:w="1015" w:type="pct"/>
                  <w:tcBorders>
                    <w:tl2br w:val="nil"/>
                    <w:tr2bl w:val="nil"/>
                  </w:tcBorders>
                  <w:shd w:val="clear" w:color="auto" w:fill="auto"/>
                  <w:vAlign w:val="center"/>
                </w:tcPr>
                <w:p w14:paraId="5C16DB60">
                  <w:pPr>
                    <w:spacing w:line="276" w:lineRule="auto"/>
                    <w:jc w:val="center"/>
                    <w:rPr>
                      <w:rFonts w:hint="eastAsia" w:ascii="Times New Roman" w:hAnsi="Times New Roman" w:cs="Times New Roman" w:eastAsiaTheme="minorEastAsia"/>
                      <w:color w:val="auto"/>
                      <w:kern w:val="0"/>
                      <w:szCs w:val="21"/>
                      <w:lang w:eastAsia="zh-CN"/>
                    </w:rPr>
                  </w:pPr>
                  <w:r>
                    <w:rPr>
                      <w:rFonts w:ascii="Times New Roman" w:hAnsi="Times New Roman" w:cs="Times New Roman"/>
                      <w:color w:val="auto"/>
                      <w:kern w:val="0"/>
                      <w:szCs w:val="21"/>
                    </w:rPr>
                    <w:t>0.02</w:t>
                  </w:r>
                  <w:r>
                    <w:rPr>
                      <w:rFonts w:hint="eastAsia" w:ascii="Times New Roman" w:hAnsi="Times New Roman" w:cs="Times New Roman"/>
                      <w:color w:val="auto"/>
                      <w:kern w:val="0"/>
                      <w:szCs w:val="21"/>
                      <w:lang w:val="en-US" w:eastAsia="zh-CN"/>
                    </w:rPr>
                    <w:t>9</w:t>
                  </w:r>
                </w:p>
              </w:tc>
            </w:tr>
            <w:tr w14:paraId="31C1129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37C32641">
                  <w:pPr>
                    <w:spacing w:line="276" w:lineRule="auto"/>
                    <w:jc w:val="center"/>
                    <w:rPr>
                      <w:rFonts w:ascii="Times New Roman" w:hAnsi="Times New Roman" w:cs="Times New Roman"/>
                      <w:color w:val="auto"/>
                      <w:szCs w:val="21"/>
                    </w:rPr>
                  </w:pPr>
                </w:p>
              </w:tc>
              <w:tc>
                <w:tcPr>
                  <w:tcW w:w="1993" w:type="pct"/>
                  <w:vMerge w:val="continue"/>
                  <w:tcBorders>
                    <w:tl2br w:val="nil"/>
                    <w:tr2bl w:val="nil"/>
                  </w:tcBorders>
                  <w:shd w:val="clear" w:color="auto" w:fill="auto"/>
                  <w:vAlign w:val="center"/>
                </w:tcPr>
                <w:p w14:paraId="2217DDAE">
                  <w:pPr>
                    <w:spacing w:line="276" w:lineRule="auto"/>
                    <w:jc w:val="center"/>
                    <w:rPr>
                      <w:rFonts w:ascii="Times New Roman" w:hAnsi="Times New Roman" w:cs="Times New Roman"/>
                      <w:color w:val="auto"/>
                      <w:szCs w:val="21"/>
                    </w:rPr>
                  </w:pPr>
                </w:p>
              </w:tc>
              <w:tc>
                <w:tcPr>
                  <w:tcW w:w="996" w:type="pct"/>
                  <w:tcBorders>
                    <w:tl2br w:val="nil"/>
                    <w:tr2bl w:val="nil"/>
                  </w:tcBorders>
                  <w:shd w:val="clear" w:color="auto" w:fill="auto"/>
                  <w:vAlign w:val="center"/>
                </w:tcPr>
                <w:p w14:paraId="3F4D7991">
                  <w:pPr>
                    <w:spacing w:line="276" w:lineRule="auto"/>
                    <w:jc w:val="center"/>
                    <w:rPr>
                      <w:rFonts w:ascii="Times New Roman" w:hAnsi="Times New Roman" w:cs="Times New Roman"/>
                      <w:color w:val="auto"/>
                      <w:kern w:val="0"/>
                      <w:szCs w:val="21"/>
                    </w:rPr>
                  </w:pPr>
                  <w:r>
                    <w:rPr>
                      <w:rFonts w:ascii="Times New Roman" w:hAnsi="Times New Roman" w:cs="Times New Roman"/>
                      <w:color w:val="auto"/>
                      <w:kern w:val="0"/>
                      <w:szCs w:val="21"/>
                    </w:rPr>
                    <w:t>无组织排放</w:t>
                  </w:r>
                </w:p>
              </w:tc>
              <w:tc>
                <w:tcPr>
                  <w:tcW w:w="1015" w:type="pct"/>
                  <w:tcBorders>
                    <w:tl2br w:val="nil"/>
                    <w:tr2bl w:val="nil"/>
                  </w:tcBorders>
                  <w:shd w:val="clear" w:color="auto" w:fill="auto"/>
                  <w:vAlign w:val="center"/>
                </w:tcPr>
                <w:p w14:paraId="333318B5">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0.2</w:t>
                  </w:r>
                  <w:r>
                    <w:rPr>
                      <w:rFonts w:hint="eastAsia" w:ascii="Times New Roman" w:hAnsi="Times New Roman" w:cs="Times New Roman"/>
                      <w:color w:val="auto"/>
                      <w:kern w:val="0"/>
                      <w:szCs w:val="21"/>
                      <w:lang w:val="en-US" w:eastAsia="zh-CN"/>
                    </w:rPr>
                    <w:t>57</w:t>
                  </w:r>
                </w:p>
              </w:tc>
            </w:tr>
            <w:tr w14:paraId="3D5E273D">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3C53B39C">
                  <w:pPr>
                    <w:spacing w:line="276" w:lineRule="auto"/>
                    <w:jc w:val="center"/>
                    <w:rPr>
                      <w:rFonts w:ascii="Times New Roman" w:hAnsi="Times New Roman" w:cs="Times New Roman"/>
                      <w:color w:val="auto"/>
                      <w:szCs w:val="21"/>
                    </w:rPr>
                  </w:pPr>
                </w:p>
              </w:tc>
              <w:tc>
                <w:tcPr>
                  <w:tcW w:w="4005" w:type="pct"/>
                  <w:gridSpan w:val="3"/>
                  <w:tcBorders>
                    <w:tl2br w:val="nil"/>
                    <w:tr2bl w:val="nil"/>
                  </w:tcBorders>
                  <w:shd w:val="clear" w:color="auto" w:fill="auto"/>
                  <w:vAlign w:val="center"/>
                </w:tcPr>
                <w:p w14:paraId="175A6A45">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工作附着1</w:t>
                  </w:r>
                  <w:r>
                    <w:rPr>
                      <w:rFonts w:hint="eastAsia" w:ascii="Times New Roman" w:hAnsi="Times New Roman" w:cs="Times New Roman"/>
                      <w:color w:val="auto"/>
                      <w:kern w:val="0"/>
                      <w:szCs w:val="21"/>
                      <w:lang w:val="en-US" w:eastAsia="zh-CN"/>
                    </w:rPr>
                    <w:t>4.364</w:t>
                  </w:r>
                </w:p>
              </w:tc>
            </w:tr>
            <w:tr w14:paraId="1C0865A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restart"/>
                  <w:tcBorders>
                    <w:tl2br w:val="nil"/>
                    <w:tr2bl w:val="nil"/>
                  </w:tcBorders>
                  <w:shd w:val="clear" w:color="auto" w:fill="auto"/>
                  <w:vAlign w:val="center"/>
                </w:tcPr>
                <w:p w14:paraId="4BBE5B5D">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挥发份1.1</w:t>
                  </w:r>
                  <w:r>
                    <w:rPr>
                      <w:rFonts w:hint="eastAsia" w:ascii="Times New Roman" w:hAnsi="Times New Roman" w:cs="Times New Roman"/>
                      <w:color w:val="auto"/>
                      <w:kern w:val="0"/>
                      <w:szCs w:val="21"/>
                      <w:lang w:val="en-US" w:eastAsia="zh-CN"/>
                    </w:rPr>
                    <w:t>56</w:t>
                  </w:r>
                </w:p>
              </w:tc>
              <w:tc>
                <w:tcPr>
                  <w:tcW w:w="1993" w:type="pct"/>
                  <w:vMerge w:val="restart"/>
                  <w:tcBorders>
                    <w:tl2br w:val="nil"/>
                    <w:tr2bl w:val="nil"/>
                  </w:tcBorders>
                  <w:shd w:val="clear" w:color="auto" w:fill="auto"/>
                  <w:vAlign w:val="center"/>
                </w:tcPr>
                <w:p w14:paraId="2A72AE2B">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调漆0.02</w:t>
                  </w:r>
                  <w:r>
                    <w:rPr>
                      <w:rFonts w:hint="eastAsia" w:ascii="Times New Roman" w:hAnsi="Times New Roman" w:cs="Times New Roman"/>
                      <w:color w:val="auto"/>
                      <w:kern w:val="0"/>
                      <w:szCs w:val="21"/>
                      <w:lang w:val="en-US" w:eastAsia="zh-CN"/>
                    </w:rPr>
                    <w:t>31</w:t>
                  </w:r>
                </w:p>
              </w:tc>
              <w:tc>
                <w:tcPr>
                  <w:tcW w:w="996" w:type="pct"/>
                  <w:tcBorders>
                    <w:tl2br w:val="nil"/>
                    <w:tr2bl w:val="nil"/>
                  </w:tcBorders>
                  <w:shd w:val="clear" w:color="auto" w:fill="auto"/>
                  <w:vAlign w:val="center"/>
                </w:tcPr>
                <w:p w14:paraId="3313B32C">
                  <w:pPr>
                    <w:spacing w:line="276" w:lineRule="auto"/>
                    <w:jc w:val="center"/>
                    <w:rPr>
                      <w:rFonts w:ascii="Times New Roman" w:hAnsi="Times New Roman" w:cs="Times New Roman"/>
                      <w:color w:val="auto"/>
                      <w:kern w:val="0"/>
                      <w:szCs w:val="21"/>
                    </w:rPr>
                  </w:pPr>
                  <w:r>
                    <w:rPr>
                      <w:rFonts w:ascii="Times New Roman" w:hAnsi="Times New Roman" w:cs="Times New Roman"/>
                      <w:color w:val="auto"/>
                      <w:kern w:val="0"/>
                      <w:szCs w:val="21"/>
                    </w:rPr>
                    <w:t>无组织非甲烷总烃</w:t>
                  </w:r>
                </w:p>
              </w:tc>
              <w:tc>
                <w:tcPr>
                  <w:tcW w:w="1015" w:type="pct"/>
                  <w:tcBorders>
                    <w:tl2br w:val="nil"/>
                    <w:tr2bl w:val="nil"/>
                  </w:tcBorders>
                  <w:shd w:val="clear" w:color="auto" w:fill="auto"/>
                  <w:vAlign w:val="center"/>
                </w:tcPr>
                <w:p w14:paraId="48B02061">
                  <w:pPr>
                    <w:spacing w:line="276" w:lineRule="auto"/>
                    <w:jc w:val="center"/>
                    <w:rPr>
                      <w:rFonts w:hint="eastAsia" w:ascii="Times New Roman" w:hAnsi="Times New Roman" w:cs="Times New Roman" w:eastAsiaTheme="minorEastAsia"/>
                      <w:color w:val="auto"/>
                      <w:kern w:val="0"/>
                      <w:szCs w:val="21"/>
                      <w:lang w:eastAsia="zh-CN"/>
                    </w:rPr>
                  </w:pPr>
                  <w:r>
                    <w:rPr>
                      <w:rFonts w:ascii="Times New Roman" w:hAnsi="Times New Roman" w:cs="Times New Roman"/>
                      <w:color w:val="auto"/>
                      <w:kern w:val="0"/>
                      <w:szCs w:val="21"/>
                    </w:rPr>
                    <w:t>0.001</w:t>
                  </w:r>
                  <w:r>
                    <w:rPr>
                      <w:rFonts w:hint="eastAsia" w:ascii="Times New Roman" w:hAnsi="Times New Roman" w:cs="Times New Roman"/>
                      <w:color w:val="auto"/>
                      <w:kern w:val="0"/>
                      <w:szCs w:val="21"/>
                      <w:lang w:val="en-US" w:eastAsia="zh-CN"/>
                    </w:rPr>
                    <w:t>2</w:t>
                  </w:r>
                </w:p>
              </w:tc>
            </w:tr>
            <w:tr w14:paraId="2D45584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2C16B100">
                  <w:pPr>
                    <w:spacing w:line="276" w:lineRule="auto"/>
                    <w:jc w:val="center"/>
                    <w:rPr>
                      <w:rFonts w:ascii="Times New Roman" w:hAnsi="Times New Roman" w:cs="Times New Roman"/>
                      <w:color w:val="auto"/>
                      <w:szCs w:val="21"/>
                    </w:rPr>
                  </w:pPr>
                </w:p>
              </w:tc>
              <w:tc>
                <w:tcPr>
                  <w:tcW w:w="1993" w:type="pct"/>
                  <w:vMerge w:val="continue"/>
                  <w:tcBorders>
                    <w:tl2br w:val="nil"/>
                    <w:tr2bl w:val="nil"/>
                  </w:tcBorders>
                  <w:shd w:val="clear" w:color="auto" w:fill="auto"/>
                  <w:vAlign w:val="center"/>
                </w:tcPr>
                <w:p w14:paraId="4B53AD68">
                  <w:pPr>
                    <w:spacing w:line="276" w:lineRule="auto"/>
                    <w:jc w:val="center"/>
                    <w:rPr>
                      <w:rFonts w:ascii="Times New Roman" w:hAnsi="Times New Roman" w:cs="Times New Roman"/>
                      <w:color w:val="auto"/>
                      <w:szCs w:val="21"/>
                    </w:rPr>
                  </w:pPr>
                </w:p>
              </w:tc>
              <w:tc>
                <w:tcPr>
                  <w:tcW w:w="996" w:type="pct"/>
                  <w:tcBorders>
                    <w:tl2br w:val="nil"/>
                    <w:tr2bl w:val="nil"/>
                  </w:tcBorders>
                  <w:shd w:val="clear" w:color="auto" w:fill="auto"/>
                  <w:vAlign w:val="center"/>
                </w:tcPr>
                <w:p w14:paraId="30A6C548">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lang w:val="en-US" w:eastAsia="zh-CN"/>
                    </w:rPr>
                    <w:t>有组织</w:t>
                  </w:r>
                  <w:r>
                    <w:rPr>
                      <w:rFonts w:ascii="Times New Roman" w:hAnsi="Times New Roman" w:cs="Times New Roman"/>
                      <w:color w:val="auto"/>
                      <w:kern w:val="0"/>
                      <w:szCs w:val="21"/>
                    </w:rPr>
                    <w:t>非甲烷总烃</w:t>
                  </w:r>
                </w:p>
              </w:tc>
              <w:tc>
                <w:tcPr>
                  <w:tcW w:w="1015" w:type="pct"/>
                  <w:tcBorders>
                    <w:tl2br w:val="nil"/>
                    <w:tr2bl w:val="nil"/>
                  </w:tcBorders>
                  <w:shd w:val="clear" w:color="auto" w:fill="auto"/>
                  <w:vAlign w:val="center"/>
                </w:tcPr>
                <w:p w14:paraId="20B72A66">
                  <w:pPr>
                    <w:spacing w:line="276" w:lineRule="auto"/>
                    <w:jc w:val="center"/>
                    <w:rPr>
                      <w:rFonts w:hint="eastAsia"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0.021</w:t>
                  </w:r>
                  <w:r>
                    <w:rPr>
                      <w:rFonts w:hint="eastAsia" w:ascii="Times New Roman" w:hAnsi="Times New Roman" w:cs="Times New Roman"/>
                      <w:color w:val="auto"/>
                      <w:kern w:val="0"/>
                      <w:szCs w:val="21"/>
                      <w:lang w:val="en-US" w:eastAsia="zh-CN"/>
                    </w:rPr>
                    <w:t>9</w:t>
                  </w:r>
                </w:p>
              </w:tc>
            </w:tr>
            <w:tr w14:paraId="79F40445">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7053DC6F">
                  <w:pPr>
                    <w:spacing w:line="276" w:lineRule="auto"/>
                    <w:jc w:val="center"/>
                    <w:rPr>
                      <w:rFonts w:ascii="Times New Roman" w:hAnsi="Times New Roman" w:cs="Times New Roman"/>
                      <w:color w:val="auto"/>
                      <w:szCs w:val="21"/>
                    </w:rPr>
                  </w:pPr>
                </w:p>
              </w:tc>
              <w:tc>
                <w:tcPr>
                  <w:tcW w:w="1993" w:type="pct"/>
                  <w:vMerge w:val="restart"/>
                  <w:tcBorders>
                    <w:tl2br w:val="nil"/>
                    <w:tr2bl w:val="nil"/>
                  </w:tcBorders>
                  <w:shd w:val="clear" w:color="auto" w:fill="auto"/>
                  <w:vAlign w:val="center"/>
                </w:tcPr>
                <w:p w14:paraId="5B542405">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喷漆0.4</w:t>
                  </w:r>
                  <w:r>
                    <w:rPr>
                      <w:rFonts w:hint="eastAsia" w:ascii="Times New Roman" w:hAnsi="Times New Roman" w:cs="Times New Roman"/>
                      <w:color w:val="auto"/>
                      <w:kern w:val="0"/>
                      <w:szCs w:val="21"/>
                      <w:lang w:val="en-US" w:eastAsia="zh-CN"/>
                    </w:rPr>
                    <w:t>62</w:t>
                  </w:r>
                </w:p>
              </w:tc>
              <w:tc>
                <w:tcPr>
                  <w:tcW w:w="996" w:type="pct"/>
                  <w:tcBorders>
                    <w:tl2br w:val="nil"/>
                    <w:tr2bl w:val="nil"/>
                  </w:tcBorders>
                  <w:shd w:val="clear" w:color="auto" w:fill="auto"/>
                  <w:vAlign w:val="center"/>
                </w:tcPr>
                <w:p w14:paraId="663ACA59">
                  <w:pPr>
                    <w:spacing w:line="276" w:lineRule="auto"/>
                    <w:jc w:val="center"/>
                    <w:rPr>
                      <w:rFonts w:ascii="Times New Roman" w:hAnsi="Times New Roman" w:cs="Times New Roman"/>
                      <w:color w:val="auto"/>
                      <w:kern w:val="0"/>
                      <w:szCs w:val="21"/>
                    </w:rPr>
                  </w:pPr>
                  <w:r>
                    <w:rPr>
                      <w:rFonts w:ascii="Times New Roman" w:hAnsi="Times New Roman" w:cs="Times New Roman"/>
                      <w:color w:val="auto"/>
                      <w:kern w:val="0"/>
                      <w:szCs w:val="21"/>
                    </w:rPr>
                    <w:t>无组织非甲烷总烃</w:t>
                  </w:r>
                </w:p>
              </w:tc>
              <w:tc>
                <w:tcPr>
                  <w:tcW w:w="1015" w:type="pct"/>
                  <w:tcBorders>
                    <w:tl2br w:val="nil"/>
                    <w:tr2bl w:val="nil"/>
                  </w:tcBorders>
                  <w:shd w:val="clear" w:color="auto" w:fill="auto"/>
                  <w:vAlign w:val="center"/>
                </w:tcPr>
                <w:p w14:paraId="6432121D">
                  <w:pPr>
                    <w:spacing w:line="276" w:lineRule="auto"/>
                    <w:jc w:val="center"/>
                    <w:rPr>
                      <w:rFonts w:hint="eastAsia" w:ascii="Times New Roman" w:hAnsi="Times New Roman" w:cs="Times New Roman" w:eastAsiaTheme="minorEastAsia"/>
                      <w:color w:val="auto"/>
                      <w:kern w:val="0"/>
                      <w:szCs w:val="21"/>
                      <w:lang w:eastAsia="zh-CN"/>
                    </w:rPr>
                  </w:pPr>
                  <w:r>
                    <w:rPr>
                      <w:rFonts w:ascii="Times New Roman" w:hAnsi="Times New Roman" w:cs="Times New Roman"/>
                      <w:color w:val="auto"/>
                      <w:kern w:val="0"/>
                      <w:szCs w:val="21"/>
                    </w:rPr>
                    <w:t>0.02</w:t>
                  </w:r>
                  <w:r>
                    <w:rPr>
                      <w:rFonts w:hint="eastAsia" w:ascii="Times New Roman" w:hAnsi="Times New Roman" w:cs="Times New Roman"/>
                      <w:color w:val="auto"/>
                      <w:kern w:val="0"/>
                      <w:szCs w:val="21"/>
                      <w:lang w:val="en-US" w:eastAsia="zh-CN"/>
                    </w:rPr>
                    <w:t>3</w:t>
                  </w:r>
                </w:p>
              </w:tc>
            </w:tr>
            <w:tr w14:paraId="2A9AA829">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27C67F64">
                  <w:pPr>
                    <w:spacing w:line="276" w:lineRule="auto"/>
                    <w:jc w:val="center"/>
                    <w:rPr>
                      <w:rFonts w:ascii="Times New Roman" w:hAnsi="Times New Roman" w:cs="Times New Roman"/>
                      <w:color w:val="auto"/>
                      <w:szCs w:val="21"/>
                    </w:rPr>
                  </w:pPr>
                </w:p>
              </w:tc>
              <w:tc>
                <w:tcPr>
                  <w:tcW w:w="1993" w:type="pct"/>
                  <w:vMerge w:val="continue"/>
                  <w:tcBorders>
                    <w:tl2br w:val="nil"/>
                    <w:tr2bl w:val="nil"/>
                  </w:tcBorders>
                  <w:shd w:val="clear" w:color="auto" w:fill="auto"/>
                  <w:vAlign w:val="center"/>
                </w:tcPr>
                <w:p w14:paraId="6C6C006F">
                  <w:pPr>
                    <w:spacing w:line="276" w:lineRule="auto"/>
                    <w:jc w:val="center"/>
                    <w:rPr>
                      <w:rFonts w:ascii="Times New Roman" w:hAnsi="Times New Roman" w:cs="Times New Roman"/>
                      <w:color w:val="auto"/>
                      <w:szCs w:val="21"/>
                    </w:rPr>
                  </w:pPr>
                </w:p>
              </w:tc>
              <w:tc>
                <w:tcPr>
                  <w:tcW w:w="996" w:type="pct"/>
                  <w:tcBorders>
                    <w:tl2br w:val="nil"/>
                    <w:tr2bl w:val="nil"/>
                  </w:tcBorders>
                  <w:shd w:val="clear" w:color="auto" w:fill="auto"/>
                  <w:vAlign w:val="center"/>
                </w:tcPr>
                <w:p w14:paraId="005ABCDF">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lang w:val="en-US" w:eastAsia="zh-CN"/>
                    </w:rPr>
                    <w:t>有组织</w:t>
                  </w:r>
                  <w:r>
                    <w:rPr>
                      <w:rFonts w:ascii="Times New Roman" w:hAnsi="Times New Roman" w:cs="Times New Roman"/>
                      <w:color w:val="auto"/>
                      <w:kern w:val="0"/>
                      <w:szCs w:val="21"/>
                    </w:rPr>
                    <w:t>非甲烷总烃</w:t>
                  </w:r>
                </w:p>
              </w:tc>
              <w:tc>
                <w:tcPr>
                  <w:tcW w:w="1015" w:type="pct"/>
                  <w:tcBorders>
                    <w:tl2br w:val="nil"/>
                    <w:tr2bl w:val="nil"/>
                  </w:tcBorders>
                  <w:shd w:val="clear" w:color="auto" w:fill="auto"/>
                  <w:vAlign w:val="center"/>
                </w:tcPr>
                <w:p w14:paraId="0B09C88C">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0.4</w:t>
                  </w:r>
                  <w:r>
                    <w:rPr>
                      <w:rFonts w:hint="eastAsia" w:ascii="Times New Roman" w:hAnsi="Times New Roman" w:cs="Times New Roman"/>
                      <w:color w:val="auto"/>
                      <w:kern w:val="0"/>
                      <w:szCs w:val="21"/>
                      <w:lang w:val="en-US" w:eastAsia="zh-CN"/>
                    </w:rPr>
                    <w:t>39</w:t>
                  </w:r>
                </w:p>
              </w:tc>
            </w:tr>
            <w:tr w14:paraId="59A1658A">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15F9B02C">
                  <w:pPr>
                    <w:spacing w:line="276" w:lineRule="auto"/>
                    <w:jc w:val="center"/>
                    <w:rPr>
                      <w:rFonts w:ascii="Times New Roman" w:hAnsi="Times New Roman" w:cs="Times New Roman"/>
                      <w:color w:val="auto"/>
                      <w:szCs w:val="21"/>
                    </w:rPr>
                  </w:pPr>
                </w:p>
              </w:tc>
              <w:tc>
                <w:tcPr>
                  <w:tcW w:w="1993" w:type="pct"/>
                  <w:vMerge w:val="restart"/>
                  <w:tcBorders>
                    <w:tl2br w:val="nil"/>
                    <w:tr2bl w:val="nil"/>
                  </w:tcBorders>
                  <w:shd w:val="clear" w:color="auto" w:fill="auto"/>
                  <w:vAlign w:val="center"/>
                </w:tcPr>
                <w:p w14:paraId="29E9C971">
                  <w:pPr>
                    <w:spacing w:line="276" w:lineRule="auto"/>
                    <w:jc w:val="center"/>
                    <w:rPr>
                      <w:rFonts w:hint="default" w:ascii="Times New Roman" w:hAnsi="Times New Roman" w:cs="Times New Roman"/>
                      <w:color w:val="auto"/>
                      <w:kern w:val="0"/>
                      <w:szCs w:val="21"/>
                      <w:lang w:val="en-US"/>
                    </w:rPr>
                  </w:pPr>
                  <w:r>
                    <w:rPr>
                      <w:rFonts w:ascii="Times New Roman" w:hAnsi="Times New Roman" w:cs="Times New Roman"/>
                      <w:color w:val="auto"/>
                      <w:kern w:val="0"/>
                      <w:szCs w:val="21"/>
                    </w:rPr>
                    <w:t>烘干0.6</w:t>
                  </w:r>
                  <w:r>
                    <w:rPr>
                      <w:rFonts w:hint="eastAsia" w:ascii="Times New Roman" w:hAnsi="Times New Roman" w:cs="Times New Roman"/>
                      <w:color w:val="auto"/>
                      <w:kern w:val="0"/>
                      <w:szCs w:val="21"/>
                      <w:lang w:val="en-US" w:eastAsia="zh-CN"/>
                    </w:rPr>
                    <w:t>705</w:t>
                  </w:r>
                </w:p>
              </w:tc>
              <w:tc>
                <w:tcPr>
                  <w:tcW w:w="996" w:type="pct"/>
                  <w:tcBorders>
                    <w:tl2br w:val="nil"/>
                    <w:tr2bl w:val="nil"/>
                  </w:tcBorders>
                  <w:shd w:val="clear" w:color="auto" w:fill="auto"/>
                  <w:vAlign w:val="center"/>
                </w:tcPr>
                <w:p w14:paraId="77626933">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有组织非甲烷总烃</w:t>
                  </w:r>
                </w:p>
              </w:tc>
              <w:tc>
                <w:tcPr>
                  <w:tcW w:w="1015" w:type="pct"/>
                  <w:tcBorders>
                    <w:tl2br w:val="nil"/>
                    <w:tr2bl w:val="nil"/>
                  </w:tcBorders>
                  <w:shd w:val="clear" w:color="auto" w:fill="auto"/>
                  <w:vAlign w:val="center"/>
                </w:tcPr>
                <w:p w14:paraId="368F6B16">
                  <w:pPr>
                    <w:spacing w:line="276" w:lineRule="auto"/>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0.06705</w:t>
                  </w:r>
                </w:p>
              </w:tc>
            </w:tr>
            <w:tr w14:paraId="579F9872">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vMerge w:val="continue"/>
                  <w:tcBorders>
                    <w:tl2br w:val="nil"/>
                    <w:tr2bl w:val="nil"/>
                  </w:tcBorders>
                  <w:shd w:val="clear" w:color="auto" w:fill="auto"/>
                  <w:vAlign w:val="center"/>
                </w:tcPr>
                <w:p w14:paraId="6D7A7C25">
                  <w:pPr>
                    <w:spacing w:line="276" w:lineRule="auto"/>
                    <w:jc w:val="center"/>
                    <w:rPr>
                      <w:rFonts w:ascii="Times New Roman" w:hAnsi="Times New Roman" w:cs="Times New Roman"/>
                      <w:color w:val="auto"/>
                      <w:szCs w:val="21"/>
                    </w:rPr>
                  </w:pPr>
                </w:p>
              </w:tc>
              <w:tc>
                <w:tcPr>
                  <w:tcW w:w="1993" w:type="pct"/>
                  <w:vMerge w:val="continue"/>
                  <w:tcBorders>
                    <w:tl2br w:val="nil"/>
                    <w:tr2bl w:val="nil"/>
                  </w:tcBorders>
                  <w:shd w:val="clear" w:color="auto" w:fill="auto"/>
                  <w:vAlign w:val="center"/>
                </w:tcPr>
                <w:p w14:paraId="1647088D">
                  <w:pPr>
                    <w:spacing w:line="276" w:lineRule="auto"/>
                    <w:jc w:val="center"/>
                    <w:rPr>
                      <w:rFonts w:ascii="Times New Roman" w:hAnsi="Times New Roman" w:cs="Times New Roman"/>
                      <w:color w:val="auto"/>
                      <w:kern w:val="0"/>
                      <w:szCs w:val="21"/>
                    </w:rPr>
                  </w:pPr>
                </w:p>
              </w:tc>
              <w:tc>
                <w:tcPr>
                  <w:tcW w:w="996" w:type="pct"/>
                  <w:tcBorders>
                    <w:tl2br w:val="nil"/>
                    <w:tr2bl w:val="nil"/>
                  </w:tcBorders>
                  <w:shd w:val="clear" w:color="auto" w:fill="auto"/>
                  <w:vAlign w:val="center"/>
                </w:tcPr>
                <w:p w14:paraId="1F06D2FB">
                  <w:pPr>
                    <w:spacing w:line="276" w:lineRule="auto"/>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进入活性炭吸附装置</w:t>
                  </w:r>
                </w:p>
              </w:tc>
              <w:tc>
                <w:tcPr>
                  <w:tcW w:w="1015" w:type="pct"/>
                  <w:tcBorders>
                    <w:tl2br w:val="nil"/>
                    <w:tr2bl w:val="nil"/>
                  </w:tcBorders>
                  <w:shd w:val="clear" w:color="auto" w:fill="auto"/>
                  <w:vAlign w:val="center"/>
                </w:tcPr>
                <w:p w14:paraId="69371AA6">
                  <w:pPr>
                    <w:spacing w:line="276" w:lineRule="auto"/>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0.60345</w:t>
                  </w:r>
                </w:p>
              </w:tc>
            </w:tr>
            <w:tr w14:paraId="26110638">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4" w:type="pct"/>
                  <w:tcBorders>
                    <w:tl2br w:val="nil"/>
                    <w:tr2bl w:val="nil"/>
                  </w:tcBorders>
                  <w:shd w:val="clear" w:color="auto" w:fill="auto"/>
                  <w:vAlign w:val="center"/>
                </w:tcPr>
                <w:p w14:paraId="176F41D2">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水分</w:t>
                  </w:r>
                  <w:r>
                    <w:rPr>
                      <w:rFonts w:hint="eastAsia" w:ascii="Times New Roman" w:hAnsi="Times New Roman" w:cs="Times New Roman"/>
                      <w:color w:val="auto"/>
                      <w:kern w:val="0"/>
                      <w:szCs w:val="21"/>
                      <w:lang w:val="en-US" w:eastAsia="zh-CN"/>
                    </w:rPr>
                    <w:t>7.225</w:t>
                  </w:r>
                </w:p>
              </w:tc>
              <w:tc>
                <w:tcPr>
                  <w:tcW w:w="4005" w:type="pct"/>
                  <w:gridSpan w:val="3"/>
                  <w:tcBorders>
                    <w:tl2br w:val="nil"/>
                    <w:tr2bl w:val="nil"/>
                  </w:tcBorders>
                  <w:shd w:val="clear" w:color="auto" w:fill="auto"/>
                  <w:vAlign w:val="center"/>
                </w:tcPr>
                <w:p w14:paraId="6C8740F9">
                  <w:pPr>
                    <w:spacing w:line="276" w:lineRule="auto"/>
                    <w:jc w:val="center"/>
                    <w:rPr>
                      <w:rFonts w:hint="default" w:ascii="Times New Roman" w:hAnsi="Times New Roman" w:cs="Times New Roman"/>
                      <w:color w:val="auto"/>
                      <w:kern w:val="0"/>
                      <w:szCs w:val="21"/>
                      <w:lang w:val="en-US"/>
                    </w:rPr>
                  </w:pPr>
                  <w:r>
                    <w:rPr>
                      <w:rFonts w:hint="eastAsia" w:ascii="Times New Roman" w:hAnsi="Times New Roman" w:cs="Times New Roman"/>
                      <w:color w:val="auto"/>
                      <w:kern w:val="0"/>
                      <w:szCs w:val="21"/>
                      <w:lang w:val="en-US" w:eastAsia="zh-CN"/>
                    </w:rPr>
                    <w:t>烘干7.225</w:t>
                  </w:r>
                </w:p>
              </w:tc>
            </w:tr>
          </w:tbl>
          <w:p w14:paraId="50F509B1">
            <w:pPr>
              <w:spacing w:line="358" w:lineRule="auto"/>
              <w:jc w:val="center"/>
              <w:rPr>
                <w:rFonts w:hint="eastAsia" w:ascii="Times New Roman" w:hAnsi="Times New Roman" w:eastAsia="黑体" w:cs="Times New Roman"/>
                <w:bCs/>
                <w:sz w:val="24"/>
                <w:szCs w:val="24"/>
              </w:rPr>
            </w:pPr>
          </w:p>
          <w:p w14:paraId="23B5232C">
            <w:pPr>
              <w:spacing w:line="358" w:lineRule="auto"/>
              <w:jc w:val="center"/>
              <w:rPr>
                <w:rFonts w:hint="eastAsia" w:ascii="Times New Roman" w:hAnsi="Times New Roman" w:eastAsia="黑体" w:cs="Times New Roman"/>
                <w:bCs/>
                <w:sz w:val="24"/>
                <w:szCs w:val="24"/>
              </w:rPr>
            </w:pPr>
          </w:p>
          <w:p w14:paraId="1AA19C66">
            <w:pPr>
              <w:spacing w:line="358" w:lineRule="auto"/>
              <w:jc w:val="center"/>
              <w:rPr>
                <w:rFonts w:hint="eastAsia" w:ascii="Times New Roman" w:hAnsi="Times New Roman" w:eastAsia="黑体" w:cs="Times New Roman"/>
                <w:bCs/>
                <w:sz w:val="24"/>
                <w:szCs w:val="24"/>
              </w:rPr>
            </w:pPr>
          </w:p>
          <w:p w14:paraId="34540D46">
            <w:pPr>
              <w:spacing w:line="358" w:lineRule="auto"/>
              <w:jc w:val="center"/>
              <w:rPr>
                <w:rFonts w:hint="eastAsia" w:ascii="Times New Roman" w:hAnsi="Times New Roman" w:eastAsia="黑体" w:cs="Times New Roman"/>
                <w:bCs/>
                <w:sz w:val="24"/>
                <w:szCs w:val="24"/>
              </w:rPr>
            </w:pPr>
          </w:p>
          <w:p w14:paraId="758EED80">
            <w:pPr>
              <w:spacing w:line="358" w:lineRule="auto"/>
              <w:jc w:val="center"/>
              <w:rPr>
                <w:rFonts w:hint="eastAsia" w:ascii="Times New Roman" w:hAnsi="Times New Roman" w:eastAsia="黑体" w:cs="Times New Roman"/>
                <w:bCs/>
                <w:sz w:val="24"/>
                <w:szCs w:val="24"/>
              </w:rPr>
            </w:pPr>
          </w:p>
          <w:p w14:paraId="48F92798">
            <w:pPr>
              <w:spacing w:line="358" w:lineRule="auto"/>
              <w:jc w:val="center"/>
              <w:rPr>
                <w:rFonts w:hint="eastAsia" w:ascii="Times New Roman" w:hAnsi="Times New Roman" w:eastAsia="黑体" w:cs="Times New Roman"/>
                <w:bCs/>
                <w:sz w:val="24"/>
                <w:szCs w:val="24"/>
              </w:rPr>
            </w:pPr>
          </w:p>
          <w:p w14:paraId="6ED36B8D">
            <w:pPr>
              <w:spacing w:line="358" w:lineRule="auto"/>
              <w:jc w:val="center"/>
              <w:rPr>
                <w:rFonts w:ascii="Times New Roman" w:hAnsi="Times New Roman" w:eastAsia="黑体" w:cs="Times New Roman"/>
                <w:bCs/>
                <w:sz w:val="24"/>
                <w:szCs w:val="24"/>
              </w:rPr>
            </w:pPr>
            <w:r>
              <w:rPr>
                <w:rFonts w:hint="eastAsia" w:ascii="Times New Roman" w:hAnsi="Times New Roman" w:eastAsia="黑体" w:cs="Times New Roman"/>
                <w:bCs/>
                <w:sz w:val="24"/>
                <w:szCs w:val="24"/>
              </w:rPr>
              <w:t>表2-1</w:t>
            </w:r>
            <w:r>
              <w:rPr>
                <w:rFonts w:hint="eastAsia" w:ascii="Times New Roman" w:hAnsi="Times New Roman" w:eastAsia="黑体" w:cs="Times New Roman"/>
                <w:bCs/>
                <w:sz w:val="24"/>
                <w:szCs w:val="24"/>
                <w:lang w:val="en-US" w:eastAsia="zh-CN"/>
              </w:rPr>
              <w:t>2</w:t>
            </w:r>
            <w:r>
              <w:rPr>
                <w:rFonts w:hint="eastAsia" w:ascii="Times New Roman" w:hAnsi="Times New Roman" w:eastAsia="黑体" w:cs="Times New Roman"/>
                <w:bCs/>
                <w:sz w:val="24"/>
                <w:szCs w:val="24"/>
              </w:rPr>
              <w:t xml:space="preserve">  项目面漆漆料平衡一览表 单位：t/a</w:t>
            </w:r>
          </w:p>
          <w:tbl>
            <w:tblPr>
              <w:tblStyle w:val="18"/>
              <w:tblW w:w="5000" w:type="pct"/>
              <w:tblInd w:w="5"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2780"/>
              <w:gridCol w:w="5575"/>
              <w:gridCol w:w="2789"/>
              <w:gridCol w:w="2814"/>
            </w:tblGrid>
            <w:tr w14:paraId="3CA206DA">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5000" w:type="pct"/>
                  <w:gridSpan w:val="4"/>
                  <w:tcBorders>
                    <w:tl2br w:val="nil"/>
                    <w:tr2bl w:val="nil"/>
                  </w:tcBorders>
                  <w:shd w:val="clear" w:color="auto" w:fill="auto"/>
                  <w:vAlign w:val="center"/>
                </w:tcPr>
                <w:p w14:paraId="0AC72976">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水性面漆25.</w:t>
                  </w:r>
                  <w:r>
                    <w:rPr>
                      <w:rFonts w:hint="eastAsia" w:ascii="Times New Roman" w:hAnsi="Times New Roman" w:cs="Times New Roman"/>
                      <w:color w:val="auto"/>
                      <w:kern w:val="0"/>
                      <w:szCs w:val="21"/>
                      <w:lang w:val="en-US" w:eastAsia="zh-CN"/>
                    </w:rPr>
                    <w:t>364</w:t>
                  </w:r>
                </w:p>
              </w:tc>
            </w:tr>
            <w:tr w14:paraId="4FC5F4EF">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restart"/>
                  <w:tcBorders>
                    <w:tl2br w:val="nil"/>
                    <w:tr2bl w:val="nil"/>
                  </w:tcBorders>
                  <w:shd w:val="clear" w:color="auto" w:fill="auto"/>
                  <w:vAlign w:val="center"/>
                </w:tcPr>
                <w:p w14:paraId="64DE459D">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固体份</w:t>
                  </w:r>
                  <w:r>
                    <w:rPr>
                      <w:rFonts w:ascii="Times New Roman" w:hAnsi="Times New Roman" w:cs="Times New Roman"/>
                      <w:color w:val="auto"/>
                      <w:kern w:val="0"/>
                      <w:szCs w:val="21"/>
                    </w:rPr>
                    <w:t>1</w:t>
                  </w:r>
                  <w:r>
                    <w:rPr>
                      <w:rFonts w:hint="eastAsia" w:ascii="Times New Roman" w:hAnsi="Times New Roman" w:cs="Times New Roman"/>
                      <w:color w:val="auto"/>
                      <w:kern w:val="0"/>
                      <w:szCs w:val="21"/>
                      <w:lang w:val="en-US" w:eastAsia="zh-CN"/>
                    </w:rPr>
                    <w:t>6.740</w:t>
                  </w:r>
                </w:p>
              </w:tc>
              <w:tc>
                <w:tcPr>
                  <w:tcW w:w="4003" w:type="pct"/>
                  <w:gridSpan w:val="3"/>
                  <w:tcBorders>
                    <w:tl2br w:val="nil"/>
                    <w:tr2bl w:val="nil"/>
                  </w:tcBorders>
                  <w:shd w:val="clear" w:color="auto" w:fill="auto"/>
                  <w:vAlign w:val="center"/>
                </w:tcPr>
                <w:p w14:paraId="1220784D">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漆渣</w:t>
                  </w:r>
                  <w:r>
                    <w:rPr>
                      <w:rFonts w:ascii="Times New Roman" w:hAnsi="Times New Roman" w:cs="Times New Roman"/>
                      <w:color w:val="auto"/>
                      <w:kern w:val="0"/>
                      <w:szCs w:val="21"/>
                    </w:rPr>
                    <w:t>0.8</w:t>
                  </w:r>
                  <w:r>
                    <w:rPr>
                      <w:rFonts w:hint="eastAsia" w:ascii="Times New Roman" w:hAnsi="Times New Roman" w:cs="Times New Roman"/>
                      <w:color w:val="auto"/>
                      <w:kern w:val="0"/>
                      <w:szCs w:val="21"/>
                      <w:lang w:val="en-US" w:eastAsia="zh-CN"/>
                    </w:rPr>
                    <w:t>37</w:t>
                  </w:r>
                </w:p>
              </w:tc>
            </w:tr>
            <w:tr w14:paraId="2FEF33A8">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7EFFA134">
                  <w:pPr>
                    <w:spacing w:line="276" w:lineRule="auto"/>
                    <w:jc w:val="center"/>
                    <w:rPr>
                      <w:rFonts w:ascii="Times New Roman" w:hAnsi="Times New Roman" w:cs="Times New Roman"/>
                      <w:color w:val="auto"/>
                      <w:kern w:val="0"/>
                      <w:szCs w:val="21"/>
                    </w:rPr>
                  </w:pPr>
                </w:p>
              </w:tc>
              <w:tc>
                <w:tcPr>
                  <w:tcW w:w="1997" w:type="pct"/>
                  <w:vMerge w:val="restart"/>
                  <w:tcBorders>
                    <w:tl2br w:val="nil"/>
                    <w:tr2bl w:val="nil"/>
                  </w:tcBorders>
                  <w:shd w:val="clear" w:color="auto" w:fill="auto"/>
                  <w:vAlign w:val="center"/>
                </w:tcPr>
                <w:p w14:paraId="282398BB">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漆雾</w:t>
                  </w:r>
                  <w:r>
                    <w:rPr>
                      <w:rFonts w:ascii="Times New Roman" w:hAnsi="Times New Roman" w:cs="Times New Roman"/>
                      <w:color w:val="auto"/>
                      <w:kern w:val="0"/>
                      <w:szCs w:val="21"/>
                    </w:rPr>
                    <w:t>4.</w:t>
                  </w:r>
                  <w:r>
                    <w:rPr>
                      <w:rFonts w:hint="eastAsia" w:ascii="Times New Roman" w:hAnsi="Times New Roman" w:cs="Times New Roman"/>
                      <w:color w:val="auto"/>
                      <w:kern w:val="0"/>
                      <w:szCs w:val="21"/>
                      <w:lang w:val="en-US" w:eastAsia="zh-CN"/>
                    </w:rPr>
                    <w:t>185</w:t>
                  </w:r>
                </w:p>
              </w:tc>
              <w:tc>
                <w:tcPr>
                  <w:tcW w:w="999" w:type="pct"/>
                  <w:tcBorders>
                    <w:tl2br w:val="nil"/>
                    <w:tr2bl w:val="nil"/>
                  </w:tcBorders>
                  <w:shd w:val="clear" w:color="auto" w:fill="auto"/>
                  <w:vAlign w:val="center"/>
                </w:tcPr>
                <w:p w14:paraId="3AD4E03B">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rPr>
                    <w:t>吸附的漆雾</w:t>
                  </w:r>
                </w:p>
              </w:tc>
              <w:tc>
                <w:tcPr>
                  <w:tcW w:w="1006" w:type="pct"/>
                  <w:tcBorders>
                    <w:tl2br w:val="nil"/>
                    <w:tr2bl w:val="nil"/>
                  </w:tcBorders>
                  <w:shd w:val="clear" w:color="auto" w:fill="auto"/>
                  <w:vAlign w:val="center"/>
                </w:tcPr>
                <w:p w14:paraId="736546D2">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3.952</w:t>
                  </w:r>
                </w:p>
              </w:tc>
            </w:tr>
            <w:tr w14:paraId="6F3CE78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2C8C0D22">
                  <w:pPr>
                    <w:spacing w:line="276" w:lineRule="auto"/>
                    <w:jc w:val="center"/>
                    <w:rPr>
                      <w:rFonts w:ascii="Times New Roman" w:hAnsi="Times New Roman" w:cs="Times New Roman"/>
                      <w:color w:val="auto"/>
                      <w:kern w:val="0"/>
                      <w:szCs w:val="21"/>
                    </w:rPr>
                  </w:pPr>
                </w:p>
              </w:tc>
              <w:tc>
                <w:tcPr>
                  <w:tcW w:w="1997" w:type="pct"/>
                  <w:vMerge w:val="continue"/>
                  <w:tcBorders>
                    <w:tl2br w:val="nil"/>
                    <w:tr2bl w:val="nil"/>
                  </w:tcBorders>
                  <w:shd w:val="clear" w:color="auto" w:fill="auto"/>
                  <w:vAlign w:val="center"/>
                </w:tcPr>
                <w:p w14:paraId="49EDA904">
                  <w:pPr>
                    <w:spacing w:line="276" w:lineRule="auto"/>
                    <w:jc w:val="center"/>
                    <w:rPr>
                      <w:rFonts w:ascii="Times New Roman" w:hAnsi="Times New Roman" w:cs="Times New Roman"/>
                      <w:color w:val="auto"/>
                      <w:kern w:val="0"/>
                      <w:szCs w:val="21"/>
                    </w:rPr>
                  </w:pPr>
                </w:p>
              </w:tc>
              <w:tc>
                <w:tcPr>
                  <w:tcW w:w="999" w:type="pct"/>
                  <w:tcBorders>
                    <w:tl2br w:val="nil"/>
                    <w:tr2bl w:val="nil"/>
                  </w:tcBorders>
                  <w:shd w:val="clear" w:color="auto" w:fill="auto"/>
                  <w:vAlign w:val="center"/>
                </w:tcPr>
                <w:p w14:paraId="31A07EE9">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rPr>
                    <w:t>有组织排放</w:t>
                  </w:r>
                </w:p>
              </w:tc>
              <w:tc>
                <w:tcPr>
                  <w:tcW w:w="1006" w:type="pct"/>
                  <w:tcBorders>
                    <w:tl2br w:val="nil"/>
                    <w:tr2bl w:val="nil"/>
                  </w:tcBorders>
                  <w:shd w:val="clear" w:color="auto" w:fill="auto"/>
                  <w:vAlign w:val="center"/>
                </w:tcPr>
                <w:p w14:paraId="0A7ECA7D">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0.02</w:t>
                  </w:r>
                  <w:r>
                    <w:rPr>
                      <w:rFonts w:hint="eastAsia" w:ascii="Times New Roman" w:hAnsi="Times New Roman" w:cs="Times New Roman"/>
                      <w:color w:val="auto"/>
                      <w:kern w:val="0"/>
                      <w:szCs w:val="21"/>
                      <w:lang w:val="en-US" w:eastAsia="zh-CN"/>
                    </w:rPr>
                    <w:t>39</w:t>
                  </w:r>
                </w:p>
              </w:tc>
            </w:tr>
            <w:tr w14:paraId="2ADA7E9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59E97498">
                  <w:pPr>
                    <w:spacing w:line="276" w:lineRule="auto"/>
                    <w:jc w:val="center"/>
                    <w:rPr>
                      <w:rFonts w:ascii="Times New Roman" w:hAnsi="Times New Roman" w:cs="Times New Roman"/>
                      <w:color w:val="auto"/>
                      <w:kern w:val="0"/>
                      <w:szCs w:val="21"/>
                    </w:rPr>
                  </w:pPr>
                </w:p>
              </w:tc>
              <w:tc>
                <w:tcPr>
                  <w:tcW w:w="1997" w:type="pct"/>
                  <w:vMerge w:val="continue"/>
                  <w:tcBorders>
                    <w:tl2br w:val="nil"/>
                    <w:tr2bl w:val="nil"/>
                  </w:tcBorders>
                  <w:shd w:val="clear" w:color="auto" w:fill="auto"/>
                  <w:vAlign w:val="center"/>
                </w:tcPr>
                <w:p w14:paraId="47DD89B9">
                  <w:pPr>
                    <w:spacing w:line="276" w:lineRule="auto"/>
                    <w:jc w:val="center"/>
                    <w:rPr>
                      <w:rFonts w:ascii="Times New Roman" w:hAnsi="Times New Roman" w:cs="Times New Roman"/>
                      <w:color w:val="auto"/>
                      <w:kern w:val="0"/>
                      <w:szCs w:val="21"/>
                    </w:rPr>
                  </w:pPr>
                </w:p>
              </w:tc>
              <w:tc>
                <w:tcPr>
                  <w:tcW w:w="999" w:type="pct"/>
                  <w:tcBorders>
                    <w:tl2br w:val="nil"/>
                    <w:tr2bl w:val="nil"/>
                  </w:tcBorders>
                  <w:shd w:val="clear" w:color="auto" w:fill="auto"/>
                  <w:vAlign w:val="center"/>
                </w:tcPr>
                <w:p w14:paraId="6213E325">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rPr>
                    <w:t>无组织排放</w:t>
                  </w:r>
                </w:p>
              </w:tc>
              <w:tc>
                <w:tcPr>
                  <w:tcW w:w="1006" w:type="pct"/>
                  <w:tcBorders>
                    <w:tl2br w:val="nil"/>
                    <w:tr2bl w:val="nil"/>
                  </w:tcBorders>
                  <w:shd w:val="clear" w:color="auto" w:fill="auto"/>
                  <w:vAlign w:val="center"/>
                </w:tcPr>
                <w:p w14:paraId="1B41D606">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0.2</w:t>
                  </w:r>
                  <w:r>
                    <w:rPr>
                      <w:rFonts w:hint="eastAsia" w:ascii="Times New Roman" w:hAnsi="Times New Roman" w:cs="Times New Roman"/>
                      <w:color w:val="auto"/>
                      <w:kern w:val="0"/>
                      <w:szCs w:val="21"/>
                      <w:lang w:val="en-US" w:eastAsia="zh-CN"/>
                    </w:rPr>
                    <w:t>09</w:t>
                  </w:r>
                </w:p>
              </w:tc>
            </w:tr>
            <w:tr w14:paraId="1018C54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493EEF86">
                  <w:pPr>
                    <w:spacing w:line="276" w:lineRule="auto"/>
                    <w:jc w:val="center"/>
                    <w:rPr>
                      <w:rFonts w:ascii="Times New Roman" w:hAnsi="Times New Roman" w:cs="Times New Roman"/>
                      <w:color w:val="auto"/>
                      <w:kern w:val="0"/>
                      <w:szCs w:val="21"/>
                    </w:rPr>
                  </w:pPr>
                </w:p>
              </w:tc>
              <w:tc>
                <w:tcPr>
                  <w:tcW w:w="4003" w:type="pct"/>
                  <w:gridSpan w:val="3"/>
                  <w:tcBorders>
                    <w:tl2br w:val="nil"/>
                    <w:tr2bl w:val="nil"/>
                  </w:tcBorders>
                  <w:shd w:val="clear" w:color="auto" w:fill="auto"/>
                  <w:vAlign w:val="center"/>
                </w:tcPr>
                <w:p w14:paraId="5DD1FFF4">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工作附着</w:t>
                  </w:r>
                  <w:r>
                    <w:rPr>
                      <w:rFonts w:ascii="Times New Roman" w:hAnsi="Times New Roman" w:cs="Times New Roman"/>
                      <w:color w:val="auto"/>
                      <w:kern w:val="0"/>
                      <w:szCs w:val="21"/>
                    </w:rPr>
                    <w:t>11.</w:t>
                  </w:r>
                  <w:r>
                    <w:rPr>
                      <w:rFonts w:hint="eastAsia" w:ascii="Times New Roman" w:hAnsi="Times New Roman" w:cs="Times New Roman"/>
                      <w:color w:val="auto"/>
                      <w:kern w:val="0"/>
                      <w:szCs w:val="21"/>
                      <w:lang w:val="en-US" w:eastAsia="zh-CN"/>
                    </w:rPr>
                    <w:t>718</w:t>
                  </w:r>
                </w:p>
              </w:tc>
            </w:tr>
            <w:tr w14:paraId="06FECA95">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restart"/>
                  <w:tcBorders>
                    <w:tl2br w:val="nil"/>
                    <w:tr2bl w:val="nil"/>
                  </w:tcBorders>
                  <w:shd w:val="clear" w:color="auto" w:fill="auto"/>
                  <w:vAlign w:val="center"/>
                </w:tcPr>
                <w:p w14:paraId="72EA0EB4">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挥发份</w:t>
                  </w:r>
                  <w:r>
                    <w:rPr>
                      <w:rFonts w:ascii="Times New Roman" w:hAnsi="Times New Roman" w:cs="Times New Roman"/>
                      <w:color w:val="auto"/>
                      <w:kern w:val="0"/>
                      <w:szCs w:val="21"/>
                    </w:rPr>
                    <w:t>1.0</w:t>
                  </w:r>
                  <w:r>
                    <w:rPr>
                      <w:rFonts w:hint="eastAsia" w:ascii="Times New Roman" w:hAnsi="Times New Roman" w:cs="Times New Roman"/>
                      <w:color w:val="auto"/>
                      <w:kern w:val="0"/>
                      <w:szCs w:val="21"/>
                      <w:lang w:val="en-US" w:eastAsia="zh-CN"/>
                    </w:rPr>
                    <w:t>15</w:t>
                  </w:r>
                </w:p>
              </w:tc>
              <w:tc>
                <w:tcPr>
                  <w:tcW w:w="1997" w:type="pct"/>
                  <w:vMerge w:val="restart"/>
                  <w:tcBorders>
                    <w:tl2br w:val="nil"/>
                    <w:tr2bl w:val="nil"/>
                  </w:tcBorders>
                  <w:shd w:val="clear" w:color="auto" w:fill="auto"/>
                  <w:vAlign w:val="center"/>
                </w:tcPr>
                <w:p w14:paraId="40E29B59">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调漆</w:t>
                  </w:r>
                  <w:r>
                    <w:rPr>
                      <w:rFonts w:ascii="Times New Roman" w:hAnsi="Times New Roman" w:cs="Times New Roman"/>
                      <w:color w:val="auto"/>
                      <w:kern w:val="0"/>
                      <w:szCs w:val="21"/>
                    </w:rPr>
                    <w:t>0.02</w:t>
                  </w:r>
                  <w:r>
                    <w:rPr>
                      <w:rFonts w:hint="eastAsia" w:ascii="Times New Roman" w:hAnsi="Times New Roman" w:cs="Times New Roman"/>
                      <w:color w:val="auto"/>
                      <w:kern w:val="0"/>
                      <w:szCs w:val="21"/>
                      <w:lang w:val="en-US" w:eastAsia="zh-CN"/>
                    </w:rPr>
                    <w:t>03</w:t>
                  </w:r>
                </w:p>
              </w:tc>
              <w:tc>
                <w:tcPr>
                  <w:tcW w:w="999" w:type="pct"/>
                  <w:tcBorders>
                    <w:tl2br w:val="nil"/>
                    <w:tr2bl w:val="nil"/>
                  </w:tcBorders>
                  <w:shd w:val="clear" w:color="auto" w:fill="auto"/>
                  <w:vAlign w:val="center"/>
                </w:tcPr>
                <w:p w14:paraId="0560839B">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rPr>
                    <w:t>无组织非甲烷总烃</w:t>
                  </w:r>
                </w:p>
              </w:tc>
              <w:tc>
                <w:tcPr>
                  <w:tcW w:w="1006" w:type="pct"/>
                  <w:tcBorders>
                    <w:tl2br w:val="nil"/>
                    <w:tr2bl w:val="nil"/>
                  </w:tcBorders>
                  <w:shd w:val="clear" w:color="auto" w:fill="auto"/>
                  <w:vAlign w:val="center"/>
                </w:tcPr>
                <w:p w14:paraId="4B3E9394">
                  <w:pPr>
                    <w:spacing w:line="276" w:lineRule="auto"/>
                    <w:jc w:val="center"/>
                    <w:rPr>
                      <w:rFonts w:hint="eastAsia" w:ascii="Times New Roman" w:hAnsi="Times New Roman" w:cs="Times New Roman" w:eastAsiaTheme="minorEastAsia"/>
                      <w:color w:val="auto"/>
                      <w:kern w:val="0"/>
                      <w:szCs w:val="21"/>
                      <w:lang w:eastAsia="zh-CN"/>
                    </w:rPr>
                  </w:pPr>
                  <w:r>
                    <w:rPr>
                      <w:rFonts w:ascii="Times New Roman" w:hAnsi="Times New Roman" w:cs="Times New Roman"/>
                      <w:color w:val="auto"/>
                      <w:kern w:val="0"/>
                      <w:szCs w:val="21"/>
                    </w:rPr>
                    <w:t>0.0010</w:t>
                  </w:r>
                  <w:r>
                    <w:rPr>
                      <w:rFonts w:hint="eastAsia" w:ascii="Times New Roman" w:hAnsi="Times New Roman" w:cs="Times New Roman"/>
                      <w:color w:val="auto"/>
                      <w:kern w:val="0"/>
                      <w:szCs w:val="21"/>
                      <w:lang w:val="en-US" w:eastAsia="zh-CN"/>
                    </w:rPr>
                    <w:t>2</w:t>
                  </w:r>
                </w:p>
              </w:tc>
            </w:tr>
            <w:tr w14:paraId="29E3B3EB">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7F2B7662">
                  <w:pPr>
                    <w:spacing w:line="276" w:lineRule="auto"/>
                    <w:jc w:val="center"/>
                    <w:rPr>
                      <w:rFonts w:ascii="Times New Roman" w:hAnsi="Times New Roman" w:cs="Times New Roman"/>
                      <w:color w:val="auto"/>
                      <w:kern w:val="0"/>
                      <w:szCs w:val="21"/>
                    </w:rPr>
                  </w:pPr>
                </w:p>
              </w:tc>
              <w:tc>
                <w:tcPr>
                  <w:tcW w:w="1997" w:type="pct"/>
                  <w:vMerge w:val="continue"/>
                  <w:tcBorders>
                    <w:tl2br w:val="nil"/>
                    <w:tr2bl w:val="nil"/>
                  </w:tcBorders>
                  <w:shd w:val="clear" w:color="auto" w:fill="auto"/>
                  <w:vAlign w:val="center"/>
                </w:tcPr>
                <w:p w14:paraId="718C7869">
                  <w:pPr>
                    <w:spacing w:line="276" w:lineRule="auto"/>
                    <w:jc w:val="center"/>
                    <w:rPr>
                      <w:rFonts w:ascii="Times New Roman" w:hAnsi="Times New Roman" w:cs="Times New Roman"/>
                      <w:color w:val="auto"/>
                      <w:kern w:val="0"/>
                      <w:szCs w:val="21"/>
                    </w:rPr>
                  </w:pPr>
                </w:p>
              </w:tc>
              <w:tc>
                <w:tcPr>
                  <w:tcW w:w="999" w:type="pct"/>
                  <w:tcBorders>
                    <w:tl2br w:val="nil"/>
                    <w:tr2bl w:val="nil"/>
                  </w:tcBorders>
                  <w:shd w:val="clear" w:color="auto" w:fill="auto"/>
                  <w:vAlign w:val="center"/>
                </w:tcPr>
                <w:p w14:paraId="753BB34C">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lang w:val="en-US" w:eastAsia="zh-CN"/>
                    </w:rPr>
                    <w:t>有组织</w:t>
                  </w:r>
                  <w:r>
                    <w:rPr>
                      <w:rFonts w:hint="eastAsia" w:ascii="Times New Roman" w:hAnsi="Times New Roman" w:cs="Times New Roman"/>
                      <w:color w:val="auto"/>
                      <w:kern w:val="0"/>
                      <w:szCs w:val="21"/>
                    </w:rPr>
                    <w:t>非甲烷总烃</w:t>
                  </w:r>
                </w:p>
              </w:tc>
              <w:tc>
                <w:tcPr>
                  <w:tcW w:w="1006" w:type="pct"/>
                  <w:tcBorders>
                    <w:tl2br w:val="nil"/>
                    <w:tr2bl w:val="nil"/>
                  </w:tcBorders>
                  <w:shd w:val="clear" w:color="auto" w:fill="auto"/>
                  <w:vAlign w:val="center"/>
                </w:tcPr>
                <w:p w14:paraId="6D82D872">
                  <w:pPr>
                    <w:spacing w:line="276" w:lineRule="auto"/>
                    <w:jc w:val="center"/>
                    <w:rPr>
                      <w:rFonts w:hint="eastAsia" w:ascii="Times New Roman" w:hAnsi="Times New Roman" w:cs="Times New Roman" w:eastAsiaTheme="minorEastAsia"/>
                      <w:color w:val="auto"/>
                      <w:kern w:val="0"/>
                      <w:szCs w:val="21"/>
                      <w:lang w:eastAsia="zh-CN"/>
                    </w:rPr>
                  </w:pPr>
                  <w:r>
                    <w:rPr>
                      <w:rFonts w:ascii="Times New Roman" w:hAnsi="Times New Roman" w:cs="Times New Roman"/>
                      <w:color w:val="auto"/>
                      <w:kern w:val="0"/>
                      <w:szCs w:val="21"/>
                    </w:rPr>
                    <w:t>0.019</w:t>
                  </w:r>
                  <w:r>
                    <w:rPr>
                      <w:rFonts w:hint="eastAsia" w:ascii="Times New Roman" w:hAnsi="Times New Roman" w:cs="Times New Roman"/>
                      <w:color w:val="auto"/>
                      <w:kern w:val="0"/>
                      <w:szCs w:val="21"/>
                      <w:lang w:val="en-US" w:eastAsia="zh-CN"/>
                    </w:rPr>
                    <w:t>3</w:t>
                  </w:r>
                </w:p>
              </w:tc>
            </w:tr>
            <w:tr w14:paraId="796913A9">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253A63A5">
                  <w:pPr>
                    <w:spacing w:line="276" w:lineRule="auto"/>
                    <w:jc w:val="center"/>
                    <w:rPr>
                      <w:rFonts w:ascii="Times New Roman" w:hAnsi="Times New Roman" w:cs="Times New Roman"/>
                      <w:color w:val="auto"/>
                      <w:kern w:val="0"/>
                      <w:szCs w:val="21"/>
                    </w:rPr>
                  </w:pPr>
                </w:p>
              </w:tc>
              <w:tc>
                <w:tcPr>
                  <w:tcW w:w="1997" w:type="pct"/>
                  <w:vMerge w:val="restart"/>
                  <w:tcBorders>
                    <w:tl2br w:val="nil"/>
                    <w:tr2bl w:val="nil"/>
                  </w:tcBorders>
                  <w:shd w:val="clear" w:color="auto" w:fill="auto"/>
                  <w:vAlign w:val="center"/>
                </w:tcPr>
                <w:p w14:paraId="76DB439C">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喷漆</w:t>
                  </w:r>
                  <w:r>
                    <w:rPr>
                      <w:rFonts w:ascii="Times New Roman" w:hAnsi="Times New Roman" w:cs="Times New Roman"/>
                      <w:color w:val="auto"/>
                      <w:kern w:val="0"/>
                      <w:szCs w:val="21"/>
                    </w:rPr>
                    <w:t>0.4</w:t>
                  </w:r>
                  <w:r>
                    <w:rPr>
                      <w:rFonts w:hint="eastAsia" w:ascii="Times New Roman" w:hAnsi="Times New Roman" w:cs="Times New Roman"/>
                      <w:color w:val="auto"/>
                      <w:kern w:val="0"/>
                      <w:szCs w:val="21"/>
                      <w:lang w:val="en-US" w:eastAsia="zh-CN"/>
                    </w:rPr>
                    <w:t>06</w:t>
                  </w:r>
                </w:p>
              </w:tc>
              <w:tc>
                <w:tcPr>
                  <w:tcW w:w="999" w:type="pct"/>
                  <w:tcBorders>
                    <w:tl2br w:val="nil"/>
                    <w:tr2bl w:val="nil"/>
                  </w:tcBorders>
                  <w:shd w:val="clear" w:color="auto" w:fill="auto"/>
                  <w:vAlign w:val="center"/>
                </w:tcPr>
                <w:p w14:paraId="389EB767">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rPr>
                    <w:t>无组织非甲烷总烃</w:t>
                  </w:r>
                </w:p>
              </w:tc>
              <w:tc>
                <w:tcPr>
                  <w:tcW w:w="1006" w:type="pct"/>
                  <w:tcBorders>
                    <w:tl2br w:val="nil"/>
                    <w:tr2bl w:val="nil"/>
                  </w:tcBorders>
                  <w:shd w:val="clear" w:color="auto" w:fill="auto"/>
                  <w:vAlign w:val="center"/>
                </w:tcPr>
                <w:p w14:paraId="60E83825">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0.02</w:t>
                  </w:r>
                  <w:r>
                    <w:rPr>
                      <w:rFonts w:hint="eastAsia" w:ascii="Times New Roman" w:hAnsi="Times New Roman" w:cs="Times New Roman"/>
                      <w:color w:val="auto"/>
                      <w:kern w:val="0"/>
                      <w:szCs w:val="21"/>
                      <w:lang w:val="en-US" w:eastAsia="zh-CN"/>
                    </w:rPr>
                    <w:t>03</w:t>
                  </w:r>
                </w:p>
              </w:tc>
            </w:tr>
            <w:tr w14:paraId="2B8E6F0E">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3FA7EBCD">
                  <w:pPr>
                    <w:spacing w:line="276" w:lineRule="auto"/>
                    <w:jc w:val="center"/>
                    <w:rPr>
                      <w:rFonts w:ascii="Times New Roman" w:hAnsi="Times New Roman" w:cs="Times New Roman"/>
                      <w:color w:val="auto"/>
                      <w:kern w:val="0"/>
                      <w:szCs w:val="21"/>
                    </w:rPr>
                  </w:pPr>
                </w:p>
              </w:tc>
              <w:tc>
                <w:tcPr>
                  <w:tcW w:w="1997" w:type="pct"/>
                  <w:vMerge w:val="continue"/>
                  <w:tcBorders>
                    <w:tl2br w:val="nil"/>
                    <w:tr2bl w:val="nil"/>
                  </w:tcBorders>
                  <w:shd w:val="clear" w:color="auto" w:fill="auto"/>
                  <w:vAlign w:val="center"/>
                </w:tcPr>
                <w:p w14:paraId="04E8795E">
                  <w:pPr>
                    <w:spacing w:line="276" w:lineRule="auto"/>
                    <w:jc w:val="center"/>
                    <w:rPr>
                      <w:rFonts w:ascii="Times New Roman" w:hAnsi="Times New Roman" w:cs="Times New Roman"/>
                      <w:color w:val="auto"/>
                      <w:kern w:val="0"/>
                      <w:szCs w:val="21"/>
                    </w:rPr>
                  </w:pPr>
                </w:p>
              </w:tc>
              <w:tc>
                <w:tcPr>
                  <w:tcW w:w="999" w:type="pct"/>
                  <w:tcBorders>
                    <w:tl2br w:val="nil"/>
                    <w:tr2bl w:val="nil"/>
                  </w:tcBorders>
                  <w:shd w:val="clear" w:color="auto" w:fill="auto"/>
                  <w:vAlign w:val="center"/>
                </w:tcPr>
                <w:p w14:paraId="3D4FF84F">
                  <w:pPr>
                    <w:spacing w:line="276" w:lineRule="auto"/>
                    <w:jc w:val="center"/>
                    <w:rPr>
                      <w:rFonts w:ascii="Times New Roman" w:hAnsi="Times New Roman" w:cs="Times New Roman"/>
                      <w:color w:val="auto"/>
                      <w:kern w:val="0"/>
                      <w:szCs w:val="21"/>
                    </w:rPr>
                  </w:pPr>
                  <w:r>
                    <w:rPr>
                      <w:rFonts w:hint="eastAsia" w:ascii="Times New Roman" w:hAnsi="Times New Roman" w:cs="Times New Roman"/>
                      <w:color w:val="auto"/>
                      <w:kern w:val="0"/>
                      <w:szCs w:val="21"/>
                      <w:lang w:val="en-US" w:eastAsia="zh-CN"/>
                    </w:rPr>
                    <w:t>有组织</w:t>
                  </w:r>
                  <w:r>
                    <w:rPr>
                      <w:rFonts w:hint="eastAsia" w:ascii="Times New Roman" w:hAnsi="Times New Roman" w:cs="Times New Roman"/>
                      <w:color w:val="auto"/>
                      <w:kern w:val="0"/>
                      <w:szCs w:val="21"/>
                    </w:rPr>
                    <w:t>非甲烷总烃</w:t>
                  </w:r>
                </w:p>
              </w:tc>
              <w:tc>
                <w:tcPr>
                  <w:tcW w:w="1006" w:type="pct"/>
                  <w:tcBorders>
                    <w:tl2br w:val="nil"/>
                    <w:tr2bl w:val="nil"/>
                  </w:tcBorders>
                  <w:shd w:val="clear" w:color="auto" w:fill="auto"/>
                  <w:vAlign w:val="center"/>
                </w:tcPr>
                <w:p w14:paraId="6C1F40DE">
                  <w:pPr>
                    <w:spacing w:line="276" w:lineRule="auto"/>
                    <w:jc w:val="center"/>
                    <w:rPr>
                      <w:rFonts w:hint="default" w:ascii="Times New Roman" w:hAnsi="Times New Roman" w:cs="Times New Roman" w:eastAsiaTheme="minorEastAsia"/>
                      <w:color w:val="auto"/>
                      <w:kern w:val="0"/>
                      <w:szCs w:val="21"/>
                      <w:lang w:val="en-US" w:eastAsia="zh-CN"/>
                    </w:rPr>
                  </w:pPr>
                  <w:r>
                    <w:rPr>
                      <w:rFonts w:ascii="Times New Roman" w:hAnsi="Times New Roman" w:cs="Times New Roman"/>
                      <w:color w:val="auto"/>
                      <w:kern w:val="0"/>
                      <w:szCs w:val="21"/>
                    </w:rPr>
                    <w:t>0.3</w:t>
                  </w:r>
                  <w:r>
                    <w:rPr>
                      <w:rFonts w:hint="eastAsia" w:ascii="Times New Roman" w:hAnsi="Times New Roman" w:cs="Times New Roman"/>
                      <w:color w:val="auto"/>
                      <w:kern w:val="0"/>
                      <w:szCs w:val="21"/>
                      <w:lang w:val="en-US" w:eastAsia="zh-CN"/>
                    </w:rPr>
                    <w:t>857</w:t>
                  </w:r>
                </w:p>
              </w:tc>
            </w:tr>
            <w:tr w14:paraId="26E4814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6A10C94C">
                  <w:pPr>
                    <w:spacing w:line="276" w:lineRule="auto"/>
                    <w:jc w:val="center"/>
                    <w:rPr>
                      <w:rFonts w:ascii="Times New Roman" w:hAnsi="Times New Roman" w:cs="Times New Roman"/>
                      <w:color w:val="auto"/>
                      <w:sz w:val="20"/>
                      <w:szCs w:val="20"/>
                    </w:rPr>
                  </w:pPr>
                </w:p>
              </w:tc>
              <w:tc>
                <w:tcPr>
                  <w:tcW w:w="1997" w:type="pct"/>
                  <w:vMerge w:val="restart"/>
                  <w:tcBorders>
                    <w:tl2br w:val="nil"/>
                    <w:tr2bl w:val="nil"/>
                  </w:tcBorders>
                  <w:shd w:val="clear" w:color="auto" w:fill="auto"/>
                  <w:vAlign w:val="center"/>
                </w:tcPr>
                <w:p w14:paraId="20C7D8DE">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rPr>
                    <w:t>烘干</w:t>
                  </w:r>
                  <w:r>
                    <w:rPr>
                      <w:rFonts w:ascii="Times New Roman" w:hAnsi="Times New Roman" w:cs="Times New Roman"/>
                      <w:color w:val="auto"/>
                      <w:kern w:val="0"/>
                      <w:szCs w:val="21"/>
                    </w:rPr>
                    <w:t>0.</w:t>
                  </w:r>
                  <w:r>
                    <w:rPr>
                      <w:rFonts w:hint="eastAsia" w:ascii="Times New Roman" w:hAnsi="Times New Roman" w:cs="Times New Roman"/>
                      <w:color w:val="auto"/>
                      <w:kern w:val="0"/>
                      <w:szCs w:val="21"/>
                      <w:lang w:val="en-US" w:eastAsia="zh-CN"/>
                    </w:rPr>
                    <w:t>5887</w:t>
                  </w:r>
                </w:p>
              </w:tc>
              <w:tc>
                <w:tcPr>
                  <w:tcW w:w="2789" w:type="dxa"/>
                  <w:tcBorders>
                    <w:tl2br w:val="nil"/>
                    <w:tr2bl w:val="nil"/>
                  </w:tcBorders>
                  <w:shd w:val="clear" w:color="auto" w:fill="auto"/>
                  <w:vAlign w:val="center"/>
                </w:tcPr>
                <w:p w14:paraId="7EFD0B1F">
                  <w:pPr>
                    <w:spacing w:line="276" w:lineRule="auto"/>
                    <w:jc w:val="center"/>
                    <w:rPr>
                      <w:rFonts w:hint="eastAsia" w:ascii="Times New Roman" w:hAnsi="Times New Roman" w:cs="Times New Roman"/>
                      <w:color w:val="auto"/>
                      <w:kern w:val="0"/>
                      <w:szCs w:val="21"/>
                    </w:rPr>
                  </w:pPr>
                  <w:r>
                    <w:rPr>
                      <w:rFonts w:hint="eastAsia" w:ascii="Times New Roman" w:hAnsi="Times New Roman" w:cs="Times New Roman"/>
                      <w:color w:val="auto"/>
                      <w:kern w:val="0"/>
                      <w:szCs w:val="21"/>
                      <w:lang w:val="en-US" w:eastAsia="zh-CN"/>
                    </w:rPr>
                    <w:t>有组织非甲烷总烃</w:t>
                  </w:r>
                </w:p>
              </w:tc>
              <w:tc>
                <w:tcPr>
                  <w:tcW w:w="2814" w:type="dxa"/>
                  <w:tcBorders>
                    <w:tl2br w:val="nil"/>
                    <w:tr2bl w:val="nil"/>
                  </w:tcBorders>
                  <w:shd w:val="clear" w:color="auto" w:fill="auto"/>
                  <w:vAlign w:val="center"/>
                </w:tcPr>
                <w:p w14:paraId="7C1C8268">
                  <w:pPr>
                    <w:spacing w:line="276" w:lineRule="auto"/>
                    <w:jc w:val="center"/>
                    <w:rPr>
                      <w:rFonts w:hint="default" w:ascii="Times New Roman" w:hAnsi="Times New Roman" w:cs="Times New Roman"/>
                      <w:color w:val="auto"/>
                      <w:kern w:val="0"/>
                      <w:szCs w:val="21"/>
                      <w:lang w:val="en-US"/>
                    </w:rPr>
                  </w:pPr>
                  <w:r>
                    <w:rPr>
                      <w:rFonts w:hint="eastAsia" w:ascii="Times New Roman" w:hAnsi="Times New Roman" w:cs="Times New Roman"/>
                      <w:color w:val="auto"/>
                      <w:kern w:val="0"/>
                      <w:szCs w:val="21"/>
                      <w:lang w:val="en-US" w:eastAsia="zh-CN"/>
                    </w:rPr>
                    <w:t>0.0657</w:t>
                  </w:r>
                </w:p>
              </w:tc>
            </w:tr>
            <w:tr w14:paraId="7A4BB38A">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vMerge w:val="continue"/>
                  <w:tcBorders>
                    <w:tl2br w:val="nil"/>
                    <w:tr2bl w:val="nil"/>
                  </w:tcBorders>
                  <w:shd w:val="clear" w:color="auto" w:fill="auto"/>
                  <w:vAlign w:val="center"/>
                </w:tcPr>
                <w:p w14:paraId="7FA6D4D4">
                  <w:pPr>
                    <w:spacing w:line="276" w:lineRule="auto"/>
                    <w:jc w:val="center"/>
                    <w:rPr>
                      <w:rFonts w:ascii="Times New Roman" w:hAnsi="Times New Roman" w:cs="Times New Roman"/>
                      <w:color w:val="auto"/>
                      <w:sz w:val="20"/>
                      <w:szCs w:val="20"/>
                    </w:rPr>
                  </w:pPr>
                </w:p>
              </w:tc>
              <w:tc>
                <w:tcPr>
                  <w:tcW w:w="1997" w:type="pct"/>
                  <w:vMerge w:val="continue"/>
                  <w:tcBorders>
                    <w:tl2br w:val="nil"/>
                    <w:tr2bl w:val="nil"/>
                  </w:tcBorders>
                  <w:shd w:val="clear" w:color="auto" w:fill="auto"/>
                  <w:vAlign w:val="center"/>
                </w:tcPr>
                <w:p w14:paraId="542D860D">
                  <w:pPr>
                    <w:spacing w:line="276" w:lineRule="auto"/>
                    <w:jc w:val="center"/>
                    <w:rPr>
                      <w:rFonts w:hint="eastAsia" w:ascii="Times New Roman" w:hAnsi="Times New Roman" w:cs="Times New Roman"/>
                      <w:color w:val="auto"/>
                      <w:kern w:val="0"/>
                      <w:szCs w:val="21"/>
                    </w:rPr>
                  </w:pPr>
                </w:p>
              </w:tc>
              <w:tc>
                <w:tcPr>
                  <w:tcW w:w="2789" w:type="dxa"/>
                  <w:tcBorders>
                    <w:tl2br w:val="nil"/>
                    <w:tr2bl w:val="nil"/>
                  </w:tcBorders>
                  <w:shd w:val="clear" w:color="auto" w:fill="auto"/>
                  <w:vAlign w:val="center"/>
                </w:tcPr>
                <w:p w14:paraId="190DA74C">
                  <w:pPr>
                    <w:spacing w:line="276" w:lineRule="auto"/>
                    <w:jc w:val="center"/>
                    <w:rPr>
                      <w:rFonts w:hint="eastAsia" w:ascii="Times New Roman" w:hAnsi="Times New Roman" w:cs="Times New Roman"/>
                      <w:color w:val="auto"/>
                      <w:kern w:val="0"/>
                      <w:szCs w:val="21"/>
                    </w:rPr>
                  </w:pPr>
                  <w:r>
                    <w:rPr>
                      <w:rFonts w:hint="eastAsia" w:ascii="Times New Roman" w:hAnsi="Times New Roman" w:cs="Times New Roman"/>
                      <w:color w:val="auto"/>
                      <w:kern w:val="0"/>
                      <w:szCs w:val="21"/>
                      <w:lang w:val="en-US" w:eastAsia="zh-CN"/>
                    </w:rPr>
                    <w:t>进入活性炭吸附装置</w:t>
                  </w:r>
                </w:p>
              </w:tc>
              <w:tc>
                <w:tcPr>
                  <w:tcW w:w="2814" w:type="dxa"/>
                  <w:tcBorders>
                    <w:tl2br w:val="nil"/>
                    <w:tr2bl w:val="nil"/>
                  </w:tcBorders>
                  <w:shd w:val="clear" w:color="auto" w:fill="auto"/>
                  <w:vAlign w:val="center"/>
                </w:tcPr>
                <w:p w14:paraId="53284077">
                  <w:pPr>
                    <w:spacing w:line="276" w:lineRule="auto"/>
                    <w:jc w:val="center"/>
                    <w:rPr>
                      <w:rFonts w:hint="default" w:ascii="Times New Roman" w:hAnsi="Times New Roman" w:cs="Times New Roman"/>
                      <w:color w:val="auto"/>
                      <w:kern w:val="0"/>
                      <w:szCs w:val="21"/>
                      <w:lang w:val="en-US"/>
                    </w:rPr>
                  </w:pPr>
                  <w:r>
                    <w:rPr>
                      <w:rFonts w:hint="eastAsia" w:ascii="Times New Roman" w:hAnsi="Times New Roman" w:cs="Times New Roman"/>
                      <w:color w:val="auto"/>
                      <w:kern w:val="0"/>
                      <w:szCs w:val="21"/>
                      <w:lang w:val="en-US" w:eastAsia="zh-CN"/>
                    </w:rPr>
                    <w:t>0.523</w:t>
                  </w:r>
                </w:p>
              </w:tc>
            </w:tr>
            <w:tr w14:paraId="4A7EE503">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996" w:type="pct"/>
                  <w:tcBorders>
                    <w:tl2br w:val="nil"/>
                    <w:tr2bl w:val="nil"/>
                  </w:tcBorders>
                  <w:shd w:val="clear" w:color="auto" w:fill="auto"/>
                  <w:vAlign w:val="center"/>
                </w:tcPr>
                <w:p w14:paraId="20231B3B">
                  <w:pPr>
                    <w:spacing w:line="276" w:lineRule="auto"/>
                    <w:jc w:val="center"/>
                    <w:rPr>
                      <w:rFonts w:hint="default" w:ascii="Times New Roman" w:hAnsi="Times New Roman" w:cs="Times New Roman" w:eastAsiaTheme="minorEastAsia"/>
                      <w:color w:val="auto"/>
                      <w:kern w:val="0"/>
                      <w:sz w:val="24"/>
                      <w:szCs w:val="24"/>
                      <w:lang w:val="en-US" w:eastAsia="zh-CN"/>
                    </w:rPr>
                  </w:pPr>
                  <w:r>
                    <w:rPr>
                      <w:rFonts w:hint="eastAsia" w:ascii="Times New Roman" w:hAnsi="Times New Roman" w:cs="Times New Roman"/>
                      <w:color w:val="auto"/>
                      <w:kern w:val="0"/>
                      <w:szCs w:val="21"/>
                    </w:rPr>
                    <w:t>水分</w:t>
                  </w:r>
                  <w:r>
                    <w:rPr>
                      <w:rFonts w:ascii="Times New Roman" w:hAnsi="Times New Roman" w:cs="Times New Roman"/>
                      <w:color w:val="auto"/>
                      <w:kern w:val="0"/>
                      <w:szCs w:val="21"/>
                    </w:rPr>
                    <w:t>7.</w:t>
                  </w:r>
                  <w:r>
                    <w:rPr>
                      <w:rFonts w:hint="eastAsia" w:ascii="Times New Roman" w:hAnsi="Times New Roman" w:cs="Times New Roman"/>
                      <w:color w:val="auto"/>
                      <w:kern w:val="0"/>
                      <w:szCs w:val="21"/>
                      <w:lang w:val="en-US" w:eastAsia="zh-CN"/>
                    </w:rPr>
                    <w:t>609</w:t>
                  </w:r>
                </w:p>
              </w:tc>
              <w:tc>
                <w:tcPr>
                  <w:tcW w:w="4003" w:type="pct"/>
                  <w:gridSpan w:val="3"/>
                  <w:tcBorders>
                    <w:tl2br w:val="nil"/>
                    <w:tr2bl w:val="nil"/>
                  </w:tcBorders>
                  <w:shd w:val="clear" w:color="auto" w:fill="auto"/>
                  <w:vAlign w:val="center"/>
                </w:tcPr>
                <w:p w14:paraId="56C9584C">
                  <w:pPr>
                    <w:spacing w:line="276"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烘干7.609</w:t>
                  </w:r>
                </w:p>
              </w:tc>
            </w:tr>
          </w:tbl>
          <w:p w14:paraId="404289F6">
            <w:pPr>
              <w:spacing w:line="358" w:lineRule="auto"/>
              <w:jc w:val="center"/>
              <w:rPr>
                <w:rFonts w:ascii="Times New Roman" w:hAnsi="Times New Roman" w:eastAsia="黑体" w:cs="Times New Roman"/>
                <w:bCs/>
                <w:sz w:val="24"/>
                <w:szCs w:val="24"/>
              </w:rPr>
            </w:pPr>
          </w:p>
          <w:p w14:paraId="22D6FDF6">
            <w:pPr>
              <w:spacing w:line="358" w:lineRule="auto"/>
              <w:jc w:val="center"/>
              <w:rPr>
                <w:rFonts w:ascii="Times New Roman" w:hAnsi="Times New Roman" w:eastAsia="黑体" w:cs="Times New Roman"/>
                <w:bCs/>
                <w:sz w:val="24"/>
                <w:szCs w:val="24"/>
              </w:rPr>
            </w:pPr>
          </w:p>
          <w:p w14:paraId="124A63A6">
            <w:pPr>
              <w:spacing w:line="358" w:lineRule="auto"/>
              <w:jc w:val="center"/>
              <w:rPr>
                <w:rFonts w:ascii="Times New Roman" w:hAnsi="Times New Roman" w:eastAsia="黑体" w:cs="Times New Roman"/>
                <w:bCs/>
                <w:sz w:val="24"/>
                <w:szCs w:val="24"/>
              </w:rPr>
            </w:pPr>
          </w:p>
          <w:p w14:paraId="590DC9C2">
            <w:pPr>
              <w:widowControl/>
              <w:adjustRightInd w:val="0"/>
              <w:snapToGrid w:val="0"/>
              <w:rPr>
                <w:rFonts w:ascii="Times New Roman" w:hAnsi="Times New Roman" w:eastAsia="宋体" w:cs="宋体"/>
                <w:bCs/>
                <w:sz w:val="24"/>
                <w:szCs w:val="24"/>
              </w:rPr>
            </w:pPr>
          </w:p>
          <w:p w14:paraId="36820D44">
            <w:pPr>
              <w:widowControl/>
              <w:adjustRightInd w:val="0"/>
              <w:snapToGrid w:val="0"/>
              <w:rPr>
                <w:rFonts w:ascii="Times New Roman" w:hAnsi="Times New Roman" w:eastAsia="宋体" w:cs="宋体"/>
                <w:bCs/>
                <w:sz w:val="24"/>
                <w:szCs w:val="24"/>
              </w:rPr>
            </w:pPr>
          </w:p>
          <w:p w14:paraId="0BDF4472">
            <w:pPr>
              <w:widowControl/>
              <w:adjustRightInd w:val="0"/>
              <w:snapToGrid w:val="0"/>
              <w:rPr>
                <w:rFonts w:ascii="Times New Roman" w:hAnsi="Times New Roman" w:eastAsia="宋体" w:cs="宋体"/>
                <w:bCs/>
                <w:sz w:val="24"/>
                <w:szCs w:val="24"/>
              </w:rPr>
            </w:pPr>
          </w:p>
          <w:p w14:paraId="3D039A59">
            <w:pPr>
              <w:widowControl/>
              <w:adjustRightInd w:val="0"/>
              <w:snapToGrid w:val="0"/>
              <w:rPr>
                <w:rFonts w:ascii="Times New Roman" w:hAnsi="Times New Roman" w:eastAsia="宋体" w:cs="宋体"/>
                <w:bCs/>
                <w:sz w:val="24"/>
                <w:szCs w:val="24"/>
              </w:rPr>
            </w:pPr>
          </w:p>
          <w:p w14:paraId="02F5BF9F">
            <w:pPr>
              <w:widowControl/>
              <w:adjustRightInd w:val="0"/>
              <w:snapToGrid w:val="0"/>
              <w:rPr>
                <w:rFonts w:ascii="Times New Roman" w:hAnsi="Times New Roman" w:eastAsia="宋体" w:cs="宋体"/>
                <w:bCs/>
                <w:sz w:val="24"/>
                <w:szCs w:val="24"/>
              </w:rPr>
            </w:pPr>
          </w:p>
        </w:tc>
      </w:tr>
    </w:tbl>
    <w:p w14:paraId="7CE2E532">
      <w:pPr>
        <w:widowControl/>
        <w:adjustRightInd w:val="0"/>
        <w:snapToGrid w:val="0"/>
        <w:rPr>
          <w:rFonts w:ascii="Times New Roman" w:hAnsi="Times New Roman" w:eastAsia="宋体" w:cs="宋体"/>
          <w:bCs/>
          <w:sz w:val="24"/>
          <w:szCs w:val="24"/>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8065"/>
      </w:tblGrid>
      <w:tr w14:paraId="0E7032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447" w:hRule="atLeast"/>
          <w:jc w:val="center"/>
        </w:trPr>
        <w:tc>
          <w:tcPr>
            <w:tcW w:w="268" w:type="pct"/>
            <w:vAlign w:val="center"/>
          </w:tcPr>
          <w:p w14:paraId="65D82F08">
            <w:pPr>
              <w:widowControl/>
              <w:adjustRightInd w:val="0"/>
              <w:snapToGrid w:val="0"/>
              <w:spacing w:line="360" w:lineRule="auto"/>
              <w:jc w:val="center"/>
              <w:rPr>
                <w:rFonts w:ascii="Times New Roman" w:hAnsi="Times New Roman" w:eastAsia="宋体" w:cs="宋体"/>
                <w:kern w:val="0"/>
                <w:sz w:val="24"/>
                <w:szCs w:val="24"/>
              </w:rPr>
            </w:pPr>
            <w:r>
              <w:rPr>
                <w:rFonts w:hint="eastAsia" w:ascii="Times New Roman" w:hAnsi="Times New Roman" w:eastAsia="宋体" w:cs="宋体"/>
                <w:bCs/>
                <w:sz w:val="24"/>
                <w:szCs w:val="24"/>
              </w:rPr>
              <w:t>与项目有关的原有环境污染问题</w:t>
            </w:r>
          </w:p>
        </w:tc>
        <w:tc>
          <w:tcPr>
            <w:tcW w:w="4732" w:type="pct"/>
          </w:tcPr>
          <w:p w14:paraId="589DA93A">
            <w:pPr>
              <w:spacing w:line="360" w:lineRule="auto"/>
              <w:ind w:firstLine="480" w:firstLineChars="200"/>
              <w:rPr>
                <w:rFonts w:ascii="Times New Roman" w:hAnsi="Times New Roman" w:cs="Times New Roman"/>
                <w:kern w:val="0"/>
                <w:sz w:val="24"/>
                <w:szCs w:val="24"/>
              </w:rPr>
            </w:pPr>
            <w:r>
              <w:rPr>
                <w:rFonts w:ascii="Times New Roman" w:hAnsi="Times New Roman" w:eastAsia="宋体" w:cs="Times New Roman"/>
                <w:kern w:val="0"/>
                <w:sz w:val="24"/>
                <w:szCs w:val="24"/>
              </w:rPr>
              <w:t>本项目</w:t>
            </w:r>
            <w:r>
              <w:rPr>
                <w:rFonts w:hint="eastAsia" w:ascii="Times New Roman" w:hAnsi="Times New Roman" w:eastAsia="宋体" w:cs="Times New Roman"/>
                <w:kern w:val="0"/>
                <w:sz w:val="24"/>
                <w:szCs w:val="24"/>
              </w:rPr>
              <w:t>租赁安徽省淮南市谢家集区</w:t>
            </w:r>
            <w:r>
              <w:rPr>
                <w:rFonts w:hint="eastAsia" w:ascii="Times New Roman" w:hAnsi="Times New Roman" w:cs="ËÎÌå"/>
                <w:kern w:val="0"/>
                <w:sz w:val="24"/>
                <w:szCs w:val="24"/>
              </w:rPr>
              <w:t>汽配产业园3号厂房</w:t>
            </w:r>
            <w:r>
              <w:rPr>
                <w:rFonts w:hint="eastAsia" w:ascii="Times New Roman" w:hAnsi="Times New Roman" w:eastAsia="宋体" w:cs="Times New Roman"/>
                <w:kern w:val="0"/>
                <w:sz w:val="24"/>
                <w:szCs w:val="24"/>
              </w:rPr>
              <w:t>建设</w:t>
            </w:r>
            <w:r>
              <w:rPr>
                <w:rFonts w:ascii="Times New Roman" w:hAnsi="Times New Roman" w:cs="Times New Roman"/>
                <w:bCs/>
                <w:sz w:val="24"/>
              </w:rPr>
              <w:t>年产200万套汽车零部件项目</w:t>
            </w:r>
            <w:r>
              <w:rPr>
                <w:rFonts w:hint="eastAsia" w:ascii="Times New Roman" w:hAnsi="Times New Roman" w:eastAsia="宋体" w:cs="Times New Roman"/>
                <w:kern w:val="0"/>
                <w:sz w:val="24"/>
                <w:szCs w:val="24"/>
              </w:rPr>
              <w:t>。</w:t>
            </w:r>
          </w:p>
          <w:p w14:paraId="4A9D2906">
            <w:pPr>
              <w:spacing w:line="360" w:lineRule="auto"/>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本项目为新建项目，位于</w:t>
            </w:r>
            <w:r>
              <w:rPr>
                <w:rFonts w:hint="eastAsia" w:ascii="Times New Roman" w:hAnsi="Times New Roman" w:cs="ËÎÌå"/>
                <w:kern w:val="0"/>
                <w:sz w:val="24"/>
                <w:szCs w:val="24"/>
              </w:rPr>
              <w:t>汽配产业园3号厂房</w:t>
            </w:r>
            <w:r>
              <w:rPr>
                <w:rFonts w:hint="eastAsia" w:ascii="Times New Roman" w:hAnsi="Times New Roman" w:eastAsia="宋体" w:cs="Times New Roman"/>
                <w:kern w:val="0"/>
                <w:sz w:val="24"/>
                <w:szCs w:val="24"/>
              </w:rPr>
              <w:t>，根据现场调查，</w:t>
            </w:r>
            <w:r>
              <w:rPr>
                <w:rFonts w:hint="eastAsia" w:ascii="Times New Roman" w:hAnsi="Times New Roman" w:cs="ËÎÌå"/>
                <w:kern w:val="0"/>
                <w:sz w:val="24"/>
                <w:szCs w:val="24"/>
              </w:rPr>
              <w:t>汽配产业园3号厂房</w:t>
            </w:r>
            <w:r>
              <w:rPr>
                <w:rFonts w:hint="eastAsia" w:ascii="Times New Roman" w:hAnsi="Times New Roman" w:eastAsia="宋体" w:cs="Times New Roman"/>
                <w:kern w:val="0"/>
                <w:sz w:val="24"/>
                <w:szCs w:val="24"/>
              </w:rPr>
              <w:t>目前处于空置状态，</w:t>
            </w:r>
            <w:r>
              <w:rPr>
                <w:rFonts w:ascii="Times New Roman" w:hAnsi="Times New Roman" w:eastAsia="宋体" w:cs="Times New Roman"/>
                <w:bCs/>
                <w:sz w:val="24"/>
                <w:szCs w:val="24"/>
              </w:rPr>
              <w:t>无原有环境污染问题</w:t>
            </w:r>
            <w:r>
              <w:rPr>
                <w:rFonts w:hint="eastAsia" w:ascii="Times New Roman" w:hAnsi="Times New Roman" w:eastAsia="宋体" w:cs="Times New Roman"/>
                <w:kern w:val="0"/>
                <w:sz w:val="24"/>
                <w:szCs w:val="24"/>
              </w:rPr>
              <w:t>。</w:t>
            </w:r>
          </w:p>
          <w:p w14:paraId="167B9C7E">
            <w:pPr>
              <w:spacing w:line="360" w:lineRule="auto"/>
              <w:ind w:firstLine="480" w:firstLineChars="200"/>
              <w:rPr>
                <w:rFonts w:ascii="Times New Roman" w:hAnsi="Times New Roman" w:eastAsia="宋体" w:cs="Times New Roman"/>
                <w:bCs/>
                <w:sz w:val="24"/>
                <w:szCs w:val="24"/>
              </w:rPr>
            </w:pPr>
          </w:p>
          <w:p w14:paraId="2EAAA96A">
            <w:pPr>
              <w:spacing w:line="360" w:lineRule="auto"/>
              <w:ind w:firstLine="480" w:firstLineChars="200"/>
              <w:jc w:val="left"/>
              <w:rPr>
                <w:rFonts w:ascii="Times New Roman" w:hAnsi="Times New Roman" w:eastAsia="宋体" w:cs="Times New Roman"/>
                <w:bCs/>
                <w:sz w:val="24"/>
                <w:szCs w:val="24"/>
              </w:rPr>
            </w:pPr>
          </w:p>
          <w:p w14:paraId="6538DC0A">
            <w:pPr>
              <w:spacing w:line="360" w:lineRule="auto"/>
              <w:ind w:firstLine="480" w:firstLineChars="200"/>
              <w:jc w:val="left"/>
              <w:rPr>
                <w:rFonts w:ascii="Times New Roman" w:hAnsi="Times New Roman" w:eastAsia="宋体" w:cs="Times New Roman"/>
                <w:bCs/>
                <w:sz w:val="24"/>
                <w:szCs w:val="24"/>
              </w:rPr>
            </w:pPr>
          </w:p>
          <w:p w14:paraId="4203D6D4">
            <w:pPr>
              <w:spacing w:line="360" w:lineRule="auto"/>
              <w:ind w:firstLine="480" w:firstLineChars="200"/>
              <w:jc w:val="left"/>
              <w:rPr>
                <w:rFonts w:ascii="Times New Roman" w:hAnsi="Times New Roman" w:eastAsia="宋体" w:cs="Times New Roman"/>
                <w:bCs/>
                <w:sz w:val="24"/>
                <w:szCs w:val="24"/>
              </w:rPr>
            </w:pPr>
          </w:p>
          <w:p w14:paraId="08624B4D">
            <w:pPr>
              <w:spacing w:line="360" w:lineRule="auto"/>
              <w:ind w:firstLine="480" w:firstLineChars="200"/>
              <w:jc w:val="left"/>
              <w:rPr>
                <w:rFonts w:ascii="Times New Roman" w:hAnsi="Times New Roman" w:eastAsia="宋体" w:cs="Times New Roman"/>
                <w:bCs/>
                <w:sz w:val="24"/>
                <w:szCs w:val="24"/>
              </w:rPr>
            </w:pPr>
          </w:p>
          <w:p w14:paraId="58988106">
            <w:pPr>
              <w:spacing w:line="360" w:lineRule="auto"/>
              <w:ind w:firstLine="480" w:firstLineChars="200"/>
              <w:jc w:val="left"/>
              <w:rPr>
                <w:rFonts w:ascii="Times New Roman" w:hAnsi="Times New Roman" w:eastAsia="宋体" w:cs="Times New Roman"/>
                <w:bCs/>
                <w:sz w:val="24"/>
                <w:szCs w:val="24"/>
              </w:rPr>
            </w:pPr>
          </w:p>
          <w:p w14:paraId="25F7EEA0">
            <w:pPr>
              <w:spacing w:line="360" w:lineRule="auto"/>
              <w:jc w:val="left"/>
              <w:rPr>
                <w:rFonts w:ascii="Times New Roman" w:hAnsi="Times New Roman" w:eastAsia="宋体" w:cs="Times New Roman"/>
                <w:bCs/>
                <w:sz w:val="24"/>
                <w:szCs w:val="24"/>
              </w:rPr>
            </w:pPr>
          </w:p>
          <w:p w14:paraId="56A492F1">
            <w:pPr>
              <w:spacing w:line="360" w:lineRule="auto"/>
              <w:jc w:val="left"/>
              <w:rPr>
                <w:rFonts w:ascii="Times New Roman" w:hAnsi="Times New Roman" w:eastAsia="宋体" w:cs="Times New Roman"/>
                <w:bCs/>
                <w:sz w:val="24"/>
                <w:szCs w:val="24"/>
              </w:rPr>
            </w:pPr>
          </w:p>
          <w:p w14:paraId="11C7A08E">
            <w:pPr>
              <w:spacing w:line="360" w:lineRule="auto"/>
              <w:jc w:val="left"/>
              <w:rPr>
                <w:rFonts w:ascii="Times New Roman" w:hAnsi="Times New Roman" w:eastAsia="宋体" w:cs="Times New Roman"/>
                <w:bCs/>
                <w:sz w:val="24"/>
                <w:szCs w:val="24"/>
              </w:rPr>
            </w:pPr>
          </w:p>
          <w:p w14:paraId="70CFA5F0">
            <w:pPr>
              <w:spacing w:line="360" w:lineRule="auto"/>
              <w:jc w:val="left"/>
              <w:rPr>
                <w:rFonts w:ascii="Times New Roman" w:hAnsi="Times New Roman" w:eastAsia="宋体" w:cs="Times New Roman"/>
                <w:bCs/>
                <w:sz w:val="24"/>
                <w:szCs w:val="24"/>
              </w:rPr>
            </w:pPr>
          </w:p>
          <w:p w14:paraId="48B7B287">
            <w:pPr>
              <w:spacing w:line="360" w:lineRule="auto"/>
              <w:jc w:val="left"/>
              <w:rPr>
                <w:rFonts w:ascii="Times New Roman" w:hAnsi="Times New Roman" w:eastAsia="宋体" w:cs="Times New Roman"/>
                <w:bCs/>
                <w:sz w:val="24"/>
                <w:szCs w:val="24"/>
              </w:rPr>
            </w:pPr>
          </w:p>
          <w:p w14:paraId="5759DC63">
            <w:pPr>
              <w:spacing w:line="360" w:lineRule="auto"/>
              <w:jc w:val="left"/>
              <w:rPr>
                <w:rFonts w:ascii="Times New Roman" w:hAnsi="Times New Roman" w:eastAsia="宋体" w:cs="Times New Roman"/>
                <w:bCs/>
                <w:sz w:val="24"/>
                <w:szCs w:val="24"/>
              </w:rPr>
            </w:pPr>
          </w:p>
          <w:p w14:paraId="4D286330">
            <w:pPr>
              <w:spacing w:line="360" w:lineRule="auto"/>
              <w:jc w:val="left"/>
              <w:rPr>
                <w:rFonts w:ascii="Times New Roman" w:hAnsi="Times New Roman" w:eastAsia="宋体" w:cs="Times New Roman"/>
                <w:bCs/>
                <w:sz w:val="24"/>
                <w:szCs w:val="24"/>
              </w:rPr>
            </w:pPr>
          </w:p>
          <w:p w14:paraId="7574212F">
            <w:pPr>
              <w:spacing w:line="360" w:lineRule="auto"/>
              <w:jc w:val="left"/>
              <w:rPr>
                <w:rFonts w:ascii="Times New Roman" w:hAnsi="Times New Roman" w:eastAsia="宋体" w:cs="Times New Roman"/>
                <w:bCs/>
                <w:sz w:val="24"/>
                <w:szCs w:val="24"/>
              </w:rPr>
            </w:pPr>
          </w:p>
          <w:p w14:paraId="06D8C16A">
            <w:pPr>
              <w:spacing w:line="360" w:lineRule="auto"/>
              <w:jc w:val="left"/>
              <w:rPr>
                <w:rFonts w:ascii="Times New Roman" w:hAnsi="Times New Roman" w:eastAsia="宋体" w:cs="Times New Roman"/>
                <w:bCs/>
                <w:sz w:val="24"/>
                <w:szCs w:val="24"/>
              </w:rPr>
            </w:pPr>
          </w:p>
          <w:p w14:paraId="2F404A05">
            <w:pPr>
              <w:spacing w:line="360" w:lineRule="auto"/>
              <w:jc w:val="left"/>
              <w:rPr>
                <w:rFonts w:ascii="Times New Roman" w:hAnsi="Times New Roman" w:eastAsia="宋体" w:cs="Times New Roman"/>
                <w:bCs/>
                <w:sz w:val="24"/>
                <w:szCs w:val="24"/>
              </w:rPr>
            </w:pPr>
          </w:p>
        </w:tc>
      </w:tr>
    </w:tbl>
    <w:p w14:paraId="0864FC5C">
      <w:pPr>
        <w:widowControl/>
        <w:spacing w:before="100" w:beforeAutospacing="1" w:after="100" w:afterAutospacing="1"/>
        <w:jc w:val="center"/>
        <w:outlineLvl w:val="0"/>
        <w:rPr>
          <w:rFonts w:ascii="Times New Roman" w:hAnsi="Times New Roman" w:eastAsia="黑体" w:cs="Times New Roman"/>
          <w:snapToGrid w:val="0"/>
          <w:kern w:val="0"/>
          <w:sz w:val="30"/>
          <w:szCs w:val="30"/>
        </w:rPr>
      </w:pPr>
      <w:r>
        <w:rPr>
          <w:rFonts w:hint="eastAsia" w:ascii="Times New Roman" w:hAnsi="Times New Roman" w:eastAsia="黑体" w:cs="Times New Roman"/>
          <w:snapToGrid w:val="0"/>
          <w:kern w:val="0"/>
          <w:sz w:val="30"/>
          <w:szCs w:val="30"/>
        </w:rPr>
        <w:t>三、区域环境质量现状、环境保护目标及评价标准</w:t>
      </w:r>
    </w:p>
    <w:tbl>
      <w:tblPr>
        <w:tblStyle w:val="1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3"/>
        <w:gridCol w:w="8069"/>
      </w:tblGrid>
      <w:tr w14:paraId="6F43F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06" w:hRule="atLeast"/>
          <w:jc w:val="center"/>
        </w:trPr>
        <w:tc>
          <w:tcPr>
            <w:tcW w:w="266" w:type="pct"/>
            <w:vAlign w:val="center"/>
          </w:tcPr>
          <w:p w14:paraId="3A10D92A">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区域</w:t>
            </w:r>
          </w:p>
          <w:p w14:paraId="687CA1A8">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环境</w:t>
            </w:r>
          </w:p>
          <w:p w14:paraId="39577B3F">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质量</w:t>
            </w:r>
          </w:p>
          <w:p w14:paraId="762F75BA">
            <w:pPr>
              <w:adjustRightInd w:val="0"/>
              <w:snapToGrid w:val="0"/>
              <w:spacing w:line="360" w:lineRule="auto"/>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现状</w:t>
            </w:r>
          </w:p>
        </w:tc>
        <w:tc>
          <w:tcPr>
            <w:tcW w:w="4734" w:type="pct"/>
          </w:tcPr>
          <w:p w14:paraId="78D3D774">
            <w:pPr>
              <w:spacing w:line="360" w:lineRule="auto"/>
              <w:ind w:firstLine="482" w:firstLineChars="200"/>
              <w:jc w:val="left"/>
              <w:rPr>
                <w:rFonts w:ascii="Times New Roman" w:hAnsi="宋体" w:eastAsia="宋体" w:cs="Times New Roman"/>
                <w:b/>
                <w:kern w:val="0"/>
                <w:sz w:val="24"/>
                <w:szCs w:val="24"/>
              </w:rPr>
            </w:pPr>
            <w:r>
              <w:rPr>
                <w:rFonts w:ascii="Times New Roman" w:hAnsi="宋体" w:eastAsia="宋体" w:cs="Times New Roman"/>
                <w:b/>
                <w:kern w:val="0"/>
                <w:sz w:val="24"/>
                <w:szCs w:val="24"/>
              </w:rPr>
              <w:t>1、</w:t>
            </w:r>
            <w:r>
              <w:rPr>
                <w:rFonts w:hint="eastAsia" w:ascii="Times New Roman" w:hAnsi="Times New Roman" w:eastAsia="宋体" w:cs="Times New Roman"/>
                <w:b/>
                <w:sz w:val="24"/>
                <w:szCs w:val="28"/>
              </w:rPr>
              <w:t>环境空气质量现状</w:t>
            </w:r>
          </w:p>
          <w:p w14:paraId="24F282CA">
            <w:pPr>
              <w:spacing w:line="336" w:lineRule="auto"/>
              <w:ind w:firstLine="482" w:firstLineChars="200"/>
              <w:jc w:val="left"/>
              <w:rPr>
                <w:rFonts w:ascii="Times New Roman" w:hAnsi="宋体" w:eastAsia="宋体" w:cs="Times New Roman"/>
                <w:b/>
                <w:kern w:val="0"/>
                <w:sz w:val="24"/>
                <w:szCs w:val="24"/>
              </w:rPr>
            </w:pPr>
            <w:r>
              <w:rPr>
                <w:rFonts w:hint="eastAsia" w:ascii="Times New Roman" w:hAnsi="宋体" w:eastAsia="宋体" w:cs="Times New Roman"/>
                <w:b/>
                <w:kern w:val="0"/>
                <w:sz w:val="24"/>
                <w:szCs w:val="24"/>
              </w:rPr>
              <w:t>（1）</w:t>
            </w:r>
            <w:r>
              <w:rPr>
                <w:rFonts w:hint="eastAsia" w:ascii="Times New Roman" w:hAnsi="Times New Roman" w:eastAsia="宋体" w:cs="Times New Roman"/>
                <w:b/>
                <w:bCs/>
                <w:sz w:val="24"/>
                <w:szCs w:val="28"/>
              </w:rPr>
              <w:t>基本污染物空气质量现状</w:t>
            </w:r>
          </w:p>
          <w:p w14:paraId="62D978F2">
            <w:pPr>
              <w:widowControl/>
              <w:spacing w:line="360" w:lineRule="auto"/>
              <w:ind w:firstLine="480" w:firstLineChars="200"/>
              <w:rPr>
                <w:rFonts w:ascii="Times New Roman" w:hAnsi="Times New Roman" w:cs="Times New Roman"/>
                <w:color w:val="auto"/>
                <w:kern w:val="0"/>
                <w:sz w:val="24"/>
                <w:szCs w:val="24"/>
              </w:rPr>
            </w:pPr>
            <w:r>
              <w:rPr>
                <w:rFonts w:ascii="Times New Roman" w:hAnsi="Times New Roman" w:cs="Times New Roman"/>
                <w:kern w:val="0"/>
                <w:sz w:val="24"/>
                <w:szCs w:val="24"/>
              </w:rPr>
              <w:t>根据《环境影响评价技术导则大气环境》（HJ2.2-2018），项目所在区域达标情况判定有限采用国家或地方生态环境主管部门公开发布的环境质量公告或环境质量报告中的</w:t>
            </w:r>
            <w:r>
              <w:rPr>
                <w:rFonts w:ascii="Times New Roman" w:hAnsi="Times New Roman" w:cs="Times New Roman"/>
                <w:color w:val="auto"/>
                <w:kern w:val="0"/>
                <w:sz w:val="24"/>
                <w:szCs w:val="24"/>
              </w:rPr>
              <w:t>数据或结论。</w:t>
            </w:r>
          </w:p>
          <w:p w14:paraId="6CAEBE47">
            <w:pPr>
              <w:widowControl/>
              <w:spacing w:line="360" w:lineRule="auto"/>
              <w:ind w:firstLine="480" w:firstLineChars="200"/>
              <w:rPr>
                <w:rFonts w:ascii="Times New Roman" w:hAnsi="Times New Roman" w:cs="Times New Roman"/>
                <w:color w:val="auto"/>
                <w:kern w:val="0"/>
                <w:sz w:val="24"/>
                <w:szCs w:val="24"/>
              </w:rPr>
            </w:pPr>
            <w:r>
              <w:rPr>
                <w:rFonts w:ascii="Times New Roman" w:hAnsi="Times New Roman" w:cs="Times New Roman"/>
                <w:color w:val="auto"/>
                <w:kern w:val="0"/>
                <w:sz w:val="24"/>
                <w:szCs w:val="24"/>
              </w:rPr>
              <w:t>根据淮南市生态环境局发布的《20</w:t>
            </w:r>
            <w:r>
              <w:rPr>
                <w:rFonts w:hint="eastAsia" w:ascii="Times New Roman" w:hAnsi="Times New Roman" w:cs="Times New Roman"/>
                <w:color w:val="auto"/>
                <w:kern w:val="0"/>
                <w:sz w:val="24"/>
                <w:szCs w:val="24"/>
              </w:rPr>
              <w:t>24</w:t>
            </w:r>
            <w:r>
              <w:rPr>
                <w:rFonts w:ascii="Times New Roman" w:hAnsi="Times New Roman" w:cs="Times New Roman"/>
                <w:color w:val="auto"/>
                <w:kern w:val="0"/>
                <w:sz w:val="24"/>
                <w:szCs w:val="24"/>
              </w:rPr>
              <w:t>年</w:t>
            </w:r>
            <w:r>
              <w:rPr>
                <w:rFonts w:hint="eastAsia" w:ascii="Times New Roman" w:hAnsi="Times New Roman" w:cs="Times New Roman"/>
                <w:color w:val="auto"/>
                <w:kern w:val="0"/>
                <w:sz w:val="24"/>
                <w:szCs w:val="24"/>
              </w:rPr>
              <w:t>淮南市</w:t>
            </w:r>
            <w:r>
              <w:rPr>
                <w:rFonts w:hint="eastAsia" w:ascii="Times New Roman" w:hAnsi="Times New Roman" w:cs="Times New Roman"/>
                <w:color w:val="auto"/>
                <w:kern w:val="0"/>
                <w:sz w:val="24"/>
                <w:szCs w:val="24"/>
                <w:lang w:val="en-US" w:eastAsia="zh-CN"/>
              </w:rPr>
              <w:t>生态</w:t>
            </w:r>
            <w:r>
              <w:rPr>
                <w:rFonts w:ascii="Times New Roman" w:hAnsi="Times New Roman" w:cs="Times New Roman"/>
                <w:color w:val="auto"/>
                <w:kern w:val="0"/>
                <w:sz w:val="24"/>
                <w:szCs w:val="24"/>
              </w:rPr>
              <w:t>环境</w:t>
            </w:r>
            <w:r>
              <w:rPr>
                <w:rFonts w:hint="eastAsia" w:ascii="Times New Roman" w:hAnsi="Times New Roman" w:cs="Times New Roman"/>
                <w:color w:val="auto"/>
                <w:kern w:val="0"/>
                <w:sz w:val="24"/>
                <w:szCs w:val="24"/>
              </w:rPr>
              <w:t>质量</w:t>
            </w:r>
            <w:r>
              <w:rPr>
                <w:rFonts w:hint="eastAsia" w:ascii="Times New Roman" w:hAnsi="Times New Roman" w:cs="Times New Roman"/>
                <w:color w:val="auto"/>
                <w:kern w:val="0"/>
                <w:sz w:val="24"/>
                <w:szCs w:val="24"/>
                <w:lang w:val="en-US" w:eastAsia="zh-CN"/>
              </w:rPr>
              <w:t>状况</w:t>
            </w:r>
            <w:r>
              <w:rPr>
                <w:rFonts w:ascii="Times New Roman" w:hAnsi="Times New Roman" w:cs="Times New Roman"/>
                <w:color w:val="auto"/>
                <w:kern w:val="0"/>
                <w:sz w:val="24"/>
                <w:szCs w:val="24"/>
              </w:rPr>
              <w:t>公报》可知，</w:t>
            </w:r>
            <w:r>
              <w:rPr>
                <w:rFonts w:ascii="Times New Roman" w:hAnsi="Times New Roman"/>
                <w:color w:val="auto"/>
                <w:kern w:val="0"/>
                <w:sz w:val="24"/>
                <w:szCs w:val="24"/>
              </w:rPr>
              <w:t>202</w:t>
            </w:r>
            <w:r>
              <w:rPr>
                <w:rFonts w:hint="eastAsia" w:ascii="Times New Roman" w:hAnsi="Times New Roman"/>
                <w:color w:val="auto"/>
                <w:kern w:val="0"/>
                <w:sz w:val="24"/>
                <w:szCs w:val="24"/>
              </w:rPr>
              <w:t>4</w:t>
            </w:r>
            <w:r>
              <w:rPr>
                <w:rFonts w:ascii="Times New Roman" w:hAnsi="Times New Roman"/>
                <w:color w:val="auto"/>
                <w:kern w:val="0"/>
                <w:sz w:val="24"/>
                <w:szCs w:val="24"/>
              </w:rPr>
              <w:t>年淮南市城区环境空气质量达标天数比例为</w:t>
            </w:r>
            <w:r>
              <w:rPr>
                <w:rFonts w:hint="eastAsia" w:ascii="Times New Roman" w:hAnsi="Times New Roman"/>
                <w:color w:val="auto"/>
                <w:kern w:val="0"/>
                <w:sz w:val="24"/>
                <w:szCs w:val="24"/>
              </w:rPr>
              <w:t>77.3</w:t>
            </w:r>
            <w:r>
              <w:rPr>
                <w:rFonts w:ascii="Times New Roman" w:hAnsi="Times New Roman"/>
                <w:color w:val="auto"/>
                <w:kern w:val="0"/>
                <w:sz w:val="24"/>
                <w:szCs w:val="24"/>
              </w:rPr>
              <w:t>%，根据《</w:t>
            </w:r>
            <w:r>
              <w:rPr>
                <w:rFonts w:ascii="Times New Roman" w:hAnsi="Times New Roman" w:cs="Times New Roman"/>
                <w:color w:val="auto"/>
                <w:kern w:val="0"/>
                <w:sz w:val="24"/>
                <w:szCs w:val="24"/>
              </w:rPr>
              <w:t>20</w:t>
            </w:r>
            <w:r>
              <w:rPr>
                <w:rFonts w:hint="eastAsia" w:ascii="Times New Roman" w:hAnsi="Times New Roman" w:cs="Times New Roman"/>
                <w:color w:val="auto"/>
                <w:kern w:val="0"/>
                <w:sz w:val="24"/>
                <w:szCs w:val="24"/>
              </w:rPr>
              <w:t>24</w:t>
            </w:r>
            <w:r>
              <w:rPr>
                <w:rFonts w:ascii="Times New Roman" w:hAnsi="Times New Roman" w:cs="Times New Roman"/>
                <w:color w:val="auto"/>
                <w:kern w:val="0"/>
                <w:sz w:val="24"/>
                <w:szCs w:val="24"/>
              </w:rPr>
              <w:t>年</w:t>
            </w:r>
            <w:r>
              <w:rPr>
                <w:rFonts w:hint="eastAsia" w:ascii="Times New Roman" w:hAnsi="Times New Roman" w:cs="Times New Roman"/>
                <w:color w:val="auto"/>
                <w:kern w:val="0"/>
                <w:sz w:val="24"/>
                <w:szCs w:val="24"/>
              </w:rPr>
              <w:t>淮南市</w:t>
            </w:r>
            <w:r>
              <w:rPr>
                <w:rFonts w:hint="eastAsia" w:ascii="Times New Roman" w:hAnsi="Times New Roman" w:cs="Times New Roman"/>
                <w:color w:val="auto"/>
                <w:kern w:val="0"/>
                <w:sz w:val="24"/>
                <w:szCs w:val="24"/>
                <w:lang w:val="en-US" w:eastAsia="zh-CN"/>
              </w:rPr>
              <w:t>生态</w:t>
            </w:r>
            <w:r>
              <w:rPr>
                <w:rFonts w:ascii="Times New Roman" w:hAnsi="Times New Roman" w:cs="Times New Roman"/>
                <w:color w:val="auto"/>
                <w:kern w:val="0"/>
                <w:sz w:val="24"/>
                <w:szCs w:val="24"/>
              </w:rPr>
              <w:t>环境</w:t>
            </w:r>
            <w:r>
              <w:rPr>
                <w:rFonts w:hint="eastAsia" w:ascii="Times New Roman" w:hAnsi="Times New Roman" w:cs="Times New Roman"/>
                <w:color w:val="auto"/>
                <w:kern w:val="0"/>
                <w:sz w:val="24"/>
                <w:szCs w:val="24"/>
              </w:rPr>
              <w:t>质量</w:t>
            </w:r>
            <w:r>
              <w:rPr>
                <w:rFonts w:hint="eastAsia" w:ascii="Times New Roman" w:hAnsi="Times New Roman" w:cs="Times New Roman"/>
                <w:color w:val="auto"/>
                <w:kern w:val="0"/>
                <w:sz w:val="24"/>
                <w:szCs w:val="24"/>
                <w:lang w:val="en-US" w:eastAsia="zh-CN"/>
              </w:rPr>
              <w:t>状况</w:t>
            </w:r>
            <w:r>
              <w:rPr>
                <w:rFonts w:ascii="Times New Roman" w:hAnsi="Times New Roman" w:cs="Times New Roman"/>
                <w:color w:val="auto"/>
                <w:kern w:val="0"/>
                <w:sz w:val="24"/>
                <w:szCs w:val="24"/>
              </w:rPr>
              <w:t>公报</w:t>
            </w:r>
            <w:r>
              <w:rPr>
                <w:rFonts w:ascii="Times New Roman" w:hAnsi="Times New Roman"/>
                <w:color w:val="auto"/>
                <w:kern w:val="0"/>
                <w:sz w:val="24"/>
                <w:szCs w:val="24"/>
              </w:rPr>
              <w:t>》，区域空气质量现状如下表所示。</w:t>
            </w:r>
          </w:p>
          <w:p w14:paraId="78D07D93">
            <w:pPr>
              <w:widowControl/>
              <w:spacing w:line="360" w:lineRule="auto"/>
              <w:ind w:firstLine="480" w:firstLineChars="200"/>
              <w:jc w:val="center"/>
              <w:rPr>
                <w:rFonts w:ascii="Times New Roman" w:hAnsi="Times New Roman" w:eastAsia="黑体" w:cs="Times New Roman"/>
                <w:color w:val="auto"/>
                <w:sz w:val="24"/>
                <w:szCs w:val="21"/>
              </w:rPr>
            </w:pPr>
            <w:r>
              <w:rPr>
                <w:rFonts w:ascii="Times New Roman" w:hAnsi="Times New Roman" w:eastAsia="黑体" w:cs="Times New Roman"/>
                <w:color w:val="auto"/>
                <w:sz w:val="24"/>
                <w:szCs w:val="21"/>
              </w:rPr>
              <w:t>表</w:t>
            </w:r>
            <w:r>
              <w:rPr>
                <w:rFonts w:hint="eastAsia" w:ascii="Times New Roman" w:hAnsi="Times New Roman" w:eastAsia="黑体" w:cs="Times New Roman"/>
                <w:color w:val="auto"/>
                <w:sz w:val="24"/>
                <w:szCs w:val="21"/>
              </w:rPr>
              <w:t xml:space="preserve">3-1  </w:t>
            </w:r>
            <w:r>
              <w:rPr>
                <w:rFonts w:ascii="Times New Roman" w:hAnsi="Times New Roman" w:eastAsia="黑体" w:cs="Times New Roman"/>
                <w:color w:val="auto"/>
                <w:sz w:val="24"/>
                <w:szCs w:val="21"/>
              </w:rPr>
              <w:t>区域空气质量现状评价表</w:t>
            </w:r>
          </w:p>
          <w:tbl>
            <w:tblPr>
              <w:tblStyle w:val="1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819"/>
              <w:gridCol w:w="2934"/>
              <w:gridCol w:w="960"/>
              <w:gridCol w:w="1228"/>
              <w:gridCol w:w="737"/>
              <w:gridCol w:w="1175"/>
            </w:tblGrid>
            <w:tr w14:paraId="7DF030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c>
                <w:tcPr>
                  <w:tcW w:w="522" w:type="pct"/>
                  <w:vAlign w:val="center"/>
                </w:tcPr>
                <w:p w14:paraId="41712DE2">
                  <w:pPr>
                    <w:widowControl/>
                    <w:spacing w:line="276" w:lineRule="auto"/>
                    <w:jc w:val="center"/>
                    <w:rPr>
                      <w:rFonts w:ascii="Times New Roman" w:hAnsi="Times New Roman"/>
                      <w:b/>
                      <w:bCs/>
                      <w:color w:val="auto"/>
                      <w:kern w:val="0"/>
                      <w:szCs w:val="21"/>
                    </w:rPr>
                  </w:pPr>
                  <w:r>
                    <w:rPr>
                      <w:rFonts w:ascii="Times New Roman" w:hAnsi="Times New Roman"/>
                      <w:b/>
                      <w:bCs/>
                      <w:color w:val="auto"/>
                      <w:kern w:val="0"/>
                      <w:szCs w:val="21"/>
                    </w:rPr>
                    <w:t>污染物</w:t>
                  </w:r>
                </w:p>
              </w:tc>
              <w:tc>
                <w:tcPr>
                  <w:tcW w:w="1868" w:type="pct"/>
                  <w:vAlign w:val="center"/>
                </w:tcPr>
                <w:p w14:paraId="3EBFD2F2">
                  <w:pPr>
                    <w:widowControl/>
                    <w:spacing w:line="276" w:lineRule="auto"/>
                    <w:jc w:val="center"/>
                    <w:rPr>
                      <w:rFonts w:ascii="Times New Roman" w:hAnsi="Times New Roman"/>
                      <w:b/>
                      <w:bCs/>
                      <w:color w:val="auto"/>
                      <w:kern w:val="0"/>
                      <w:szCs w:val="21"/>
                    </w:rPr>
                  </w:pPr>
                  <w:r>
                    <w:rPr>
                      <w:rFonts w:ascii="Times New Roman" w:hAnsi="Times New Roman"/>
                      <w:b/>
                      <w:bCs/>
                      <w:color w:val="auto"/>
                      <w:kern w:val="0"/>
                      <w:szCs w:val="21"/>
                    </w:rPr>
                    <w:t>年评价指标</w:t>
                  </w:r>
                </w:p>
              </w:tc>
              <w:tc>
                <w:tcPr>
                  <w:tcW w:w="611" w:type="pct"/>
                  <w:vAlign w:val="center"/>
                </w:tcPr>
                <w:p w14:paraId="5D7A0DB6">
                  <w:pPr>
                    <w:widowControl/>
                    <w:spacing w:line="276" w:lineRule="auto"/>
                    <w:jc w:val="center"/>
                    <w:rPr>
                      <w:rFonts w:ascii="Times New Roman" w:hAnsi="Times New Roman"/>
                      <w:b/>
                      <w:bCs/>
                      <w:color w:val="auto"/>
                      <w:kern w:val="0"/>
                      <w:szCs w:val="21"/>
                    </w:rPr>
                  </w:pPr>
                  <w:r>
                    <w:rPr>
                      <w:rFonts w:ascii="Times New Roman" w:hAnsi="Times New Roman"/>
                      <w:b/>
                      <w:bCs/>
                      <w:color w:val="auto"/>
                      <w:kern w:val="0"/>
                      <w:szCs w:val="21"/>
                    </w:rPr>
                    <w:t>现状浓度</w:t>
                  </w:r>
                </w:p>
                <w:p w14:paraId="778B547F">
                  <w:pPr>
                    <w:widowControl/>
                    <w:spacing w:line="276" w:lineRule="auto"/>
                    <w:jc w:val="center"/>
                    <w:rPr>
                      <w:rFonts w:ascii="Times New Roman" w:hAnsi="Times New Roman"/>
                      <w:b/>
                      <w:bCs/>
                      <w:color w:val="auto"/>
                      <w:kern w:val="0"/>
                      <w:szCs w:val="21"/>
                    </w:rPr>
                  </w:pPr>
                  <w:r>
                    <w:rPr>
                      <w:rFonts w:ascii="Times New Roman" w:hAnsi="Times New Roman"/>
                      <w:b/>
                      <w:bCs/>
                      <w:color w:val="auto"/>
                      <w:kern w:val="0"/>
                      <w:szCs w:val="21"/>
                    </w:rPr>
                    <w:t>（μg/m</w:t>
                  </w:r>
                  <w:r>
                    <w:rPr>
                      <w:rFonts w:ascii="Times New Roman" w:hAnsi="Times New Roman"/>
                      <w:b/>
                      <w:bCs/>
                      <w:color w:val="auto"/>
                      <w:kern w:val="0"/>
                      <w:szCs w:val="21"/>
                      <w:vertAlign w:val="superscript"/>
                    </w:rPr>
                    <w:t>3</w:t>
                  </w:r>
                  <w:r>
                    <w:rPr>
                      <w:rFonts w:ascii="Times New Roman" w:hAnsi="Times New Roman"/>
                      <w:b/>
                      <w:bCs/>
                      <w:color w:val="auto"/>
                      <w:kern w:val="0"/>
                      <w:szCs w:val="21"/>
                    </w:rPr>
                    <w:t>）</w:t>
                  </w:r>
                </w:p>
              </w:tc>
              <w:tc>
                <w:tcPr>
                  <w:tcW w:w="782" w:type="pct"/>
                  <w:vAlign w:val="center"/>
                </w:tcPr>
                <w:p w14:paraId="6B5FE970">
                  <w:pPr>
                    <w:widowControl/>
                    <w:spacing w:line="276" w:lineRule="auto"/>
                    <w:jc w:val="center"/>
                    <w:rPr>
                      <w:rFonts w:ascii="Times New Roman" w:hAnsi="Times New Roman"/>
                      <w:b/>
                      <w:bCs/>
                      <w:color w:val="auto"/>
                      <w:kern w:val="0"/>
                      <w:szCs w:val="21"/>
                    </w:rPr>
                  </w:pPr>
                  <w:r>
                    <w:rPr>
                      <w:rFonts w:ascii="Times New Roman" w:hAnsi="Times New Roman"/>
                      <w:b/>
                      <w:bCs/>
                      <w:color w:val="auto"/>
                      <w:kern w:val="0"/>
                      <w:szCs w:val="21"/>
                    </w:rPr>
                    <w:t>标准值</w:t>
                  </w:r>
                </w:p>
                <w:p w14:paraId="0364A6BB">
                  <w:pPr>
                    <w:widowControl/>
                    <w:spacing w:line="276" w:lineRule="auto"/>
                    <w:jc w:val="center"/>
                    <w:rPr>
                      <w:rFonts w:ascii="Times New Roman" w:hAnsi="Times New Roman"/>
                      <w:b/>
                      <w:bCs/>
                      <w:color w:val="auto"/>
                      <w:kern w:val="0"/>
                      <w:szCs w:val="21"/>
                    </w:rPr>
                  </w:pPr>
                  <w:r>
                    <w:rPr>
                      <w:rFonts w:ascii="Times New Roman" w:hAnsi="Times New Roman"/>
                      <w:b/>
                      <w:bCs/>
                      <w:color w:val="auto"/>
                      <w:kern w:val="0"/>
                      <w:szCs w:val="21"/>
                    </w:rPr>
                    <w:t>（μg/m</w:t>
                  </w:r>
                  <w:r>
                    <w:rPr>
                      <w:rFonts w:ascii="Times New Roman" w:hAnsi="Times New Roman"/>
                      <w:b/>
                      <w:bCs/>
                      <w:color w:val="auto"/>
                      <w:kern w:val="0"/>
                      <w:szCs w:val="21"/>
                      <w:vertAlign w:val="superscript"/>
                    </w:rPr>
                    <w:t>3</w:t>
                  </w:r>
                  <w:r>
                    <w:rPr>
                      <w:rFonts w:ascii="Times New Roman" w:hAnsi="Times New Roman"/>
                      <w:b/>
                      <w:bCs/>
                      <w:color w:val="auto"/>
                      <w:kern w:val="0"/>
                      <w:szCs w:val="21"/>
                    </w:rPr>
                    <w:t>）</w:t>
                  </w:r>
                </w:p>
              </w:tc>
              <w:tc>
                <w:tcPr>
                  <w:tcW w:w="469" w:type="pct"/>
                  <w:vAlign w:val="center"/>
                </w:tcPr>
                <w:p w14:paraId="5EF78CC7">
                  <w:pPr>
                    <w:widowControl/>
                    <w:spacing w:line="276" w:lineRule="auto"/>
                    <w:jc w:val="center"/>
                    <w:rPr>
                      <w:rFonts w:ascii="Times New Roman" w:hAnsi="Times New Roman"/>
                      <w:b/>
                      <w:bCs/>
                      <w:color w:val="auto"/>
                      <w:kern w:val="0"/>
                      <w:szCs w:val="21"/>
                    </w:rPr>
                  </w:pPr>
                  <w:r>
                    <w:rPr>
                      <w:rFonts w:ascii="Times New Roman" w:hAnsi="Times New Roman"/>
                      <w:b/>
                      <w:bCs/>
                      <w:color w:val="auto"/>
                      <w:kern w:val="0"/>
                      <w:szCs w:val="21"/>
                    </w:rPr>
                    <w:t>占标率（%）</w:t>
                  </w:r>
                </w:p>
              </w:tc>
              <w:tc>
                <w:tcPr>
                  <w:tcW w:w="748" w:type="pct"/>
                  <w:vAlign w:val="center"/>
                </w:tcPr>
                <w:p w14:paraId="2068D3BA">
                  <w:pPr>
                    <w:widowControl/>
                    <w:spacing w:line="276" w:lineRule="auto"/>
                    <w:jc w:val="center"/>
                    <w:rPr>
                      <w:rFonts w:ascii="Times New Roman" w:hAnsi="Times New Roman"/>
                      <w:b/>
                      <w:bCs/>
                      <w:color w:val="auto"/>
                      <w:kern w:val="0"/>
                      <w:szCs w:val="21"/>
                    </w:rPr>
                  </w:pPr>
                  <w:r>
                    <w:rPr>
                      <w:rFonts w:ascii="Times New Roman" w:hAnsi="Times New Roman"/>
                      <w:b/>
                      <w:bCs/>
                      <w:color w:val="auto"/>
                      <w:kern w:val="0"/>
                      <w:szCs w:val="21"/>
                    </w:rPr>
                    <w:t>达标情况</w:t>
                  </w:r>
                </w:p>
              </w:tc>
            </w:tr>
            <w:tr w14:paraId="79DB2C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c>
                <w:tcPr>
                  <w:tcW w:w="522" w:type="pct"/>
                  <w:vAlign w:val="center"/>
                </w:tcPr>
                <w:p w14:paraId="7A1D15F7">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SO</w:t>
                  </w:r>
                  <w:r>
                    <w:rPr>
                      <w:rFonts w:ascii="Times New Roman" w:hAnsi="Times New Roman"/>
                      <w:bCs/>
                      <w:color w:val="auto"/>
                      <w:kern w:val="0"/>
                      <w:szCs w:val="21"/>
                      <w:vertAlign w:val="subscript"/>
                    </w:rPr>
                    <w:t>2</w:t>
                  </w:r>
                </w:p>
              </w:tc>
              <w:tc>
                <w:tcPr>
                  <w:tcW w:w="1868" w:type="pct"/>
                  <w:vAlign w:val="center"/>
                </w:tcPr>
                <w:p w14:paraId="6A103FB6">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年平均质量浓度</w:t>
                  </w:r>
                </w:p>
              </w:tc>
              <w:tc>
                <w:tcPr>
                  <w:tcW w:w="611" w:type="pct"/>
                  <w:vAlign w:val="center"/>
                </w:tcPr>
                <w:p w14:paraId="779FE18B">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7</w:t>
                  </w:r>
                </w:p>
              </w:tc>
              <w:tc>
                <w:tcPr>
                  <w:tcW w:w="782" w:type="pct"/>
                  <w:vAlign w:val="center"/>
                </w:tcPr>
                <w:p w14:paraId="2BB808C5">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60</w:t>
                  </w:r>
                </w:p>
              </w:tc>
              <w:tc>
                <w:tcPr>
                  <w:tcW w:w="469" w:type="pct"/>
                  <w:vAlign w:val="center"/>
                </w:tcPr>
                <w:p w14:paraId="5A497E2A">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11.7</w:t>
                  </w:r>
                </w:p>
              </w:tc>
              <w:tc>
                <w:tcPr>
                  <w:tcW w:w="748" w:type="pct"/>
                  <w:vAlign w:val="center"/>
                </w:tcPr>
                <w:p w14:paraId="755DAA7D">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达标</w:t>
                  </w:r>
                </w:p>
              </w:tc>
            </w:tr>
            <w:tr w14:paraId="1070585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c>
                <w:tcPr>
                  <w:tcW w:w="522" w:type="pct"/>
                  <w:vAlign w:val="center"/>
                </w:tcPr>
                <w:p w14:paraId="59281F98">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NO</w:t>
                  </w:r>
                  <w:r>
                    <w:rPr>
                      <w:rFonts w:ascii="Times New Roman" w:hAnsi="Times New Roman"/>
                      <w:bCs/>
                      <w:color w:val="auto"/>
                      <w:kern w:val="0"/>
                      <w:szCs w:val="21"/>
                      <w:vertAlign w:val="subscript"/>
                    </w:rPr>
                    <w:t>2</w:t>
                  </w:r>
                </w:p>
              </w:tc>
              <w:tc>
                <w:tcPr>
                  <w:tcW w:w="1868" w:type="pct"/>
                  <w:vAlign w:val="center"/>
                </w:tcPr>
                <w:p w14:paraId="34049B67">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年平均质量浓度</w:t>
                  </w:r>
                </w:p>
              </w:tc>
              <w:tc>
                <w:tcPr>
                  <w:tcW w:w="611" w:type="pct"/>
                  <w:vAlign w:val="center"/>
                </w:tcPr>
                <w:p w14:paraId="1C4DBCA5">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19</w:t>
                  </w:r>
                </w:p>
              </w:tc>
              <w:tc>
                <w:tcPr>
                  <w:tcW w:w="782" w:type="pct"/>
                  <w:vAlign w:val="center"/>
                </w:tcPr>
                <w:p w14:paraId="147A2291">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40</w:t>
                  </w:r>
                </w:p>
              </w:tc>
              <w:tc>
                <w:tcPr>
                  <w:tcW w:w="469" w:type="pct"/>
                  <w:vAlign w:val="center"/>
                </w:tcPr>
                <w:p w14:paraId="48505D28">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47.5</w:t>
                  </w:r>
                </w:p>
              </w:tc>
              <w:tc>
                <w:tcPr>
                  <w:tcW w:w="748" w:type="pct"/>
                  <w:vAlign w:val="center"/>
                </w:tcPr>
                <w:p w14:paraId="2642530D">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达标</w:t>
                  </w:r>
                </w:p>
              </w:tc>
            </w:tr>
            <w:tr w14:paraId="422FAE5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c>
                <w:tcPr>
                  <w:tcW w:w="522" w:type="pct"/>
                  <w:vAlign w:val="center"/>
                </w:tcPr>
                <w:p w14:paraId="1F7C6A1A">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PM</w:t>
                  </w:r>
                  <w:r>
                    <w:rPr>
                      <w:rFonts w:ascii="Times New Roman" w:hAnsi="Times New Roman"/>
                      <w:bCs/>
                      <w:color w:val="auto"/>
                      <w:kern w:val="0"/>
                      <w:szCs w:val="21"/>
                      <w:vertAlign w:val="subscript"/>
                    </w:rPr>
                    <w:t>10</w:t>
                  </w:r>
                </w:p>
              </w:tc>
              <w:tc>
                <w:tcPr>
                  <w:tcW w:w="1868" w:type="pct"/>
                  <w:vAlign w:val="center"/>
                </w:tcPr>
                <w:p w14:paraId="3F84A711">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年平均质量浓度</w:t>
                  </w:r>
                </w:p>
              </w:tc>
              <w:tc>
                <w:tcPr>
                  <w:tcW w:w="611" w:type="pct"/>
                  <w:vAlign w:val="center"/>
                </w:tcPr>
                <w:p w14:paraId="0E84C7CD">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65</w:t>
                  </w:r>
                </w:p>
              </w:tc>
              <w:tc>
                <w:tcPr>
                  <w:tcW w:w="782" w:type="pct"/>
                  <w:vAlign w:val="center"/>
                </w:tcPr>
                <w:p w14:paraId="051F7CE1">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70</w:t>
                  </w:r>
                </w:p>
              </w:tc>
              <w:tc>
                <w:tcPr>
                  <w:tcW w:w="469" w:type="pct"/>
                  <w:vAlign w:val="center"/>
                </w:tcPr>
                <w:p w14:paraId="153A809A">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92.9</w:t>
                  </w:r>
                </w:p>
              </w:tc>
              <w:tc>
                <w:tcPr>
                  <w:tcW w:w="748" w:type="pct"/>
                  <w:vAlign w:val="center"/>
                </w:tcPr>
                <w:p w14:paraId="20B08DA7">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达标</w:t>
                  </w:r>
                </w:p>
              </w:tc>
            </w:tr>
            <w:tr w14:paraId="0EB329D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c>
                <w:tcPr>
                  <w:tcW w:w="522" w:type="pct"/>
                  <w:vAlign w:val="center"/>
                </w:tcPr>
                <w:p w14:paraId="7F590EBE">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PM</w:t>
                  </w:r>
                  <w:r>
                    <w:rPr>
                      <w:rFonts w:ascii="Times New Roman" w:hAnsi="Times New Roman"/>
                      <w:bCs/>
                      <w:color w:val="auto"/>
                      <w:kern w:val="0"/>
                      <w:szCs w:val="21"/>
                      <w:vertAlign w:val="subscript"/>
                    </w:rPr>
                    <w:t>2.5</w:t>
                  </w:r>
                </w:p>
              </w:tc>
              <w:tc>
                <w:tcPr>
                  <w:tcW w:w="1868" w:type="pct"/>
                  <w:vAlign w:val="center"/>
                </w:tcPr>
                <w:p w14:paraId="27B8B697">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年平均质量浓度</w:t>
                  </w:r>
                </w:p>
              </w:tc>
              <w:tc>
                <w:tcPr>
                  <w:tcW w:w="611" w:type="pct"/>
                  <w:vAlign w:val="center"/>
                </w:tcPr>
                <w:p w14:paraId="1BDEAA6C">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40</w:t>
                  </w:r>
                </w:p>
              </w:tc>
              <w:tc>
                <w:tcPr>
                  <w:tcW w:w="782" w:type="pct"/>
                  <w:vAlign w:val="center"/>
                </w:tcPr>
                <w:p w14:paraId="186DD807">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35</w:t>
                  </w:r>
                </w:p>
              </w:tc>
              <w:tc>
                <w:tcPr>
                  <w:tcW w:w="469" w:type="pct"/>
                  <w:vAlign w:val="center"/>
                </w:tcPr>
                <w:p w14:paraId="0C14CF29">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114.3</w:t>
                  </w:r>
                </w:p>
              </w:tc>
              <w:tc>
                <w:tcPr>
                  <w:tcW w:w="748" w:type="pct"/>
                  <w:vAlign w:val="center"/>
                </w:tcPr>
                <w:p w14:paraId="7B7A63EC">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超标</w:t>
                  </w:r>
                </w:p>
              </w:tc>
            </w:tr>
            <w:tr w14:paraId="33233B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c>
                <w:tcPr>
                  <w:tcW w:w="522" w:type="pct"/>
                  <w:vAlign w:val="center"/>
                </w:tcPr>
                <w:p w14:paraId="29E52287">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CO</w:t>
                  </w:r>
                </w:p>
              </w:tc>
              <w:tc>
                <w:tcPr>
                  <w:tcW w:w="1868" w:type="pct"/>
                  <w:vAlign w:val="center"/>
                </w:tcPr>
                <w:p w14:paraId="16E8E822">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第95百分位数日平均质量浓度</w:t>
                  </w:r>
                </w:p>
              </w:tc>
              <w:tc>
                <w:tcPr>
                  <w:tcW w:w="611" w:type="pct"/>
                  <w:vAlign w:val="center"/>
                </w:tcPr>
                <w:p w14:paraId="2763271D">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800</w:t>
                  </w:r>
                </w:p>
              </w:tc>
              <w:tc>
                <w:tcPr>
                  <w:tcW w:w="782" w:type="pct"/>
                  <w:vAlign w:val="center"/>
                </w:tcPr>
                <w:p w14:paraId="744CF5E2">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4000</w:t>
                  </w:r>
                </w:p>
              </w:tc>
              <w:tc>
                <w:tcPr>
                  <w:tcW w:w="469" w:type="pct"/>
                  <w:vAlign w:val="center"/>
                </w:tcPr>
                <w:p w14:paraId="0021FF63">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20</w:t>
                  </w:r>
                </w:p>
              </w:tc>
              <w:tc>
                <w:tcPr>
                  <w:tcW w:w="748" w:type="pct"/>
                  <w:vAlign w:val="center"/>
                </w:tcPr>
                <w:p w14:paraId="771BBCE8">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达标</w:t>
                  </w:r>
                </w:p>
              </w:tc>
            </w:tr>
            <w:tr w14:paraId="686A50D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522" w:type="pct"/>
                  <w:vAlign w:val="center"/>
                </w:tcPr>
                <w:p w14:paraId="23681941">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O</w:t>
                  </w:r>
                  <w:r>
                    <w:rPr>
                      <w:rFonts w:ascii="Times New Roman" w:hAnsi="Times New Roman"/>
                      <w:bCs/>
                      <w:color w:val="auto"/>
                      <w:kern w:val="0"/>
                      <w:szCs w:val="21"/>
                      <w:vertAlign w:val="subscript"/>
                    </w:rPr>
                    <w:t>3</w:t>
                  </w:r>
                </w:p>
              </w:tc>
              <w:tc>
                <w:tcPr>
                  <w:tcW w:w="1868" w:type="pct"/>
                  <w:vAlign w:val="center"/>
                </w:tcPr>
                <w:p w14:paraId="19A3266A">
                  <w:pPr>
                    <w:widowControl/>
                    <w:spacing w:line="276" w:lineRule="auto"/>
                    <w:jc w:val="center"/>
                    <w:rPr>
                      <w:rFonts w:ascii="Times New Roman" w:hAnsi="Times New Roman"/>
                      <w:bCs/>
                      <w:color w:val="auto"/>
                      <w:kern w:val="0"/>
                      <w:szCs w:val="21"/>
                    </w:rPr>
                  </w:pPr>
                  <w:r>
                    <w:rPr>
                      <w:rFonts w:ascii="Times New Roman" w:hAnsi="Times New Roman"/>
                      <w:bCs/>
                      <w:color w:val="auto"/>
                      <w:szCs w:val="21"/>
                    </w:rPr>
                    <w:t>第90百分位数</w:t>
                  </w:r>
                  <w:r>
                    <w:rPr>
                      <w:rFonts w:ascii="Times New Roman" w:hAnsi="Times New Roman"/>
                      <w:bCs/>
                      <w:color w:val="auto"/>
                      <w:kern w:val="0"/>
                      <w:szCs w:val="21"/>
                    </w:rPr>
                    <w:t>日平均质量浓度</w:t>
                  </w:r>
                </w:p>
              </w:tc>
              <w:tc>
                <w:tcPr>
                  <w:tcW w:w="611" w:type="pct"/>
                  <w:vAlign w:val="center"/>
                </w:tcPr>
                <w:p w14:paraId="053F5FBD">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160</w:t>
                  </w:r>
                </w:p>
              </w:tc>
              <w:tc>
                <w:tcPr>
                  <w:tcW w:w="782" w:type="pct"/>
                  <w:vAlign w:val="center"/>
                </w:tcPr>
                <w:p w14:paraId="080C3BA7">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160</w:t>
                  </w:r>
                </w:p>
              </w:tc>
              <w:tc>
                <w:tcPr>
                  <w:tcW w:w="469" w:type="pct"/>
                  <w:vAlign w:val="center"/>
                </w:tcPr>
                <w:p w14:paraId="4D984A81">
                  <w:pPr>
                    <w:widowControl/>
                    <w:spacing w:line="276" w:lineRule="auto"/>
                    <w:jc w:val="center"/>
                    <w:rPr>
                      <w:rFonts w:ascii="Times New Roman" w:hAnsi="Times New Roman"/>
                      <w:bCs/>
                      <w:color w:val="auto"/>
                      <w:kern w:val="0"/>
                      <w:szCs w:val="21"/>
                    </w:rPr>
                  </w:pPr>
                  <w:r>
                    <w:rPr>
                      <w:rFonts w:hint="eastAsia" w:ascii="Times New Roman" w:hAnsi="Times New Roman"/>
                      <w:bCs/>
                      <w:color w:val="auto"/>
                      <w:kern w:val="0"/>
                      <w:szCs w:val="21"/>
                    </w:rPr>
                    <w:t>100</w:t>
                  </w:r>
                </w:p>
              </w:tc>
              <w:tc>
                <w:tcPr>
                  <w:tcW w:w="748" w:type="pct"/>
                  <w:vAlign w:val="center"/>
                </w:tcPr>
                <w:p w14:paraId="3A2D03C4">
                  <w:pPr>
                    <w:widowControl/>
                    <w:spacing w:line="276" w:lineRule="auto"/>
                    <w:jc w:val="center"/>
                    <w:rPr>
                      <w:rFonts w:ascii="Times New Roman" w:hAnsi="Times New Roman"/>
                      <w:bCs/>
                      <w:color w:val="auto"/>
                      <w:kern w:val="0"/>
                      <w:szCs w:val="21"/>
                    </w:rPr>
                  </w:pPr>
                  <w:r>
                    <w:rPr>
                      <w:rFonts w:ascii="Times New Roman" w:hAnsi="Times New Roman"/>
                      <w:bCs/>
                      <w:color w:val="auto"/>
                      <w:kern w:val="0"/>
                      <w:szCs w:val="21"/>
                    </w:rPr>
                    <w:t>达标</w:t>
                  </w:r>
                </w:p>
              </w:tc>
            </w:tr>
          </w:tbl>
          <w:p w14:paraId="3E700CAC">
            <w:pPr>
              <w:spacing w:line="360" w:lineRule="auto"/>
              <w:ind w:firstLine="480" w:firstLineChars="200"/>
              <w:contextualSpacing/>
              <w:rPr>
                <w:rFonts w:ascii="Times New Roman" w:hAnsi="Times New Roman"/>
                <w:sz w:val="24"/>
                <w:szCs w:val="24"/>
              </w:rPr>
            </w:pPr>
            <w:r>
              <w:rPr>
                <w:rFonts w:hint="eastAsia" w:ascii="Times New Roman" w:hAnsi="Times New Roman"/>
                <w:color w:val="auto"/>
                <w:sz w:val="24"/>
                <w:szCs w:val="21"/>
              </w:rPr>
              <w:t>根据《</w:t>
            </w:r>
            <w:r>
              <w:rPr>
                <w:rFonts w:ascii="Times New Roman" w:hAnsi="Times New Roman" w:cs="Times New Roman"/>
                <w:color w:val="auto"/>
                <w:kern w:val="0"/>
                <w:sz w:val="24"/>
                <w:szCs w:val="24"/>
              </w:rPr>
              <w:t>20</w:t>
            </w:r>
            <w:r>
              <w:rPr>
                <w:rFonts w:hint="eastAsia" w:ascii="Times New Roman" w:hAnsi="Times New Roman" w:cs="Times New Roman"/>
                <w:color w:val="auto"/>
                <w:kern w:val="0"/>
                <w:sz w:val="24"/>
                <w:szCs w:val="24"/>
              </w:rPr>
              <w:t>24</w:t>
            </w:r>
            <w:r>
              <w:rPr>
                <w:rFonts w:ascii="Times New Roman" w:hAnsi="Times New Roman" w:cs="Times New Roman"/>
                <w:color w:val="auto"/>
                <w:kern w:val="0"/>
                <w:sz w:val="24"/>
                <w:szCs w:val="24"/>
              </w:rPr>
              <w:t>年</w:t>
            </w:r>
            <w:r>
              <w:rPr>
                <w:rFonts w:hint="eastAsia" w:ascii="Times New Roman" w:hAnsi="Times New Roman" w:cs="Times New Roman"/>
                <w:color w:val="auto"/>
                <w:kern w:val="0"/>
                <w:sz w:val="24"/>
                <w:szCs w:val="24"/>
              </w:rPr>
              <w:t>淮南市</w:t>
            </w:r>
            <w:r>
              <w:rPr>
                <w:rFonts w:hint="eastAsia" w:ascii="Times New Roman" w:hAnsi="Times New Roman" w:cs="Times New Roman"/>
                <w:color w:val="auto"/>
                <w:kern w:val="0"/>
                <w:sz w:val="24"/>
                <w:szCs w:val="24"/>
                <w:lang w:val="en-US" w:eastAsia="zh-CN"/>
              </w:rPr>
              <w:t>生态</w:t>
            </w:r>
            <w:r>
              <w:rPr>
                <w:rFonts w:ascii="Times New Roman" w:hAnsi="Times New Roman" w:cs="Times New Roman"/>
                <w:color w:val="auto"/>
                <w:kern w:val="0"/>
                <w:sz w:val="24"/>
                <w:szCs w:val="24"/>
              </w:rPr>
              <w:t>环境</w:t>
            </w:r>
            <w:r>
              <w:rPr>
                <w:rFonts w:hint="eastAsia" w:ascii="Times New Roman" w:hAnsi="Times New Roman" w:cs="Times New Roman"/>
                <w:color w:val="auto"/>
                <w:kern w:val="0"/>
                <w:sz w:val="24"/>
                <w:szCs w:val="24"/>
              </w:rPr>
              <w:t>质量</w:t>
            </w:r>
            <w:r>
              <w:rPr>
                <w:rFonts w:hint="eastAsia" w:ascii="Times New Roman" w:hAnsi="Times New Roman" w:cs="Times New Roman"/>
                <w:color w:val="auto"/>
                <w:kern w:val="0"/>
                <w:sz w:val="24"/>
                <w:szCs w:val="24"/>
                <w:lang w:val="en-US" w:eastAsia="zh-CN"/>
              </w:rPr>
              <w:t>状况</w:t>
            </w:r>
            <w:r>
              <w:rPr>
                <w:rFonts w:ascii="Times New Roman" w:hAnsi="Times New Roman" w:cs="Times New Roman"/>
                <w:color w:val="auto"/>
                <w:kern w:val="0"/>
                <w:sz w:val="24"/>
                <w:szCs w:val="24"/>
              </w:rPr>
              <w:t>公报</w:t>
            </w:r>
            <w:r>
              <w:rPr>
                <w:rFonts w:hint="eastAsia" w:ascii="Times New Roman" w:hAnsi="Times New Roman"/>
                <w:color w:val="auto"/>
                <w:sz w:val="24"/>
                <w:szCs w:val="21"/>
              </w:rPr>
              <w:t>》并</w:t>
            </w:r>
            <w:r>
              <w:rPr>
                <w:rFonts w:hint="eastAsia" w:ascii="Times New Roman" w:hAnsi="Times New Roman"/>
                <w:sz w:val="24"/>
                <w:szCs w:val="21"/>
              </w:rPr>
              <w:t>结合《环境空气质量标准》（</w:t>
            </w:r>
            <w:r>
              <w:rPr>
                <w:rFonts w:ascii="Times New Roman" w:hAnsi="Times New Roman"/>
                <w:sz w:val="24"/>
                <w:szCs w:val="21"/>
              </w:rPr>
              <w:t>GB3095-2012</w:t>
            </w:r>
            <w:r>
              <w:rPr>
                <w:rFonts w:hint="eastAsia" w:ascii="Times New Roman" w:hAnsi="Times New Roman"/>
                <w:sz w:val="24"/>
                <w:szCs w:val="21"/>
              </w:rPr>
              <w:t>）及</w:t>
            </w:r>
            <w:r>
              <w:rPr>
                <w:rFonts w:ascii="Times New Roman" w:hAnsi="Times New Roman"/>
                <w:sz w:val="24"/>
                <w:szCs w:val="21"/>
              </w:rPr>
              <w:t>2018</w:t>
            </w:r>
            <w:r>
              <w:rPr>
                <w:rFonts w:hint="eastAsia" w:ascii="Times New Roman" w:hAnsi="Times New Roman"/>
                <w:sz w:val="24"/>
                <w:szCs w:val="21"/>
              </w:rPr>
              <w:t>年修改单中二级标准可知，</w:t>
            </w:r>
            <w:r>
              <w:rPr>
                <w:rFonts w:hint="eastAsia" w:ascii="Times New Roman" w:hAnsi="宋体"/>
                <w:sz w:val="24"/>
                <w:szCs w:val="24"/>
              </w:rPr>
              <w:t>二氧化硫（</w:t>
            </w:r>
            <w:r>
              <w:rPr>
                <w:rFonts w:ascii="Times New Roman" w:hAnsi="Times New Roman"/>
                <w:sz w:val="24"/>
                <w:szCs w:val="24"/>
              </w:rPr>
              <w:t>SO</w:t>
            </w:r>
            <w:r>
              <w:rPr>
                <w:rFonts w:ascii="Times New Roman" w:hAnsi="Times New Roman"/>
                <w:sz w:val="24"/>
                <w:szCs w:val="24"/>
                <w:vertAlign w:val="subscript"/>
              </w:rPr>
              <w:t>2</w:t>
            </w:r>
            <w:r>
              <w:rPr>
                <w:rFonts w:hint="eastAsia" w:ascii="Times New Roman" w:hAnsi="宋体"/>
                <w:sz w:val="24"/>
                <w:szCs w:val="24"/>
              </w:rPr>
              <w:t>）、二氧化氮（</w:t>
            </w:r>
            <w:r>
              <w:rPr>
                <w:rFonts w:ascii="Times New Roman" w:hAnsi="Times New Roman"/>
                <w:sz w:val="24"/>
                <w:szCs w:val="24"/>
              </w:rPr>
              <w:t>NO</w:t>
            </w:r>
            <w:r>
              <w:rPr>
                <w:rFonts w:ascii="Times New Roman" w:hAnsi="Times New Roman"/>
                <w:sz w:val="24"/>
                <w:szCs w:val="24"/>
                <w:vertAlign w:val="subscript"/>
              </w:rPr>
              <w:t>2</w:t>
            </w:r>
            <w:r>
              <w:rPr>
                <w:rFonts w:hint="eastAsia" w:ascii="Times New Roman" w:hAnsi="宋体"/>
                <w:sz w:val="24"/>
                <w:szCs w:val="24"/>
              </w:rPr>
              <w:t>）、一氧化碳（</w:t>
            </w:r>
            <w:r>
              <w:rPr>
                <w:rFonts w:ascii="Times New Roman" w:hAnsi="Times New Roman"/>
                <w:sz w:val="24"/>
                <w:szCs w:val="24"/>
              </w:rPr>
              <w:t>CO</w:t>
            </w:r>
            <w:r>
              <w:rPr>
                <w:rFonts w:hint="eastAsia" w:ascii="Times New Roman" w:hAnsi="宋体"/>
                <w:sz w:val="24"/>
                <w:szCs w:val="24"/>
              </w:rPr>
              <w:t>）、可吸入颗粒物（</w:t>
            </w:r>
            <w:r>
              <w:rPr>
                <w:rFonts w:ascii="Times New Roman" w:hAnsi="Times New Roman"/>
                <w:sz w:val="24"/>
                <w:szCs w:val="24"/>
              </w:rPr>
              <w:t>PM</w:t>
            </w:r>
            <w:r>
              <w:rPr>
                <w:rFonts w:ascii="Times New Roman" w:hAnsi="Times New Roman"/>
                <w:sz w:val="24"/>
                <w:szCs w:val="24"/>
                <w:vertAlign w:val="subscript"/>
              </w:rPr>
              <w:t>10</w:t>
            </w:r>
            <w:r>
              <w:rPr>
                <w:rFonts w:hint="eastAsia" w:ascii="Times New Roman" w:hAnsi="宋体"/>
                <w:sz w:val="24"/>
                <w:szCs w:val="24"/>
              </w:rPr>
              <w:t>）、臭氧（</w:t>
            </w:r>
            <w:r>
              <w:rPr>
                <w:rFonts w:ascii="Times New Roman" w:hAnsi="Times New Roman"/>
                <w:sz w:val="24"/>
                <w:szCs w:val="24"/>
              </w:rPr>
              <w:t>O</w:t>
            </w:r>
            <w:r>
              <w:rPr>
                <w:rFonts w:ascii="Times New Roman" w:hAnsi="Times New Roman"/>
                <w:sz w:val="24"/>
                <w:szCs w:val="24"/>
                <w:vertAlign w:val="subscript"/>
              </w:rPr>
              <w:t>3</w:t>
            </w:r>
            <w:r>
              <w:rPr>
                <w:rFonts w:hint="eastAsia" w:ascii="Times New Roman" w:hAnsi="宋体"/>
                <w:sz w:val="24"/>
                <w:szCs w:val="24"/>
              </w:rPr>
              <w:t>）均符合《环境空气质量标准》（</w:t>
            </w:r>
            <w:r>
              <w:rPr>
                <w:rFonts w:ascii="Times New Roman" w:hAnsi="Times New Roman"/>
                <w:sz w:val="24"/>
                <w:szCs w:val="24"/>
              </w:rPr>
              <w:t>GB3095-2012</w:t>
            </w:r>
            <w:r>
              <w:rPr>
                <w:rFonts w:hint="eastAsia" w:ascii="Times New Roman" w:hAnsi="宋体"/>
                <w:sz w:val="24"/>
                <w:szCs w:val="24"/>
              </w:rPr>
              <w:t>）</w:t>
            </w:r>
            <w:r>
              <w:rPr>
                <w:rFonts w:hint="eastAsia" w:ascii="Times New Roman" w:hAnsi="Times New Roman"/>
                <w:sz w:val="24"/>
                <w:szCs w:val="21"/>
              </w:rPr>
              <w:t>及</w:t>
            </w:r>
            <w:r>
              <w:rPr>
                <w:rFonts w:ascii="Times New Roman" w:hAnsi="Times New Roman"/>
                <w:sz w:val="24"/>
                <w:szCs w:val="21"/>
              </w:rPr>
              <w:t>2018</w:t>
            </w:r>
            <w:r>
              <w:rPr>
                <w:rFonts w:hint="eastAsia" w:ascii="Times New Roman" w:hAnsi="Times New Roman"/>
                <w:sz w:val="24"/>
                <w:szCs w:val="21"/>
              </w:rPr>
              <w:t>年修改单中</w:t>
            </w:r>
            <w:r>
              <w:rPr>
                <w:rFonts w:hint="eastAsia" w:ascii="Times New Roman" w:hAnsi="宋体"/>
                <w:sz w:val="24"/>
                <w:szCs w:val="24"/>
              </w:rPr>
              <w:t>二级标准，细颗粒物（</w:t>
            </w:r>
            <w:r>
              <w:rPr>
                <w:rFonts w:ascii="Times New Roman" w:hAnsi="Times New Roman"/>
                <w:sz w:val="24"/>
                <w:szCs w:val="24"/>
              </w:rPr>
              <w:t>PM</w:t>
            </w:r>
            <w:r>
              <w:rPr>
                <w:rFonts w:ascii="Times New Roman" w:hAnsi="Times New Roman"/>
                <w:sz w:val="24"/>
                <w:szCs w:val="24"/>
                <w:vertAlign w:val="subscript"/>
              </w:rPr>
              <w:t>2.5</w:t>
            </w:r>
            <w:r>
              <w:rPr>
                <w:rFonts w:hint="eastAsia" w:ascii="Times New Roman" w:hAnsi="宋体"/>
                <w:sz w:val="24"/>
                <w:szCs w:val="24"/>
              </w:rPr>
              <w:t>）年均浓度超过《环境空气质量标准》（</w:t>
            </w:r>
            <w:r>
              <w:rPr>
                <w:rFonts w:ascii="Times New Roman" w:hAnsi="Times New Roman"/>
                <w:sz w:val="24"/>
                <w:szCs w:val="24"/>
              </w:rPr>
              <w:t>GB3095-2012</w:t>
            </w:r>
            <w:r>
              <w:rPr>
                <w:rFonts w:hint="eastAsia" w:ascii="Times New Roman" w:hAnsi="宋体"/>
                <w:sz w:val="24"/>
                <w:szCs w:val="24"/>
              </w:rPr>
              <w:t>）</w:t>
            </w:r>
            <w:r>
              <w:rPr>
                <w:rFonts w:hint="eastAsia" w:ascii="Times New Roman" w:hAnsi="Times New Roman"/>
                <w:sz w:val="24"/>
                <w:szCs w:val="21"/>
              </w:rPr>
              <w:t>及</w:t>
            </w:r>
            <w:r>
              <w:rPr>
                <w:rFonts w:ascii="Times New Roman" w:hAnsi="Times New Roman"/>
                <w:sz w:val="24"/>
                <w:szCs w:val="21"/>
              </w:rPr>
              <w:t>2018</w:t>
            </w:r>
            <w:r>
              <w:rPr>
                <w:rFonts w:hint="eastAsia" w:ascii="Times New Roman" w:hAnsi="Times New Roman"/>
                <w:sz w:val="24"/>
                <w:szCs w:val="21"/>
              </w:rPr>
              <w:t>年修改单中</w:t>
            </w:r>
            <w:r>
              <w:rPr>
                <w:rFonts w:hint="eastAsia" w:ascii="Times New Roman" w:hAnsi="宋体"/>
                <w:sz w:val="24"/>
                <w:szCs w:val="24"/>
              </w:rPr>
              <w:t>二级标准限值要求</w:t>
            </w:r>
            <w:r>
              <w:rPr>
                <w:rFonts w:hint="eastAsia" w:ascii="Times New Roman" w:hAnsi="Times New Roman"/>
                <w:sz w:val="24"/>
                <w:szCs w:val="24"/>
              </w:rPr>
              <w:t>。因此，项目所在评价区域为不达标区。</w:t>
            </w:r>
          </w:p>
          <w:p w14:paraId="4A0E6800">
            <w:pPr>
              <w:widowControl/>
              <w:spacing w:line="360" w:lineRule="auto"/>
              <w:ind w:firstLine="480" w:firstLineChars="200"/>
              <w:rPr>
                <w:rFonts w:ascii="Times New Roman" w:hAnsi="Times New Roman"/>
                <w:sz w:val="24"/>
                <w:szCs w:val="21"/>
              </w:rPr>
            </w:pPr>
            <w:r>
              <w:rPr>
                <w:rFonts w:hint="eastAsia" w:ascii="Times New Roman" w:hAnsi="Times New Roman"/>
                <w:kern w:val="0"/>
                <w:sz w:val="24"/>
                <w:szCs w:val="24"/>
              </w:rPr>
              <w:t>淮南市生态环境局就空气质量不达标提出一系列举措，为确保淮南市大气污染防治工作有效推进，</w:t>
            </w:r>
            <w:r>
              <w:rPr>
                <w:rFonts w:hint="eastAsia" w:ascii="Times New Roman" w:hAnsi="Times New Roman"/>
                <w:sz w:val="24"/>
                <w:szCs w:val="21"/>
              </w:rPr>
              <w:t>目前，淮南市已制订《淮南市“十四五”大气污染防治规划（</w:t>
            </w:r>
            <w:r>
              <w:rPr>
                <w:rFonts w:ascii="Times New Roman" w:hAnsi="Times New Roman"/>
                <w:sz w:val="24"/>
                <w:szCs w:val="21"/>
              </w:rPr>
              <w:t>2021-2025</w:t>
            </w:r>
            <w:r>
              <w:rPr>
                <w:rFonts w:hint="eastAsia" w:ascii="Times New Roman" w:hAnsi="Times New Roman"/>
                <w:sz w:val="24"/>
                <w:szCs w:val="21"/>
              </w:rPr>
              <w:t>年）》，围绕工业大气污染治理、扬（烟）尘污染防治等开展专项治理活动，进一步削减大气污染物排放。</w:t>
            </w:r>
          </w:p>
          <w:p w14:paraId="0225D854">
            <w:pPr>
              <w:spacing w:line="360" w:lineRule="auto"/>
              <w:ind w:firstLine="482" w:firstLineChars="200"/>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w:t>
            </w:r>
            <w:r>
              <w:rPr>
                <w:rFonts w:hint="eastAsia" w:ascii="Times New Roman" w:hAnsi="Times New Roman" w:eastAsia="宋体" w:cs="Times New Roman"/>
                <w:b/>
                <w:kern w:val="0"/>
                <w:sz w:val="24"/>
                <w:szCs w:val="24"/>
              </w:rPr>
              <w:t>2</w:t>
            </w:r>
            <w:r>
              <w:rPr>
                <w:rFonts w:ascii="Times New Roman" w:hAnsi="Times New Roman" w:eastAsia="宋体" w:cs="Times New Roman"/>
                <w:b/>
                <w:kern w:val="0"/>
                <w:sz w:val="24"/>
                <w:szCs w:val="24"/>
              </w:rPr>
              <w:t>）其他污染物补充监测结果</w:t>
            </w:r>
          </w:p>
          <w:p w14:paraId="6ACD26D5">
            <w:pPr>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本项目涉及的其他污染物为TSP和非甲烷总烃。</w:t>
            </w:r>
          </w:p>
          <w:p w14:paraId="713C98A4">
            <w:pPr>
              <w:spacing w:line="360" w:lineRule="auto"/>
              <w:ind w:firstLine="480" w:firstLineChars="200"/>
              <w:rPr>
                <w:rFonts w:ascii="Times New Roman" w:hAnsi="Times New Roman" w:cs="Times New Roman"/>
                <w:sz w:val="24"/>
                <w:szCs w:val="24"/>
              </w:rPr>
            </w:pPr>
            <w:r>
              <w:rPr>
                <w:rFonts w:hint="eastAsia" w:ascii="Times New Roman" w:hAnsi="Times New Roman" w:eastAsia="宋体" w:cs="Times New Roman"/>
                <w:kern w:val="0"/>
                <w:sz w:val="24"/>
                <w:szCs w:val="24"/>
              </w:rPr>
              <w:t>项目TSP、非甲烷总烃</w:t>
            </w:r>
            <w:r>
              <w:rPr>
                <w:rFonts w:ascii="Times New Roman" w:hAnsi="Times New Roman" w:cs="Times New Roman"/>
                <w:sz w:val="24"/>
                <w:szCs w:val="24"/>
              </w:rPr>
              <w:t>引用</w:t>
            </w:r>
            <w:r>
              <w:rPr>
                <w:rFonts w:ascii="Times New Roman" w:hAnsi="Times New Roman"/>
                <w:sz w:val="24"/>
                <w:szCs w:val="24"/>
              </w:rPr>
              <w:t>《再生资源有限公司年处理</w:t>
            </w:r>
            <w:r>
              <w:rPr>
                <w:rFonts w:hint="eastAsia" w:ascii="Times New Roman" w:hAnsi="Times New Roman"/>
                <w:sz w:val="24"/>
                <w:szCs w:val="24"/>
              </w:rPr>
              <w:t>10万吨铝塑综合利用项目环境影响报告表</w:t>
            </w:r>
            <w:r>
              <w:rPr>
                <w:rFonts w:ascii="Times New Roman" w:hAnsi="Times New Roman"/>
                <w:sz w:val="24"/>
                <w:szCs w:val="24"/>
              </w:rPr>
              <w:t>》中的监测数据。监测</w:t>
            </w:r>
            <w:r>
              <w:rPr>
                <w:rFonts w:hint="eastAsia" w:ascii="Times New Roman" w:hAnsi="Times New Roman" w:cs="Times New Roman"/>
                <w:sz w:val="24"/>
                <w:szCs w:val="24"/>
              </w:rPr>
              <w:t>时间为</w:t>
            </w:r>
            <w:r>
              <w:rPr>
                <w:rFonts w:ascii="Times New Roman" w:hAnsi="Times New Roman" w:cs="Times New Roman"/>
                <w:sz w:val="24"/>
                <w:szCs w:val="24"/>
              </w:rPr>
              <w:t>202</w:t>
            </w:r>
            <w:r>
              <w:rPr>
                <w:rFonts w:hint="eastAsia" w:ascii="Times New Roman" w:hAnsi="Times New Roman" w:cs="Times New Roman"/>
                <w:sz w:val="24"/>
                <w:szCs w:val="24"/>
              </w:rPr>
              <w:t>4</w:t>
            </w:r>
            <w:r>
              <w:rPr>
                <w:rFonts w:ascii="Times New Roman" w:hAnsi="Times New Roman" w:cs="Times New Roman"/>
                <w:sz w:val="24"/>
                <w:szCs w:val="24"/>
              </w:rPr>
              <w:t>年</w:t>
            </w:r>
            <w:r>
              <w:rPr>
                <w:rFonts w:hint="eastAsia" w:ascii="Times New Roman" w:hAnsi="Times New Roman" w:cs="Times New Roman"/>
                <w:sz w:val="24"/>
                <w:szCs w:val="24"/>
              </w:rPr>
              <w:t>5</w:t>
            </w:r>
            <w:r>
              <w:rPr>
                <w:rFonts w:ascii="Times New Roman" w:hAnsi="Times New Roman" w:cs="Times New Roman"/>
                <w:sz w:val="24"/>
                <w:szCs w:val="24"/>
              </w:rPr>
              <w:t>月</w:t>
            </w:r>
            <w:r>
              <w:rPr>
                <w:rFonts w:hint="eastAsia" w:ascii="Times New Roman" w:hAnsi="Times New Roman" w:cs="Times New Roman"/>
                <w:sz w:val="24"/>
                <w:szCs w:val="24"/>
              </w:rPr>
              <w:t>24</w:t>
            </w:r>
            <w:r>
              <w:rPr>
                <w:rFonts w:ascii="Times New Roman" w:hAnsi="Times New Roman" w:cs="Times New Roman"/>
                <w:sz w:val="24"/>
                <w:szCs w:val="24"/>
              </w:rPr>
              <w:t>日至202</w:t>
            </w:r>
            <w:r>
              <w:rPr>
                <w:rFonts w:hint="eastAsia" w:ascii="Times New Roman" w:hAnsi="Times New Roman" w:cs="Times New Roman"/>
                <w:sz w:val="24"/>
                <w:szCs w:val="24"/>
              </w:rPr>
              <w:t>4</w:t>
            </w:r>
            <w:r>
              <w:rPr>
                <w:rFonts w:ascii="Times New Roman" w:hAnsi="Times New Roman" w:cs="Times New Roman"/>
                <w:sz w:val="24"/>
                <w:szCs w:val="24"/>
              </w:rPr>
              <w:t>年</w:t>
            </w:r>
            <w:r>
              <w:rPr>
                <w:rFonts w:hint="eastAsia" w:ascii="Times New Roman" w:hAnsi="Times New Roman" w:cs="Times New Roman"/>
                <w:sz w:val="24"/>
                <w:szCs w:val="24"/>
              </w:rPr>
              <w:t>5</w:t>
            </w:r>
            <w:r>
              <w:rPr>
                <w:rFonts w:ascii="Times New Roman" w:hAnsi="Times New Roman" w:cs="Times New Roman"/>
                <w:sz w:val="24"/>
                <w:szCs w:val="24"/>
              </w:rPr>
              <w:t>月</w:t>
            </w:r>
            <w:r>
              <w:rPr>
                <w:rFonts w:hint="eastAsia" w:ascii="Times New Roman" w:hAnsi="Times New Roman" w:cs="Times New Roman"/>
                <w:sz w:val="24"/>
                <w:szCs w:val="24"/>
              </w:rPr>
              <w:t>26</w:t>
            </w:r>
            <w:r>
              <w:rPr>
                <w:rFonts w:ascii="Times New Roman" w:hAnsi="Times New Roman" w:cs="Times New Roman"/>
                <w:sz w:val="24"/>
                <w:szCs w:val="24"/>
              </w:rPr>
              <w:t>日，监测点位设置在</w:t>
            </w:r>
            <w:r>
              <w:rPr>
                <w:rFonts w:hint="eastAsia" w:ascii="Times New Roman" w:hAnsi="Times New Roman" w:cs="Times New Roman"/>
                <w:sz w:val="24"/>
                <w:szCs w:val="24"/>
              </w:rPr>
              <w:t>孟岗村，</w:t>
            </w:r>
            <w:r>
              <w:rPr>
                <w:rFonts w:ascii="Times New Roman" w:hAnsi="Times New Roman" w:cs="Times New Roman"/>
                <w:sz w:val="24"/>
                <w:szCs w:val="24"/>
              </w:rPr>
              <w:t>距离本项目约</w:t>
            </w:r>
            <w:r>
              <w:rPr>
                <w:rFonts w:hint="eastAsia" w:ascii="Times New Roman" w:hAnsi="Times New Roman" w:cs="Times New Roman"/>
                <w:sz w:val="24"/>
                <w:szCs w:val="24"/>
              </w:rPr>
              <w:t>1103m，</w:t>
            </w:r>
            <w:r>
              <w:rPr>
                <w:rFonts w:ascii="Times New Roman" w:hAnsi="Times New Roman" w:cs="Times New Roman"/>
                <w:sz w:val="24"/>
                <w:szCs w:val="24"/>
              </w:rPr>
              <w:t>属于本项目周边5千米范围内近3年的现有监测数据，数据引用符合规定项目与引用点位置关系图见附图</w:t>
            </w:r>
            <w:r>
              <w:rPr>
                <w:rFonts w:hint="eastAsia" w:ascii="Times New Roman" w:hAnsi="Times New Roman" w:cs="Times New Roman"/>
                <w:sz w:val="24"/>
                <w:szCs w:val="24"/>
              </w:rPr>
              <w:t>。</w:t>
            </w:r>
          </w:p>
          <w:p w14:paraId="5447433D">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具体监测结果统计见下表：</w:t>
            </w:r>
          </w:p>
          <w:p w14:paraId="286B4DF8">
            <w:pPr>
              <w:adjustRightInd w:val="0"/>
              <w:spacing w:line="360" w:lineRule="auto"/>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表</w:t>
            </w:r>
            <w:r>
              <w:rPr>
                <w:rFonts w:hint="eastAsia" w:ascii="Times New Roman" w:hAnsi="Times New Roman" w:eastAsia="黑体" w:cs="Times New Roman"/>
                <w:kern w:val="0"/>
                <w:sz w:val="24"/>
                <w:szCs w:val="24"/>
              </w:rPr>
              <w:t xml:space="preserve">3-2  </w:t>
            </w:r>
            <w:r>
              <w:rPr>
                <w:rFonts w:ascii="Times New Roman" w:hAnsi="Times New Roman" w:eastAsia="黑体" w:cs="Times New Roman"/>
                <w:kern w:val="0"/>
                <w:sz w:val="24"/>
                <w:szCs w:val="24"/>
              </w:rPr>
              <w:t>项目区大气环境现状监测结果一览表</w:t>
            </w:r>
          </w:p>
          <w:tbl>
            <w:tblPr>
              <w:tblStyle w:val="18"/>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08"/>
              <w:gridCol w:w="785"/>
              <w:gridCol w:w="728"/>
              <w:gridCol w:w="1221"/>
              <w:gridCol w:w="1817"/>
              <w:gridCol w:w="1064"/>
              <w:gridCol w:w="923"/>
              <w:gridCol w:w="604"/>
            </w:tblGrid>
            <w:tr w14:paraId="210F58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E8461FB">
                  <w:pPr>
                    <w:adjustRightInd w:val="0"/>
                    <w:spacing w:line="276"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监测点位</w:t>
                  </w:r>
                </w:p>
              </w:tc>
              <w:tc>
                <w:tcPr>
                  <w:tcW w:w="785" w:type="dxa"/>
                  <w:vAlign w:val="center"/>
                </w:tcPr>
                <w:p w14:paraId="3A39B794">
                  <w:pPr>
                    <w:adjustRightInd w:val="0"/>
                    <w:spacing w:line="276"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监测因子</w:t>
                  </w:r>
                </w:p>
              </w:tc>
              <w:tc>
                <w:tcPr>
                  <w:tcW w:w="728" w:type="dxa"/>
                  <w:vAlign w:val="center"/>
                </w:tcPr>
                <w:p w14:paraId="73F4DB09">
                  <w:pPr>
                    <w:adjustRightInd w:val="0"/>
                    <w:spacing w:line="276"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平均时间</w:t>
                  </w:r>
                </w:p>
              </w:tc>
              <w:tc>
                <w:tcPr>
                  <w:tcW w:w="1221" w:type="dxa"/>
                  <w:vAlign w:val="center"/>
                </w:tcPr>
                <w:p w14:paraId="16DAF798">
                  <w:pPr>
                    <w:adjustRightInd w:val="0"/>
                    <w:spacing w:line="276"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评价标准（mg/m</w:t>
                  </w:r>
                  <w:r>
                    <w:rPr>
                      <w:rFonts w:ascii="Times New Roman" w:hAnsi="Times New Roman" w:eastAsia="宋体" w:cs="Times New Roman"/>
                      <w:b/>
                      <w:kern w:val="0"/>
                      <w:szCs w:val="21"/>
                      <w:vertAlign w:val="superscript"/>
                    </w:rPr>
                    <w:t>3</w:t>
                  </w:r>
                  <w:r>
                    <w:rPr>
                      <w:rFonts w:ascii="Times New Roman" w:hAnsi="Times New Roman" w:eastAsia="宋体" w:cs="Times New Roman"/>
                      <w:b/>
                      <w:kern w:val="0"/>
                      <w:szCs w:val="21"/>
                    </w:rPr>
                    <w:t>）</w:t>
                  </w:r>
                </w:p>
              </w:tc>
              <w:tc>
                <w:tcPr>
                  <w:tcW w:w="1817" w:type="dxa"/>
                  <w:vAlign w:val="center"/>
                </w:tcPr>
                <w:p w14:paraId="4BCF8F04">
                  <w:pPr>
                    <w:adjustRightInd w:val="0"/>
                    <w:spacing w:line="276"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监测浓度范围（mg/m</w:t>
                  </w:r>
                  <w:r>
                    <w:rPr>
                      <w:rFonts w:ascii="Times New Roman" w:hAnsi="Times New Roman" w:eastAsia="宋体" w:cs="Times New Roman"/>
                      <w:b/>
                      <w:kern w:val="0"/>
                      <w:szCs w:val="21"/>
                      <w:vertAlign w:val="superscript"/>
                    </w:rPr>
                    <w:t>3</w:t>
                  </w:r>
                  <w:r>
                    <w:rPr>
                      <w:rFonts w:ascii="Times New Roman" w:hAnsi="Times New Roman" w:eastAsia="宋体" w:cs="Times New Roman"/>
                      <w:b/>
                      <w:kern w:val="0"/>
                      <w:szCs w:val="21"/>
                    </w:rPr>
                    <w:t>）</w:t>
                  </w:r>
                </w:p>
              </w:tc>
              <w:tc>
                <w:tcPr>
                  <w:tcW w:w="1064" w:type="dxa"/>
                  <w:vAlign w:val="center"/>
                </w:tcPr>
                <w:p w14:paraId="4C445A2D">
                  <w:pPr>
                    <w:adjustRightInd w:val="0"/>
                    <w:spacing w:line="276"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最大浓度占标率（%）</w:t>
                  </w:r>
                </w:p>
              </w:tc>
              <w:tc>
                <w:tcPr>
                  <w:tcW w:w="923" w:type="dxa"/>
                  <w:vAlign w:val="center"/>
                </w:tcPr>
                <w:p w14:paraId="0B8C6C99">
                  <w:pPr>
                    <w:adjustRightInd w:val="0"/>
                    <w:spacing w:line="276"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超标率（%）</w:t>
                  </w:r>
                </w:p>
              </w:tc>
              <w:tc>
                <w:tcPr>
                  <w:tcW w:w="604" w:type="dxa"/>
                  <w:vAlign w:val="center"/>
                </w:tcPr>
                <w:p w14:paraId="75A0A3A8">
                  <w:pPr>
                    <w:adjustRightInd w:val="0"/>
                    <w:spacing w:line="276" w:lineRule="auto"/>
                    <w:jc w:val="center"/>
                    <w:rPr>
                      <w:rFonts w:ascii="Times New Roman" w:hAnsi="Times New Roman" w:eastAsia="宋体" w:cs="Times New Roman"/>
                      <w:b/>
                      <w:kern w:val="0"/>
                      <w:szCs w:val="21"/>
                    </w:rPr>
                  </w:pPr>
                  <w:r>
                    <w:rPr>
                      <w:rFonts w:ascii="Times New Roman" w:hAnsi="Times New Roman" w:eastAsia="宋体" w:cs="Times New Roman"/>
                      <w:b/>
                      <w:kern w:val="0"/>
                      <w:szCs w:val="21"/>
                    </w:rPr>
                    <w:t>达标情况</w:t>
                  </w:r>
                </w:p>
              </w:tc>
            </w:tr>
            <w:tr w14:paraId="7090F86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708" w:type="dxa"/>
                  <w:vMerge w:val="restart"/>
                  <w:vAlign w:val="center"/>
                </w:tcPr>
                <w:p w14:paraId="0D507769">
                  <w:pPr>
                    <w:adjustRightInd w:val="0"/>
                    <w:spacing w:line="276" w:lineRule="auto"/>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孟岗村</w:t>
                  </w:r>
                </w:p>
              </w:tc>
              <w:tc>
                <w:tcPr>
                  <w:tcW w:w="785" w:type="dxa"/>
                  <w:vAlign w:val="center"/>
                </w:tcPr>
                <w:p w14:paraId="31118E36">
                  <w:pPr>
                    <w:adjustRightInd w:val="0"/>
                    <w:spacing w:line="276"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TSP</w:t>
                  </w:r>
                </w:p>
              </w:tc>
              <w:tc>
                <w:tcPr>
                  <w:tcW w:w="728" w:type="dxa"/>
                  <w:vAlign w:val="center"/>
                </w:tcPr>
                <w:p w14:paraId="148220D2">
                  <w:pPr>
                    <w:adjustRightInd w:val="0"/>
                    <w:spacing w:line="276" w:lineRule="auto"/>
                    <w:jc w:val="center"/>
                    <w:rPr>
                      <w:rFonts w:ascii="Times New Roman" w:hAnsi="Times New Roman" w:eastAsia="宋体" w:cs="Times New Roman"/>
                      <w:kern w:val="0"/>
                      <w:szCs w:val="21"/>
                    </w:rPr>
                  </w:pPr>
                  <w:r>
                    <w:rPr>
                      <w:rFonts w:hint="eastAsia" w:ascii="Times New Roman" w:hAnsi="Times New Roman" w:eastAsia="宋体" w:cs="Times New Roman"/>
                      <w:snapToGrid w:val="0"/>
                      <w:kern w:val="0"/>
                      <w:szCs w:val="21"/>
                    </w:rPr>
                    <w:t>日</w:t>
                  </w:r>
                  <w:r>
                    <w:rPr>
                      <w:rFonts w:ascii="Times New Roman" w:hAnsi="Times New Roman" w:eastAsia="宋体" w:cs="Times New Roman"/>
                      <w:snapToGrid w:val="0"/>
                      <w:kern w:val="0"/>
                      <w:szCs w:val="21"/>
                    </w:rPr>
                    <w:t>均值</w:t>
                  </w:r>
                </w:p>
              </w:tc>
              <w:tc>
                <w:tcPr>
                  <w:tcW w:w="1221" w:type="dxa"/>
                  <w:vAlign w:val="center"/>
                </w:tcPr>
                <w:p w14:paraId="340039EE">
                  <w:pPr>
                    <w:adjustRightInd w:val="0"/>
                    <w:spacing w:line="276"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0.3</w:t>
                  </w:r>
                </w:p>
              </w:tc>
              <w:tc>
                <w:tcPr>
                  <w:tcW w:w="1817" w:type="dxa"/>
                  <w:vAlign w:val="center"/>
                </w:tcPr>
                <w:p w14:paraId="1A4BC9DA">
                  <w:pPr>
                    <w:adjustRightInd w:val="0"/>
                    <w:spacing w:line="276" w:lineRule="auto"/>
                    <w:jc w:val="center"/>
                    <w:rPr>
                      <w:rFonts w:ascii="Times New Roman" w:hAnsi="Times New Roman" w:eastAsia="宋体" w:cs="Times New Roman"/>
                      <w:kern w:val="0"/>
                      <w:szCs w:val="21"/>
                      <w:highlight w:val="yellow"/>
                    </w:rPr>
                  </w:pPr>
                  <w:r>
                    <w:rPr>
                      <w:rFonts w:hint="eastAsia" w:ascii="Times New Roman" w:hAnsi="Times New Roman" w:eastAsia="宋体" w:cs="Times New Roman"/>
                      <w:kern w:val="0"/>
                      <w:szCs w:val="21"/>
                    </w:rPr>
                    <w:t>0.186~0.206</w:t>
                  </w:r>
                </w:p>
              </w:tc>
              <w:tc>
                <w:tcPr>
                  <w:tcW w:w="1064" w:type="dxa"/>
                  <w:vAlign w:val="center"/>
                </w:tcPr>
                <w:p w14:paraId="2BFCE65E">
                  <w:pPr>
                    <w:adjustRightInd w:val="0"/>
                    <w:spacing w:line="276" w:lineRule="auto"/>
                    <w:jc w:val="center"/>
                    <w:rPr>
                      <w:rFonts w:ascii="Times New Roman" w:hAnsi="Times New Roman" w:eastAsia="宋体" w:cs="Times New Roman"/>
                      <w:kern w:val="0"/>
                      <w:szCs w:val="21"/>
                      <w:highlight w:val="yellow"/>
                    </w:rPr>
                  </w:pPr>
                  <w:r>
                    <w:rPr>
                      <w:rFonts w:hint="eastAsia" w:ascii="Times New Roman" w:hAnsi="Times New Roman" w:eastAsia="宋体" w:cs="Times New Roman"/>
                      <w:kern w:val="0"/>
                      <w:szCs w:val="21"/>
                    </w:rPr>
                    <w:t>68.7</w:t>
                  </w:r>
                </w:p>
              </w:tc>
              <w:tc>
                <w:tcPr>
                  <w:tcW w:w="923" w:type="dxa"/>
                  <w:vMerge w:val="restart"/>
                  <w:vAlign w:val="center"/>
                </w:tcPr>
                <w:p w14:paraId="3CED38F6">
                  <w:pPr>
                    <w:adjustRightInd w:val="0"/>
                    <w:spacing w:line="276"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0</w:t>
                  </w:r>
                </w:p>
              </w:tc>
              <w:tc>
                <w:tcPr>
                  <w:tcW w:w="604" w:type="dxa"/>
                  <w:vMerge w:val="restart"/>
                  <w:vAlign w:val="center"/>
                </w:tcPr>
                <w:p w14:paraId="1428E1D4">
                  <w:pPr>
                    <w:adjustRightInd w:val="0"/>
                    <w:spacing w:line="276"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达标</w:t>
                  </w:r>
                </w:p>
              </w:tc>
            </w:tr>
            <w:tr w14:paraId="79B58C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708" w:type="dxa"/>
                  <w:vMerge w:val="continue"/>
                  <w:vAlign w:val="center"/>
                </w:tcPr>
                <w:p w14:paraId="0B783FAA">
                  <w:pPr>
                    <w:adjustRightInd w:val="0"/>
                    <w:spacing w:line="276" w:lineRule="auto"/>
                    <w:jc w:val="center"/>
                    <w:rPr>
                      <w:rFonts w:ascii="Times New Roman" w:hAnsi="Times New Roman" w:eastAsia="宋体" w:cs="Times New Roman"/>
                      <w:kern w:val="0"/>
                      <w:szCs w:val="21"/>
                    </w:rPr>
                  </w:pPr>
                </w:p>
              </w:tc>
              <w:tc>
                <w:tcPr>
                  <w:tcW w:w="785" w:type="dxa"/>
                  <w:vAlign w:val="center"/>
                </w:tcPr>
                <w:p w14:paraId="74D4B88B">
                  <w:pPr>
                    <w:adjustRightInd w:val="0"/>
                    <w:spacing w:line="276" w:lineRule="auto"/>
                    <w:jc w:val="center"/>
                    <w:rPr>
                      <w:rFonts w:ascii="Times New Roman" w:hAnsi="Times New Roman" w:eastAsia="宋体" w:cs="Times New Roman"/>
                      <w:kern w:val="0"/>
                      <w:szCs w:val="21"/>
                    </w:rPr>
                  </w:pPr>
                  <w:r>
                    <w:rPr>
                      <w:rFonts w:ascii="Times New Roman" w:hAnsi="Times New Roman" w:eastAsia="宋体" w:cs="Times New Roman"/>
                      <w:kern w:val="0"/>
                      <w:szCs w:val="21"/>
                    </w:rPr>
                    <w:t>非甲烷总烃</w:t>
                  </w:r>
                </w:p>
              </w:tc>
              <w:tc>
                <w:tcPr>
                  <w:tcW w:w="728" w:type="dxa"/>
                  <w:vAlign w:val="center"/>
                </w:tcPr>
                <w:p w14:paraId="06A55CA4">
                  <w:pPr>
                    <w:adjustRightInd w:val="0"/>
                    <w:spacing w:line="276" w:lineRule="auto"/>
                    <w:jc w:val="center"/>
                    <w:rPr>
                      <w:rFonts w:ascii="Times New Roman" w:hAnsi="Times New Roman" w:eastAsia="宋体" w:cs="Times New Roman"/>
                      <w:snapToGrid w:val="0"/>
                      <w:kern w:val="0"/>
                      <w:szCs w:val="21"/>
                    </w:rPr>
                  </w:pPr>
                  <w:r>
                    <w:rPr>
                      <w:rFonts w:hint="eastAsia" w:ascii="Times New Roman" w:hAnsi="Times New Roman" w:eastAsia="宋体" w:cs="Times New Roman"/>
                      <w:snapToGrid w:val="0"/>
                      <w:kern w:val="0"/>
                      <w:szCs w:val="21"/>
                    </w:rPr>
                    <w:t>小时值</w:t>
                  </w:r>
                </w:p>
              </w:tc>
              <w:tc>
                <w:tcPr>
                  <w:tcW w:w="1221" w:type="dxa"/>
                  <w:vAlign w:val="center"/>
                </w:tcPr>
                <w:p w14:paraId="4DEA4869">
                  <w:pPr>
                    <w:adjustRightInd w:val="0"/>
                    <w:spacing w:line="276" w:lineRule="auto"/>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2.0</w:t>
                  </w:r>
                </w:p>
              </w:tc>
              <w:tc>
                <w:tcPr>
                  <w:tcW w:w="1817" w:type="dxa"/>
                  <w:vAlign w:val="center"/>
                </w:tcPr>
                <w:p w14:paraId="37FE2CCE">
                  <w:pPr>
                    <w:adjustRightInd w:val="0"/>
                    <w:spacing w:line="276" w:lineRule="auto"/>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0.79~0.88</w:t>
                  </w:r>
                </w:p>
              </w:tc>
              <w:tc>
                <w:tcPr>
                  <w:tcW w:w="1064" w:type="dxa"/>
                  <w:vAlign w:val="center"/>
                </w:tcPr>
                <w:p w14:paraId="27E1296D">
                  <w:pPr>
                    <w:adjustRightInd w:val="0"/>
                    <w:spacing w:line="276" w:lineRule="auto"/>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44</w:t>
                  </w:r>
                </w:p>
              </w:tc>
              <w:tc>
                <w:tcPr>
                  <w:tcW w:w="923" w:type="dxa"/>
                  <w:vMerge w:val="continue"/>
                  <w:vAlign w:val="center"/>
                </w:tcPr>
                <w:p w14:paraId="201B004E">
                  <w:pPr>
                    <w:adjustRightInd w:val="0"/>
                    <w:spacing w:line="276" w:lineRule="auto"/>
                    <w:jc w:val="center"/>
                    <w:rPr>
                      <w:rFonts w:ascii="Times New Roman" w:hAnsi="Times New Roman" w:eastAsia="宋体" w:cs="Times New Roman"/>
                      <w:kern w:val="0"/>
                      <w:szCs w:val="21"/>
                    </w:rPr>
                  </w:pPr>
                </w:p>
              </w:tc>
              <w:tc>
                <w:tcPr>
                  <w:tcW w:w="604" w:type="dxa"/>
                  <w:vMerge w:val="continue"/>
                  <w:vAlign w:val="center"/>
                </w:tcPr>
                <w:p w14:paraId="4BE1765D">
                  <w:pPr>
                    <w:adjustRightInd w:val="0"/>
                    <w:spacing w:line="276" w:lineRule="auto"/>
                    <w:jc w:val="center"/>
                    <w:rPr>
                      <w:rFonts w:ascii="Times New Roman" w:hAnsi="Times New Roman" w:eastAsia="宋体" w:cs="Times New Roman"/>
                      <w:kern w:val="0"/>
                      <w:szCs w:val="21"/>
                    </w:rPr>
                  </w:pPr>
                </w:p>
              </w:tc>
            </w:tr>
          </w:tbl>
          <w:p w14:paraId="3DDAE3DA">
            <w:pPr>
              <w:adjustRightIn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根据上表可知，</w:t>
            </w:r>
            <w:r>
              <w:rPr>
                <w:rFonts w:hint="eastAsia" w:ascii="Times New Roman" w:hAnsi="Times New Roman" w:eastAsia="宋体" w:cs="Times New Roman"/>
                <w:kern w:val="0"/>
                <w:sz w:val="24"/>
                <w:szCs w:val="24"/>
              </w:rPr>
              <w:t>孟岗村</w:t>
            </w:r>
            <w:r>
              <w:rPr>
                <w:rFonts w:ascii="Times New Roman" w:hAnsi="Times New Roman" w:eastAsia="宋体" w:cs="Times New Roman"/>
                <w:kern w:val="0"/>
                <w:sz w:val="24"/>
                <w:szCs w:val="24"/>
              </w:rPr>
              <w:t>监测点的TSP日均值现状监测结果满足《环境空气质量标准》（GB3095-2012）的二级标准</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非甲烷总烃</w:t>
            </w:r>
            <w:r>
              <w:rPr>
                <w:rFonts w:hint="eastAsia" w:ascii="Times New Roman" w:hAnsi="Times New Roman" w:eastAsia="宋体" w:cs="Times New Roman"/>
                <w:kern w:val="0"/>
                <w:sz w:val="24"/>
                <w:szCs w:val="24"/>
              </w:rPr>
              <w:t>小时</w:t>
            </w:r>
            <w:r>
              <w:rPr>
                <w:rFonts w:ascii="Times New Roman" w:hAnsi="Times New Roman" w:eastAsia="宋体" w:cs="Times New Roman"/>
                <w:kern w:val="0"/>
                <w:sz w:val="24"/>
                <w:szCs w:val="24"/>
              </w:rPr>
              <w:t>值现状监测结果满足《</w:t>
            </w:r>
            <w:r>
              <w:rPr>
                <w:rFonts w:hint="eastAsia" w:ascii="Times New Roman" w:hAnsi="Times New Roman" w:eastAsia="宋体" w:cs="Times New Roman"/>
                <w:kern w:val="0"/>
                <w:sz w:val="24"/>
                <w:szCs w:val="24"/>
              </w:rPr>
              <w:t>大气污染物</w:t>
            </w:r>
            <w:r>
              <w:rPr>
                <w:rFonts w:ascii="Times New Roman" w:hAnsi="Times New Roman" w:eastAsia="宋体" w:cs="Times New Roman"/>
                <w:kern w:val="0"/>
                <w:sz w:val="24"/>
                <w:szCs w:val="24"/>
              </w:rPr>
              <w:t>综合排放标准》（GB</w:t>
            </w:r>
            <w:r>
              <w:rPr>
                <w:rFonts w:hint="eastAsia" w:ascii="Times New Roman" w:hAnsi="Times New Roman" w:eastAsia="宋体" w:cs="Times New Roman"/>
                <w:kern w:val="0"/>
                <w:sz w:val="24"/>
                <w:szCs w:val="24"/>
              </w:rPr>
              <w:t>16297</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1996</w:t>
            </w:r>
            <w:r>
              <w:rPr>
                <w:rFonts w:ascii="Times New Roman" w:hAnsi="Times New Roman" w:eastAsia="宋体" w:cs="Times New Roman"/>
                <w:kern w:val="0"/>
                <w:sz w:val="24"/>
                <w:szCs w:val="24"/>
              </w:rPr>
              <w:t>）标准限值。</w:t>
            </w:r>
          </w:p>
          <w:p w14:paraId="67E63846">
            <w:pPr>
              <w:spacing w:line="360" w:lineRule="auto"/>
              <w:ind w:firstLine="482" w:firstLineChars="200"/>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2、地表水环境质量现状</w:t>
            </w:r>
          </w:p>
          <w:p w14:paraId="6F42BDAC">
            <w:pPr>
              <w:autoSpaceDE w:val="0"/>
              <w:autoSpaceDN w:val="0"/>
              <w:adjustRightInd w:val="0"/>
              <w:spacing w:line="360" w:lineRule="auto"/>
              <w:ind w:firstLine="480" w:firstLineChars="200"/>
              <w:jc w:val="left"/>
              <w:rPr>
                <w:rFonts w:ascii="Times New Roman" w:hAnsi="Times New Roman" w:cs="Times New Roman"/>
                <w:sz w:val="24"/>
              </w:rPr>
            </w:pPr>
            <w:r>
              <w:rPr>
                <w:sz w:val="24"/>
              </w:rPr>
              <w:t>与</w:t>
            </w:r>
            <w:r>
              <w:rPr>
                <w:rFonts w:ascii="Times New Roman" w:cs="Times New Roman"/>
                <w:sz w:val="24"/>
              </w:rPr>
              <w:t>本项目有关的地表水体为</w:t>
            </w:r>
            <w:r>
              <w:rPr>
                <w:rFonts w:hint="eastAsia" w:ascii="Times New Roman" w:cs="Times New Roman"/>
                <w:sz w:val="24"/>
              </w:rPr>
              <w:t>淮</w:t>
            </w:r>
            <w:r>
              <w:rPr>
                <w:rFonts w:ascii="Times New Roman" w:cs="Times New Roman"/>
                <w:sz w:val="24"/>
              </w:rPr>
              <w:t>河，</w:t>
            </w:r>
            <w:r>
              <w:rPr>
                <w:rFonts w:hint="eastAsia" w:ascii="Times New Roman" w:cs="Times New Roman"/>
                <w:sz w:val="24"/>
              </w:rPr>
              <w:t>淮</w:t>
            </w:r>
            <w:r>
              <w:rPr>
                <w:rFonts w:ascii="Times New Roman" w:cs="Times New Roman"/>
                <w:sz w:val="24"/>
              </w:rPr>
              <w:t>河水环境质量执行</w:t>
            </w:r>
            <w:r>
              <w:rPr>
                <w:rFonts w:ascii="Times New Roman" w:cs="Times New Roman"/>
                <w:spacing w:val="-2"/>
                <w:sz w:val="24"/>
              </w:rPr>
              <w:t>《地表水环境质量标准》中的</w:t>
            </w:r>
            <w:r>
              <w:rPr>
                <w:rFonts w:ascii="Times New Roman" w:hAnsi="Times New Roman" w:eastAsia="宋体" w:cs="Times New Roman"/>
                <w:spacing w:val="-2"/>
                <w:sz w:val="24"/>
              </w:rPr>
              <w:t>Ⅲ</w:t>
            </w:r>
            <w:r>
              <w:rPr>
                <w:rFonts w:ascii="Times New Roman" w:cs="Times New Roman"/>
                <w:spacing w:val="-2"/>
                <w:sz w:val="24"/>
              </w:rPr>
              <w:t>类水质标准要求。</w:t>
            </w:r>
          </w:p>
          <w:p w14:paraId="222E3A82">
            <w:pPr>
              <w:autoSpaceDE w:val="0"/>
              <w:autoSpaceDN w:val="0"/>
              <w:spacing w:line="360" w:lineRule="auto"/>
              <w:ind w:firstLine="480" w:firstLineChars="200"/>
              <w:rPr>
                <w:rFonts w:ascii="Times New Roman" w:hAnsi="Times New Roman" w:cs="Times New Roman"/>
                <w:sz w:val="24"/>
              </w:rPr>
            </w:pPr>
            <w:r>
              <w:rPr>
                <w:rFonts w:ascii="Times New Roman" w:hAnsi="Times New Roman" w:cs="Times New Roman"/>
                <w:sz w:val="24"/>
              </w:rPr>
              <w:t>根据淮南市生态环境局发</w:t>
            </w:r>
            <w:r>
              <w:rPr>
                <w:rFonts w:ascii="Times New Roman" w:hAnsi="Times New Roman" w:cs="Times New Roman"/>
                <w:color w:val="auto"/>
                <w:sz w:val="24"/>
              </w:rPr>
              <w:t>布的《202</w:t>
            </w:r>
            <w:r>
              <w:rPr>
                <w:rFonts w:hint="eastAsia" w:ascii="Times New Roman" w:hAnsi="Times New Roman" w:cs="Times New Roman"/>
                <w:color w:val="auto"/>
                <w:sz w:val="24"/>
              </w:rPr>
              <w:t>4</w:t>
            </w:r>
            <w:r>
              <w:rPr>
                <w:rFonts w:ascii="Times New Roman" w:hAnsi="Times New Roman" w:cs="Times New Roman"/>
                <w:color w:val="auto"/>
                <w:sz w:val="24"/>
              </w:rPr>
              <w:t>年淮南市</w:t>
            </w:r>
            <w:r>
              <w:rPr>
                <w:rFonts w:hint="eastAsia" w:ascii="Times New Roman" w:hAnsi="Times New Roman" w:cs="Times New Roman"/>
                <w:color w:val="auto"/>
                <w:sz w:val="24"/>
                <w:lang w:val="en-US" w:eastAsia="zh-CN"/>
              </w:rPr>
              <w:t>生态</w:t>
            </w:r>
            <w:r>
              <w:rPr>
                <w:rFonts w:ascii="Times New Roman" w:hAnsi="Times New Roman" w:cs="Times New Roman"/>
                <w:color w:val="auto"/>
                <w:sz w:val="24"/>
              </w:rPr>
              <w:t>环境质量状况公报》，202</w:t>
            </w:r>
            <w:r>
              <w:rPr>
                <w:rFonts w:hint="eastAsia" w:ascii="Times New Roman" w:hAnsi="Times New Roman" w:cs="Times New Roman"/>
                <w:color w:val="auto"/>
                <w:sz w:val="24"/>
              </w:rPr>
              <w:t>4</w:t>
            </w:r>
            <w:r>
              <w:rPr>
                <w:rFonts w:ascii="Times New Roman" w:hAnsi="Times New Roman" w:cs="Times New Roman"/>
                <w:color w:val="auto"/>
                <w:sz w:val="24"/>
              </w:rPr>
              <w:t>年，全市辖区内淮河干流水质状况为优，永幸河和丁家沟水质状况为优，西淝河、东淝河、架河、泥河、万小河、瓦西干渠、陡涧河</w:t>
            </w:r>
            <w:r>
              <w:rPr>
                <w:rFonts w:hint="eastAsia" w:ascii="Times New Roman" w:hAnsi="Times New Roman" w:cs="Times New Roman"/>
                <w:color w:val="auto"/>
                <w:sz w:val="24"/>
              </w:rPr>
              <w:t>和</w:t>
            </w:r>
            <w:r>
              <w:rPr>
                <w:rFonts w:ascii="Times New Roman" w:hAnsi="Times New Roman" w:cs="Times New Roman"/>
                <w:sz w:val="24"/>
              </w:rPr>
              <w:t>便民沟水质状况为良好。20个监测断面中优良水质比例为100%，</w:t>
            </w:r>
            <w:r>
              <w:rPr>
                <w:rFonts w:hint="eastAsia" w:ascii="Times New Roman" w:hAnsi="Times New Roman" w:cs="Times New Roman"/>
                <w:sz w:val="24"/>
              </w:rPr>
              <w:t>与去年</w:t>
            </w:r>
            <w:r>
              <w:rPr>
                <w:rFonts w:ascii="Times New Roman" w:hAnsi="Times New Roman" w:cs="Times New Roman"/>
                <w:sz w:val="24"/>
              </w:rPr>
              <w:t>持平。</w:t>
            </w:r>
          </w:p>
          <w:p w14:paraId="71AF2F69">
            <w:pPr>
              <w:autoSpaceDE w:val="0"/>
              <w:autoSpaceDN w:val="0"/>
              <w:spacing w:line="360" w:lineRule="auto"/>
              <w:ind w:firstLine="480" w:firstLineChars="200"/>
              <w:rPr>
                <w:rFonts w:ascii="Times New Roman" w:cs="Times New Roman"/>
                <w:sz w:val="24"/>
              </w:rPr>
            </w:pPr>
            <w:r>
              <w:rPr>
                <w:rFonts w:hint="eastAsia" w:ascii="Times New Roman" w:hAnsi="Times New Roman" w:cs="Times New Roman"/>
                <w:sz w:val="24"/>
              </w:rPr>
              <w:t>综上，</w:t>
            </w:r>
            <w:r>
              <w:rPr>
                <w:rFonts w:ascii="Times New Roman" w:hAnsi="Times New Roman" w:eastAsia="宋体" w:cs="Times New Roman"/>
                <w:sz w:val="24"/>
                <w:szCs w:val="24"/>
              </w:rPr>
              <w:t>项目所在区域地表水</w:t>
            </w:r>
            <w:r>
              <w:rPr>
                <w:rFonts w:hint="eastAsia" w:ascii="Times New Roman" w:hAnsi="Times New Roman" w:eastAsia="宋体" w:cs="Times New Roman"/>
                <w:sz w:val="24"/>
                <w:szCs w:val="24"/>
              </w:rPr>
              <w:t>淮河</w:t>
            </w:r>
            <w:r>
              <w:rPr>
                <w:rFonts w:ascii="Times New Roman" w:hAnsi="Times New Roman" w:eastAsia="宋体" w:cs="Times New Roman"/>
                <w:sz w:val="24"/>
                <w:szCs w:val="24"/>
              </w:rPr>
              <w:t>环境质量总体满足《地表水环境质量标准》（GB3838-2002）Ⅲ类标准，地表水水质良好。</w:t>
            </w:r>
          </w:p>
          <w:p w14:paraId="59705CE2">
            <w:pPr>
              <w:wordWrap w:val="0"/>
              <w:autoSpaceDE w:val="0"/>
              <w:autoSpaceDN w:val="0"/>
              <w:spacing w:line="360" w:lineRule="auto"/>
              <w:ind w:firstLine="482" w:firstLineChars="200"/>
              <w:jc w:val="left"/>
              <w:rPr>
                <w:rFonts w:ascii="Times New Roman" w:hAnsi="Times New Roman" w:eastAsia="宋体" w:cs="Times New Roman"/>
                <w:b/>
                <w:sz w:val="24"/>
                <w:szCs w:val="24"/>
              </w:rPr>
            </w:pPr>
            <w:r>
              <w:rPr>
                <w:rFonts w:hint="eastAsia" w:ascii="Times New Roman" w:hAnsi="Times New Roman" w:eastAsia="宋体" w:cs="Times New Roman"/>
                <w:b/>
                <w:sz w:val="24"/>
                <w:szCs w:val="24"/>
              </w:rPr>
              <w:t>3、声环境质量现状</w:t>
            </w:r>
          </w:p>
          <w:p w14:paraId="1B1433D5">
            <w:pPr>
              <w:autoSpaceDE w:val="0"/>
              <w:autoSpaceDN w:val="0"/>
              <w:spacing w:line="360" w:lineRule="auto"/>
              <w:ind w:firstLine="480" w:firstLineChars="200"/>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本项目位于安徽省淮南市谢家集区</w:t>
            </w:r>
            <w:r>
              <w:rPr>
                <w:rFonts w:hint="eastAsia" w:ascii="Times New Roman" w:hAnsi="Times New Roman" w:cs="Times New Roman"/>
                <w:sz w:val="24"/>
              </w:rPr>
              <w:t>汽配产业园3号厂房，厂界周边50m范围内无声环境保护目标，因此不进行声环境现状监测。</w:t>
            </w:r>
          </w:p>
          <w:p w14:paraId="17F7D7D6">
            <w:pPr>
              <w:wordWrap w:val="0"/>
              <w:autoSpaceDE w:val="0"/>
              <w:autoSpaceDN w:val="0"/>
              <w:spacing w:line="360" w:lineRule="auto"/>
              <w:ind w:firstLine="482" w:firstLineChars="200"/>
              <w:jc w:val="left"/>
              <w:rPr>
                <w:rFonts w:ascii="Times New Roman" w:hAnsi="Times New Roman" w:eastAsia="宋体" w:cs="Times New Roman"/>
                <w:bCs/>
                <w:sz w:val="24"/>
              </w:rPr>
            </w:pPr>
            <w:r>
              <w:rPr>
                <w:rFonts w:hint="eastAsia" w:ascii="Times New Roman" w:hAnsi="Times New Roman" w:eastAsia="宋体" w:cs="Times New Roman"/>
                <w:b/>
                <w:sz w:val="24"/>
                <w:szCs w:val="24"/>
              </w:rPr>
              <w:t>4、生态环境质量现状</w:t>
            </w:r>
          </w:p>
          <w:p w14:paraId="0290D702">
            <w:pPr>
              <w:autoSpaceDE w:val="0"/>
              <w:autoSpaceDN w:val="0"/>
              <w:spacing w:line="360" w:lineRule="auto"/>
              <w:ind w:firstLine="480" w:firstLineChars="200"/>
              <w:rPr>
                <w:rFonts w:ascii="Times New Roman" w:hAnsi="Times New Roman" w:eastAsia="宋体" w:cs="Times New Roman"/>
                <w:bCs/>
                <w:sz w:val="24"/>
              </w:rPr>
            </w:pPr>
            <w:r>
              <w:rPr>
                <w:rFonts w:hint="eastAsia" w:ascii="Times New Roman" w:hAnsi="Times New Roman" w:eastAsia="宋体" w:cs="Times New Roman"/>
                <w:bCs/>
                <w:kern w:val="0"/>
                <w:sz w:val="24"/>
                <w:szCs w:val="24"/>
              </w:rPr>
              <w:t>本项目位于安徽省淮南市谢家集区</w:t>
            </w:r>
            <w:r>
              <w:rPr>
                <w:rFonts w:hint="eastAsia" w:ascii="Times New Roman" w:hAnsi="Times New Roman" w:cs="Times New Roman"/>
                <w:sz w:val="24"/>
              </w:rPr>
              <w:t>汽配产业园3号厂房</w:t>
            </w:r>
            <w:r>
              <w:rPr>
                <w:rFonts w:hint="eastAsia" w:ascii="Times New Roman" w:hAnsi="Times New Roman" w:eastAsia="宋体" w:cs="Times New Roman"/>
                <w:bCs/>
                <w:sz w:val="24"/>
              </w:rPr>
              <w:t>，</w:t>
            </w:r>
            <w:r>
              <w:rPr>
                <w:rFonts w:ascii="Times New Roman" w:hAnsi="Times New Roman" w:eastAsia="宋体" w:cs="Times New Roman"/>
                <w:bCs/>
                <w:sz w:val="24"/>
              </w:rPr>
              <w:t>不新增用地</w:t>
            </w:r>
            <w:r>
              <w:rPr>
                <w:rFonts w:hint="eastAsia" w:ascii="Times New Roman" w:hAnsi="Times New Roman" w:eastAsia="宋体" w:cs="Times New Roman"/>
                <w:bCs/>
                <w:sz w:val="24"/>
              </w:rPr>
              <w:t>，</w:t>
            </w:r>
            <w:r>
              <w:rPr>
                <w:rFonts w:ascii="Times New Roman" w:hAnsi="Times New Roman" w:eastAsia="宋体" w:cs="Times New Roman"/>
                <w:bCs/>
                <w:sz w:val="24"/>
              </w:rPr>
              <w:t>无需进行生态现状调查</w:t>
            </w:r>
            <w:r>
              <w:rPr>
                <w:rFonts w:hint="eastAsia" w:ascii="Times New Roman" w:hAnsi="Times New Roman" w:eastAsia="宋体" w:cs="Times New Roman"/>
                <w:bCs/>
                <w:sz w:val="24"/>
              </w:rPr>
              <w:t>。</w:t>
            </w:r>
          </w:p>
          <w:p w14:paraId="5B9FD0D3">
            <w:pPr>
              <w:wordWrap w:val="0"/>
              <w:autoSpaceDE w:val="0"/>
              <w:autoSpaceDN w:val="0"/>
              <w:spacing w:line="360" w:lineRule="auto"/>
              <w:ind w:firstLine="482" w:firstLineChars="200"/>
              <w:jc w:val="left"/>
              <w:rPr>
                <w:rFonts w:ascii="Times New Roman" w:hAnsi="Times New Roman" w:eastAsia="宋体" w:cs="Times New Roman"/>
                <w:b/>
                <w:bCs/>
                <w:sz w:val="24"/>
              </w:rPr>
            </w:pPr>
            <w:r>
              <w:rPr>
                <w:rFonts w:hint="eastAsia" w:ascii="Times New Roman" w:hAnsi="Times New Roman" w:eastAsia="宋体" w:cs="Times New Roman"/>
                <w:b/>
                <w:bCs/>
                <w:sz w:val="24"/>
              </w:rPr>
              <w:t>5、地下水、土壤环境质量现状</w:t>
            </w:r>
          </w:p>
          <w:p w14:paraId="61EDFAA2">
            <w:pPr>
              <w:autoSpaceDE w:val="0"/>
              <w:autoSpaceDN w:val="0"/>
              <w:spacing w:line="360" w:lineRule="auto"/>
              <w:ind w:firstLine="480" w:firstLineChars="200"/>
              <w:rPr>
                <w:rFonts w:ascii="Times New Roman" w:hAnsi="Times New Roman" w:cs="Times New Roman"/>
                <w:sz w:val="24"/>
              </w:rPr>
            </w:pPr>
            <w:r>
              <w:rPr>
                <w:rFonts w:hint="eastAsia" w:ascii="Times New Roman" w:hAnsi="Times New Roman" w:cs="Times New Roman"/>
                <w:sz w:val="24"/>
              </w:rPr>
              <w:t>根据《建设项目环境影响报告表编制技术指南（污染影响类）》（试行），原则上对地下水和土壤不开展环境质量现状调查，本项目位于安徽省淮南市谢家集区</w:t>
            </w:r>
            <w:r>
              <w:rPr>
                <w:rFonts w:hint="eastAsia" w:ascii="Times New Roman" w:hAnsi="Times New Roman" w:cs="ËÎÌå"/>
                <w:kern w:val="0"/>
                <w:sz w:val="24"/>
                <w:szCs w:val="24"/>
              </w:rPr>
              <w:t>汽配产业园3号厂房</w:t>
            </w:r>
            <w:r>
              <w:rPr>
                <w:rFonts w:hint="eastAsia" w:ascii="Times New Roman" w:hAnsi="Times New Roman" w:cs="Times New Roman"/>
                <w:sz w:val="24"/>
              </w:rPr>
              <w:t>，经现场勘察，租赁厂房附近地面均已做硬化处理。本项目实施后，在现有硬化地面基础上进行进一步分区防渗，</w:t>
            </w:r>
            <w:r>
              <w:rPr>
                <w:rFonts w:ascii="Times New Roman" w:hAnsi="Times New Roman" w:cs="Times New Roman"/>
                <w:sz w:val="24"/>
              </w:rPr>
              <w:t>重点防渗区增加2mm厚高密度聚乙烯，或至少2mm厚的其他人工材料采取全面防腐、防渗处理</w:t>
            </w:r>
            <w:r>
              <w:rPr>
                <w:rFonts w:hint="eastAsia" w:ascii="Times New Roman" w:hAnsi="Times New Roman" w:cs="Times New Roman"/>
                <w:sz w:val="24"/>
              </w:rPr>
              <w:t>，</w:t>
            </w:r>
            <w:r>
              <w:rPr>
                <w:rFonts w:ascii="Times New Roman" w:hAnsi="Times New Roman" w:cs="Times New Roman"/>
                <w:sz w:val="24"/>
              </w:rPr>
              <w:t>一般防渗区采用防渗水泥进行硬化方式处理</w:t>
            </w:r>
            <w:r>
              <w:rPr>
                <w:rFonts w:hint="eastAsia" w:ascii="Times New Roman" w:hAnsi="Times New Roman" w:cs="Times New Roman"/>
                <w:sz w:val="24"/>
              </w:rPr>
              <w:t>，</w:t>
            </w:r>
            <w:r>
              <w:rPr>
                <w:rFonts w:ascii="Times New Roman" w:hAnsi="Times New Roman" w:cs="Times New Roman"/>
                <w:sz w:val="24"/>
              </w:rPr>
              <w:t>基本上不存在地下水和和土壤污染途径。</w:t>
            </w:r>
            <w:r>
              <w:rPr>
                <w:rFonts w:hint="eastAsia" w:ascii="Times New Roman" w:hAnsi="Times New Roman" w:cs="Times New Roman"/>
                <w:sz w:val="24"/>
              </w:rPr>
              <w:t>因此，本次无需开展地下水和土壤环境现状监测。</w:t>
            </w:r>
          </w:p>
          <w:p w14:paraId="0AB71A01">
            <w:pPr>
              <w:autoSpaceDE w:val="0"/>
              <w:autoSpaceDN w:val="0"/>
              <w:spacing w:line="360" w:lineRule="auto"/>
              <w:ind w:firstLine="480" w:firstLineChars="200"/>
              <w:rPr>
                <w:rFonts w:ascii="Times New Roman" w:hAnsi="Times New Roman" w:eastAsia="宋体" w:cs="Times New Roman"/>
                <w:bCs/>
                <w:sz w:val="24"/>
              </w:rPr>
            </w:pPr>
          </w:p>
          <w:p w14:paraId="133DC15F">
            <w:pPr>
              <w:autoSpaceDE w:val="0"/>
              <w:autoSpaceDN w:val="0"/>
              <w:spacing w:line="360" w:lineRule="auto"/>
              <w:ind w:firstLine="480" w:firstLineChars="200"/>
              <w:rPr>
                <w:rFonts w:ascii="Times New Roman" w:hAnsi="Times New Roman" w:eastAsia="宋体" w:cs="Times New Roman"/>
                <w:bCs/>
                <w:sz w:val="24"/>
              </w:rPr>
            </w:pPr>
          </w:p>
          <w:p w14:paraId="7D396C89">
            <w:pPr>
              <w:autoSpaceDE w:val="0"/>
              <w:autoSpaceDN w:val="0"/>
              <w:spacing w:line="360" w:lineRule="auto"/>
              <w:ind w:firstLine="480" w:firstLineChars="200"/>
              <w:rPr>
                <w:rFonts w:ascii="Times New Roman" w:hAnsi="Times New Roman" w:eastAsia="宋体" w:cs="Times New Roman"/>
                <w:bCs/>
                <w:sz w:val="24"/>
              </w:rPr>
            </w:pPr>
          </w:p>
          <w:p w14:paraId="06CA8A40">
            <w:pPr>
              <w:autoSpaceDE w:val="0"/>
              <w:autoSpaceDN w:val="0"/>
              <w:spacing w:line="360" w:lineRule="auto"/>
              <w:rPr>
                <w:rFonts w:ascii="Times New Roman" w:hAnsi="Times New Roman" w:eastAsia="宋体" w:cs="Times New Roman"/>
                <w:bCs/>
                <w:sz w:val="24"/>
              </w:rPr>
            </w:pPr>
          </w:p>
          <w:p w14:paraId="60DA6169">
            <w:pPr>
              <w:autoSpaceDE w:val="0"/>
              <w:autoSpaceDN w:val="0"/>
              <w:spacing w:line="360" w:lineRule="auto"/>
              <w:ind w:firstLine="480" w:firstLineChars="200"/>
              <w:rPr>
                <w:rFonts w:ascii="Times New Roman" w:hAnsi="Times New Roman" w:eastAsia="宋体" w:cs="Times New Roman"/>
                <w:bCs/>
                <w:sz w:val="24"/>
              </w:rPr>
            </w:pPr>
          </w:p>
          <w:p w14:paraId="03A5D754">
            <w:pPr>
              <w:autoSpaceDE w:val="0"/>
              <w:autoSpaceDN w:val="0"/>
              <w:spacing w:line="360" w:lineRule="auto"/>
              <w:rPr>
                <w:rFonts w:ascii="Times New Roman" w:hAnsi="Times New Roman" w:eastAsia="宋体" w:cs="Times New Roman"/>
                <w:bCs/>
                <w:sz w:val="24"/>
              </w:rPr>
            </w:pPr>
          </w:p>
          <w:p w14:paraId="47B82738">
            <w:pPr>
              <w:autoSpaceDE w:val="0"/>
              <w:autoSpaceDN w:val="0"/>
              <w:spacing w:line="360" w:lineRule="auto"/>
              <w:rPr>
                <w:rFonts w:ascii="Times New Roman" w:hAnsi="Times New Roman" w:eastAsia="宋体" w:cs="Times New Roman"/>
                <w:bCs/>
                <w:sz w:val="24"/>
              </w:rPr>
            </w:pPr>
          </w:p>
          <w:p w14:paraId="11020A36">
            <w:pPr>
              <w:autoSpaceDE w:val="0"/>
              <w:autoSpaceDN w:val="0"/>
              <w:spacing w:line="360" w:lineRule="auto"/>
              <w:rPr>
                <w:rFonts w:ascii="Times New Roman" w:hAnsi="Times New Roman" w:eastAsia="宋体" w:cs="Times New Roman"/>
                <w:bCs/>
                <w:sz w:val="24"/>
              </w:rPr>
            </w:pPr>
          </w:p>
          <w:p w14:paraId="40E638F9">
            <w:pPr>
              <w:autoSpaceDE w:val="0"/>
              <w:autoSpaceDN w:val="0"/>
              <w:spacing w:line="360" w:lineRule="auto"/>
              <w:rPr>
                <w:rFonts w:ascii="Times New Roman" w:hAnsi="Times New Roman" w:eastAsia="宋体" w:cs="Times New Roman"/>
                <w:bCs/>
                <w:sz w:val="24"/>
              </w:rPr>
            </w:pPr>
          </w:p>
          <w:p w14:paraId="4E807E60">
            <w:pPr>
              <w:autoSpaceDE w:val="0"/>
              <w:autoSpaceDN w:val="0"/>
              <w:spacing w:line="360" w:lineRule="auto"/>
              <w:rPr>
                <w:rFonts w:ascii="Times New Roman" w:hAnsi="Times New Roman" w:eastAsia="宋体" w:cs="Times New Roman"/>
                <w:bCs/>
                <w:sz w:val="24"/>
              </w:rPr>
            </w:pPr>
          </w:p>
          <w:p w14:paraId="4320992E">
            <w:pPr>
              <w:autoSpaceDE w:val="0"/>
              <w:autoSpaceDN w:val="0"/>
              <w:spacing w:line="360" w:lineRule="auto"/>
              <w:rPr>
                <w:rFonts w:ascii="Times New Roman" w:hAnsi="Times New Roman" w:eastAsia="宋体" w:cs="Times New Roman"/>
                <w:bCs/>
                <w:sz w:val="24"/>
              </w:rPr>
            </w:pPr>
          </w:p>
          <w:p w14:paraId="2941B5E7">
            <w:pPr>
              <w:autoSpaceDE w:val="0"/>
              <w:autoSpaceDN w:val="0"/>
              <w:spacing w:line="360" w:lineRule="auto"/>
              <w:rPr>
                <w:rFonts w:ascii="Times New Roman" w:hAnsi="Times New Roman" w:eastAsia="宋体" w:cs="Times New Roman"/>
                <w:bCs/>
                <w:sz w:val="24"/>
              </w:rPr>
            </w:pPr>
          </w:p>
          <w:p w14:paraId="7F89A418">
            <w:pPr>
              <w:autoSpaceDE w:val="0"/>
              <w:autoSpaceDN w:val="0"/>
              <w:spacing w:line="360" w:lineRule="auto"/>
              <w:rPr>
                <w:rFonts w:ascii="Times New Roman" w:hAnsi="Times New Roman" w:eastAsia="宋体" w:cs="Times New Roman"/>
                <w:bCs/>
                <w:sz w:val="24"/>
              </w:rPr>
            </w:pPr>
          </w:p>
          <w:p w14:paraId="30DE20A7">
            <w:pPr>
              <w:autoSpaceDE w:val="0"/>
              <w:autoSpaceDN w:val="0"/>
              <w:spacing w:line="360" w:lineRule="auto"/>
              <w:rPr>
                <w:rFonts w:ascii="Times New Roman" w:hAnsi="Times New Roman" w:eastAsia="宋体" w:cs="Times New Roman"/>
                <w:bCs/>
                <w:sz w:val="24"/>
              </w:rPr>
            </w:pPr>
          </w:p>
          <w:p w14:paraId="32D214A1">
            <w:pPr>
              <w:autoSpaceDE w:val="0"/>
              <w:autoSpaceDN w:val="0"/>
              <w:spacing w:line="360" w:lineRule="auto"/>
              <w:rPr>
                <w:rFonts w:ascii="Times New Roman" w:hAnsi="Times New Roman" w:eastAsia="宋体" w:cs="Times New Roman"/>
                <w:bCs/>
                <w:sz w:val="24"/>
              </w:rPr>
            </w:pPr>
          </w:p>
          <w:p w14:paraId="7C8AF2DD">
            <w:pPr>
              <w:autoSpaceDE w:val="0"/>
              <w:autoSpaceDN w:val="0"/>
              <w:spacing w:line="360" w:lineRule="auto"/>
              <w:rPr>
                <w:rFonts w:ascii="Times New Roman" w:hAnsi="Times New Roman" w:eastAsia="宋体" w:cs="Times New Roman"/>
                <w:bCs/>
                <w:sz w:val="24"/>
              </w:rPr>
            </w:pPr>
          </w:p>
          <w:p w14:paraId="0DCB6173">
            <w:pPr>
              <w:autoSpaceDE w:val="0"/>
              <w:autoSpaceDN w:val="0"/>
              <w:spacing w:line="360" w:lineRule="auto"/>
              <w:rPr>
                <w:rFonts w:ascii="Times New Roman" w:hAnsi="Times New Roman" w:eastAsia="宋体" w:cs="Times New Roman"/>
                <w:bCs/>
                <w:sz w:val="24"/>
              </w:rPr>
            </w:pPr>
          </w:p>
          <w:p w14:paraId="413164A7">
            <w:pPr>
              <w:autoSpaceDE w:val="0"/>
              <w:autoSpaceDN w:val="0"/>
              <w:spacing w:line="360" w:lineRule="auto"/>
              <w:rPr>
                <w:rFonts w:ascii="Times New Roman" w:hAnsi="Times New Roman" w:eastAsia="宋体" w:cs="Times New Roman"/>
                <w:bCs/>
                <w:sz w:val="24"/>
              </w:rPr>
            </w:pPr>
          </w:p>
        </w:tc>
      </w:tr>
      <w:tr w14:paraId="1AE466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82" w:hRule="atLeast"/>
          <w:jc w:val="center"/>
        </w:trPr>
        <w:tc>
          <w:tcPr>
            <w:tcW w:w="266" w:type="pct"/>
            <w:vAlign w:val="center"/>
          </w:tcPr>
          <w:p w14:paraId="57E98FEB">
            <w:pPr>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环境</w:t>
            </w:r>
          </w:p>
          <w:p w14:paraId="668ABE42">
            <w:pPr>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保护</w:t>
            </w:r>
          </w:p>
          <w:p w14:paraId="7EBD5266">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目标</w:t>
            </w:r>
          </w:p>
        </w:tc>
        <w:tc>
          <w:tcPr>
            <w:tcW w:w="4734" w:type="pct"/>
          </w:tcPr>
          <w:p w14:paraId="0184D28F">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项目位于安徽省淮南市谢家集区汽配产业园3号厂房。根据建项目污染特征及区域环境现状，其主要环境保护目标如下。</w:t>
            </w:r>
          </w:p>
          <w:p w14:paraId="00DB148C">
            <w:pPr>
              <w:wordWrap w:val="0"/>
              <w:spacing w:line="360" w:lineRule="auto"/>
              <w:ind w:firstLine="482" w:firstLineChars="200"/>
              <w:jc w:val="left"/>
              <w:rPr>
                <w:rFonts w:ascii="Times New Roman" w:hAnsi="Times New Roman" w:eastAsia="宋体" w:cs="Times New Roman"/>
                <w:b/>
                <w:sz w:val="24"/>
                <w:szCs w:val="24"/>
              </w:rPr>
            </w:pPr>
            <w:r>
              <w:rPr>
                <w:rFonts w:hint="eastAsia" w:ascii="Times New Roman" w:hAnsi="Times New Roman" w:eastAsia="宋体" w:cs="Times New Roman"/>
                <w:b/>
                <w:sz w:val="24"/>
                <w:szCs w:val="24"/>
              </w:rPr>
              <w:t>1、大气环境</w:t>
            </w:r>
          </w:p>
          <w:p w14:paraId="50811F9D">
            <w:pPr>
              <w:wordWrap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项目厂界500m范围内有居住区等敏感点，具体信息见下表。</w:t>
            </w:r>
          </w:p>
          <w:p w14:paraId="3DE5D00A">
            <w:pPr>
              <w:wordWrap w:val="0"/>
              <w:spacing w:line="360" w:lineRule="auto"/>
              <w:ind w:firstLine="482" w:firstLineChars="200"/>
              <w:jc w:val="left"/>
              <w:rPr>
                <w:rFonts w:ascii="Times New Roman" w:hAnsi="Times New Roman" w:eastAsia="宋体" w:cs="Times New Roman"/>
                <w:b/>
                <w:sz w:val="24"/>
                <w:szCs w:val="24"/>
              </w:rPr>
            </w:pPr>
            <w:r>
              <w:rPr>
                <w:rFonts w:hint="eastAsia" w:ascii="Times New Roman" w:hAnsi="Times New Roman" w:eastAsia="宋体" w:cs="Times New Roman"/>
                <w:b/>
                <w:sz w:val="24"/>
                <w:szCs w:val="24"/>
              </w:rPr>
              <w:t>2、声环境</w:t>
            </w:r>
          </w:p>
          <w:p w14:paraId="2B098751">
            <w:pPr>
              <w:wordWrap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napToGrid w:val="0"/>
                <w:sz w:val="24"/>
              </w:rPr>
              <w:t>厂界外周边50m范围内不存在声环境保护目标</w:t>
            </w:r>
            <w:r>
              <w:rPr>
                <w:rFonts w:hint="eastAsia" w:ascii="Times New Roman" w:hAnsi="Times New Roman" w:eastAsia="宋体" w:cs="Times New Roman"/>
                <w:sz w:val="24"/>
                <w:szCs w:val="24"/>
              </w:rPr>
              <w:t>。</w:t>
            </w:r>
          </w:p>
          <w:p w14:paraId="5F9DB318">
            <w:pPr>
              <w:wordWrap w:val="0"/>
              <w:spacing w:line="360" w:lineRule="auto"/>
              <w:ind w:firstLine="482" w:firstLineChars="200"/>
              <w:jc w:val="left"/>
              <w:rPr>
                <w:rFonts w:ascii="Times New Roman" w:hAnsi="Times New Roman" w:eastAsia="宋体" w:cs="Times New Roman"/>
                <w:b/>
                <w:sz w:val="24"/>
                <w:szCs w:val="24"/>
              </w:rPr>
            </w:pPr>
            <w:r>
              <w:rPr>
                <w:rFonts w:hint="eastAsia" w:ascii="Times New Roman" w:hAnsi="Times New Roman" w:eastAsia="宋体" w:cs="Times New Roman"/>
                <w:b/>
                <w:sz w:val="24"/>
                <w:szCs w:val="24"/>
              </w:rPr>
              <w:t>3、地下水环境</w:t>
            </w:r>
          </w:p>
          <w:p w14:paraId="2F526F8A">
            <w:pPr>
              <w:wordWrap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厂界外500米范围内无地下水集中式饮用水水源和热水、矿泉水、温泉等特殊地下水资源，无地下水环境保护目标。</w:t>
            </w:r>
          </w:p>
          <w:p w14:paraId="32B77893">
            <w:pPr>
              <w:wordWrap w:val="0"/>
              <w:spacing w:line="360" w:lineRule="auto"/>
              <w:ind w:firstLine="482" w:firstLineChars="200"/>
              <w:jc w:val="left"/>
              <w:rPr>
                <w:rFonts w:ascii="Times New Roman" w:hAnsi="Times New Roman" w:eastAsia="宋体" w:cs="Times New Roman"/>
                <w:b/>
                <w:sz w:val="24"/>
                <w:szCs w:val="24"/>
              </w:rPr>
            </w:pPr>
            <w:r>
              <w:rPr>
                <w:rFonts w:hint="eastAsia" w:ascii="Times New Roman" w:hAnsi="Times New Roman" w:eastAsia="宋体" w:cs="Times New Roman"/>
                <w:b/>
                <w:sz w:val="24"/>
                <w:szCs w:val="24"/>
              </w:rPr>
              <w:t>4、生态环境</w:t>
            </w:r>
          </w:p>
          <w:p w14:paraId="3B3966A8">
            <w:pPr>
              <w:wordWrap w:val="0"/>
              <w:spacing w:before="2" w:line="360" w:lineRule="auto"/>
              <w:ind w:firstLine="480" w:firstLineChars="200"/>
              <w:jc w:val="left"/>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项目利用现有闲置厂房，不新增占地，无生态环境保护目标。</w:t>
            </w:r>
          </w:p>
          <w:p w14:paraId="54C949A1">
            <w:pPr>
              <w:wordWrap w:val="0"/>
              <w:spacing w:before="2" w:line="360" w:lineRule="auto"/>
              <w:ind w:firstLine="480" w:firstLineChars="200"/>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表3-4厂界500m范围内环境保护目标一览表</w:t>
            </w:r>
          </w:p>
          <w:tbl>
            <w:tblPr>
              <w:tblStyle w:val="18"/>
              <w:tblW w:w="0" w:type="auto"/>
              <w:tblInd w:w="5"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767"/>
              <w:gridCol w:w="1073"/>
              <w:gridCol w:w="518"/>
              <w:gridCol w:w="709"/>
              <w:gridCol w:w="828"/>
              <w:gridCol w:w="849"/>
              <w:gridCol w:w="668"/>
              <w:gridCol w:w="682"/>
              <w:gridCol w:w="1751"/>
            </w:tblGrid>
            <w:tr w14:paraId="2F77EFA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767" w:type="dxa"/>
                  <w:tcBorders>
                    <w:tl2br w:val="nil"/>
                    <w:tr2bl w:val="nil"/>
                  </w:tcBorders>
                  <w:vAlign w:val="center"/>
                </w:tcPr>
                <w:p w14:paraId="450D9963">
                  <w:pPr>
                    <w:keepNext w:val="0"/>
                    <w:keepLines w:val="0"/>
                    <w:pageBreakBefore w:val="0"/>
                    <w:kinsoku/>
                    <w:wordWrap w:val="0"/>
                    <w:overflowPunct/>
                    <w:topLinePunct w:val="0"/>
                    <w:autoSpaceDE/>
                    <w:autoSpaceDN/>
                    <w:bidi w:val="0"/>
                    <w:spacing w:before="2" w:line="276" w:lineRule="auto"/>
                    <w:jc w:val="center"/>
                    <w:textAlignment w:val="auto"/>
                    <w:rPr>
                      <w:rFonts w:hint="default" w:ascii="Times New Roman" w:hAnsi="Times New Roman" w:cs="Times New Roman" w:eastAsiaTheme="minorEastAsia"/>
                      <w:b/>
                      <w:bCs/>
                      <w:kern w:val="2"/>
                      <w:sz w:val="21"/>
                      <w:szCs w:val="22"/>
                      <w:lang w:val="en-US" w:eastAsia="zh-CN" w:bidi="ar-SA"/>
                    </w:rPr>
                  </w:pPr>
                  <w:r>
                    <w:rPr>
                      <w:rFonts w:hint="eastAsia" w:ascii="Times New Roman" w:hAnsi="Times New Roman" w:cs="Times New Roman" w:eastAsiaTheme="minorEastAsia"/>
                      <w:b/>
                      <w:bCs/>
                      <w:kern w:val="2"/>
                      <w:sz w:val="21"/>
                      <w:szCs w:val="22"/>
                      <w:lang w:val="en-US" w:eastAsia="zh-CN" w:bidi="ar-SA"/>
                    </w:rPr>
                    <w:t>环境要素</w:t>
                  </w:r>
                </w:p>
              </w:tc>
              <w:tc>
                <w:tcPr>
                  <w:tcW w:w="1073" w:type="dxa"/>
                  <w:tcBorders>
                    <w:tl2br w:val="nil"/>
                    <w:tr2bl w:val="nil"/>
                  </w:tcBorders>
                  <w:vAlign w:val="center"/>
                </w:tcPr>
                <w:p w14:paraId="7D14964C">
                  <w:pPr>
                    <w:keepNext w:val="0"/>
                    <w:keepLines w:val="0"/>
                    <w:pageBreakBefore w:val="0"/>
                    <w:kinsoku/>
                    <w:wordWrap w:val="0"/>
                    <w:overflowPunct/>
                    <w:topLinePunct w:val="0"/>
                    <w:autoSpaceDE/>
                    <w:autoSpaceDN/>
                    <w:bidi w:val="0"/>
                    <w:spacing w:before="2" w:line="276" w:lineRule="auto"/>
                    <w:jc w:val="center"/>
                    <w:textAlignment w:val="auto"/>
                    <w:rPr>
                      <w:rFonts w:hint="default" w:ascii="Times New Roman" w:hAnsi="Times New Roman" w:cs="Times New Roman" w:eastAsiaTheme="minorEastAsia"/>
                      <w:b/>
                      <w:bCs/>
                      <w:kern w:val="2"/>
                      <w:sz w:val="21"/>
                      <w:szCs w:val="22"/>
                      <w:lang w:val="en-US" w:eastAsia="zh-CN" w:bidi="ar-SA"/>
                    </w:rPr>
                  </w:pPr>
                  <w:r>
                    <w:rPr>
                      <w:rFonts w:hint="eastAsia" w:ascii="Times New Roman" w:hAnsi="Times New Roman" w:cs="Times New Roman" w:eastAsiaTheme="minorEastAsia"/>
                      <w:b/>
                      <w:bCs/>
                      <w:kern w:val="2"/>
                      <w:sz w:val="21"/>
                      <w:szCs w:val="22"/>
                      <w:lang w:val="en-US" w:eastAsia="zh-CN" w:bidi="ar-SA"/>
                    </w:rPr>
                    <w:t>环境保护目标</w:t>
                  </w:r>
                </w:p>
              </w:tc>
              <w:tc>
                <w:tcPr>
                  <w:tcW w:w="518" w:type="dxa"/>
                  <w:tcBorders>
                    <w:tl2br w:val="nil"/>
                    <w:tr2bl w:val="nil"/>
                  </w:tcBorders>
                  <w:vAlign w:val="center"/>
                </w:tcPr>
                <w:p w14:paraId="6E913100">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cs="Times New Roman" w:eastAsiaTheme="minorEastAsia"/>
                      <w:b/>
                      <w:bCs/>
                      <w:kern w:val="2"/>
                      <w:sz w:val="21"/>
                      <w:szCs w:val="22"/>
                      <w:lang w:val="en-US" w:eastAsia="zh-CN" w:bidi="ar-SA"/>
                    </w:rPr>
                  </w:pPr>
                  <w:r>
                    <w:rPr>
                      <w:rFonts w:hint="eastAsia" w:ascii="Times New Roman" w:hAnsi="Times New Roman" w:cs="Times New Roman" w:eastAsiaTheme="minorEastAsia"/>
                      <w:b/>
                      <w:bCs/>
                      <w:kern w:val="2"/>
                      <w:sz w:val="21"/>
                      <w:szCs w:val="22"/>
                      <w:lang w:val="en-US" w:eastAsia="zh-CN" w:bidi="ar-SA"/>
                    </w:rPr>
                    <w:t>方位</w:t>
                  </w:r>
                </w:p>
              </w:tc>
              <w:tc>
                <w:tcPr>
                  <w:tcW w:w="1537" w:type="dxa"/>
                  <w:gridSpan w:val="2"/>
                  <w:tcBorders>
                    <w:tl2br w:val="nil"/>
                    <w:tr2bl w:val="nil"/>
                  </w:tcBorders>
                  <w:vAlign w:val="center"/>
                </w:tcPr>
                <w:p w14:paraId="23C23720">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cs="Times New Roman" w:eastAsiaTheme="minorEastAsia"/>
                      <w:b/>
                      <w:bCs/>
                      <w:kern w:val="2"/>
                      <w:sz w:val="21"/>
                      <w:szCs w:val="22"/>
                      <w:lang w:val="en-US" w:eastAsia="zh-CN" w:bidi="ar-SA"/>
                    </w:rPr>
                  </w:pPr>
                  <w:r>
                    <w:rPr>
                      <w:rFonts w:hint="eastAsia" w:ascii="Times New Roman" w:hAnsi="Times New Roman" w:cs="Times New Roman" w:eastAsiaTheme="minorEastAsia"/>
                      <w:b/>
                      <w:bCs/>
                      <w:kern w:val="2"/>
                      <w:sz w:val="21"/>
                      <w:szCs w:val="22"/>
                      <w:lang w:val="en-US" w:eastAsia="zh-CN" w:bidi="ar-SA"/>
                    </w:rPr>
                    <w:t>空间相对位置</w:t>
                  </w:r>
                </w:p>
              </w:tc>
              <w:tc>
                <w:tcPr>
                  <w:tcW w:w="849" w:type="dxa"/>
                  <w:tcBorders>
                    <w:tl2br w:val="nil"/>
                    <w:tr2bl w:val="nil"/>
                  </w:tcBorders>
                  <w:vAlign w:val="center"/>
                </w:tcPr>
                <w:p w14:paraId="05F77449">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cs="Times New Roman" w:eastAsiaTheme="minorEastAsia"/>
                      <w:b/>
                      <w:bCs/>
                      <w:kern w:val="2"/>
                      <w:sz w:val="21"/>
                      <w:szCs w:val="22"/>
                      <w:lang w:val="en-US" w:eastAsia="zh-CN" w:bidi="ar-SA"/>
                    </w:rPr>
                  </w:pPr>
                  <w:r>
                    <w:rPr>
                      <w:rFonts w:hint="eastAsia" w:ascii="Times New Roman" w:hAnsi="Times New Roman" w:cs="Times New Roman" w:eastAsiaTheme="minorEastAsia"/>
                      <w:b/>
                      <w:bCs/>
                      <w:kern w:val="2"/>
                      <w:sz w:val="21"/>
                      <w:szCs w:val="22"/>
                      <w:lang w:val="en-US" w:eastAsia="zh-CN" w:bidi="ar-SA"/>
                    </w:rPr>
                    <w:t>距离（m）</w:t>
                  </w:r>
                </w:p>
              </w:tc>
              <w:tc>
                <w:tcPr>
                  <w:tcW w:w="668" w:type="dxa"/>
                  <w:tcBorders>
                    <w:tl2br w:val="nil"/>
                    <w:tr2bl w:val="nil"/>
                  </w:tcBorders>
                  <w:vAlign w:val="center"/>
                </w:tcPr>
                <w:p w14:paraId="4F9B989D">
                  <w:pPr>
                    <w:keepNext w:val="0"/>
                    <w:keepLines w:val="0"/>
                    <w:pageBreakBefore w:val="0"/>
                    <w:kinsoku/>
                    <w:wordWrap w:val="0"/>
                    <w:overflowPunct/>
                    <w:topLinePunct w:val="0"/>
                    <w:autoSpaceDE/>
                    <w:autoSpaceDN/>
                    <w:bidi w:val="0"/>
                    <w:spacing w:before="2" w:line="276" w:lineRule="auto"/>
                    <w:jc w:val="center"/>
                    <w:textAlignment w:val="auto"/>
                    <w:rPr>
                      <w:rFonts w:hint="default" w:ascii="Times New Roman" w:hAnsi="Times New Roman" w:cs="Times New Roman" w:eastAsiaTheme="minorEastAsia"/>
                      <w:b/>
                      <w:bCs/>
                      <w:kern w:val="2"/>
                      <w:sz w:val="21"/>
                      <w:szCs w:val="22"/>
                      <w:lang w:val="en-US" w:eastAsia="zh-CN" w:bidi="ar-SA"/>
                    </w:rPr>
                  </w:pPr>
                  <w:r>
                    <w:rPr>
                      <w:rFonts w:hint="eastAsia" w:ascii="Times New Roman" w:hAnsi="Times New Roman" w:cs="Times New Roman" w:eastAsiaTheme="minorEastAsia"/>
                      <w:b/>
                      <w:bCs/>
                      <w:kern w:val="2"/>
                      <w:sz w:val="21"/>
                      <w:szCs w:val="22"/>
                      <w:lang w:val="en-US" w:eastAsia="zh-CN" w:bidi="ar-SA"/>
                    </w:rPr>
                    <w:t>保护对象</w:t>
                  </w:r>
                </w:p>
              </w:tc>
              <w:tc>
                <w:tcPr>
                  <w:tcW w:w="682" w:type="dxa"/>
                  <w:tcBorders>
                    <w:tl2br w:val="nil"/>
                    <w:tr2bl w:val="nil"/>
                  </w:tcBorders>
                  <w:vAlign w:val="center"/>
                </w:tcPr>
                <w:p w14:paraId="5CBBFF1B">
                  <w:pPr>
                    <w:keepNext w:val="0"/>
                    <w:keepLines w:val="0"/>
                    <w:pageBreakBefore w:val="0"/>
                    <w:kinsoku/>
                    <w:wordWrap w:val="0"/>
                    <w:overflowPunct/>
                    <w:topLinePunct w:val="0"/>
                    <w:autoSpaceDE/>
                    <w:autoSpaceDN/>
                    <w:bidi w:val="0"/>
                    <w:spacing w:before="2" w:line="276" w:lineRule="auto"/>
                    <w:jc w:val="center"/>
                    <w:textAlignment w:val="auto"/>
                    <w:rPr>
                      <w:rFonts w:hint="default" w:ascii="Times New Roman" w:hAnsi="Times New Roman" w:cs="Times New Roman" w:eastAsiaTheme="minorEastAsia"/>
                      <w:b/>
                      <w:bCs/>
                      <w:kern w:val="2"/>
                      <w:sz w:val="21"/>
                      <w:szCs w:val="22"/>
                      <w:lang w:val="en-US" w:eastAsia="zh-CN" w:bidi="ar-SA"/>
                    </w:rPr>
                  </w:pPr>
                  <w:r>
                    <w:rPr>
                      <w:rFonts w:hint="eastAsia" w:ascii="Times New Roman" w:hAnsi="Times New Roman" w:cs="Times New Roman" w:eastAsiaTheme="minorEastAsia"/>
                      <w:b/>
                      <w:bCs/>
                      <w:kern w:val="2"/>
                      <w:sz w:val="21"/>
                      <w:szCs w:val="22"/>
                      <w:lang w:val="en-US" w:eastAsia="zh-CN" w:bidi="ar-SA"/>
                    </w:rPr>
                    <w:t>保护内容</w:t>
                  </w:r>
                </w:p>
              </w:tc>
              <w:tc>
                <w:tcPr>
                  <w:tcW w:w="1751" w:type="dxa"/>
                  <w:tcBorders>
                    <w:tl2br w:val="nil"/>
                    <w:tr2bl w:val="nil"/>
                  </w:tcBorders>
                  <w:vAlign w:val="center"/>
                </w:tcPr>
                <w:p w14:paraId="765FBFF4">
                  <w:pPr>
                    <w:keepNext w:val="0"/>
                    <w:keepLines w:val="0"/>
                    <w:pageBreakBefore w:val="0"/>
                    <w:kinsoku/>
                    <w:wordWrap w:val="0"/>
                    <w:overflowPunct/>
                    <w:topLinePunct w:val="0"/>
                    <w:autoSpaceDE/>
                    <w:autoSpaceDN/>
                    <w:bidi w:val="0"/>
                    <w:spacing w:before="2" w:line="276" w:lineRule="auto"/>
                    <w:jc w:val="center"/>
                    <w:textAlignment w:val="auto"/>
                    <w:rPr>
                      <w:rFonts w:hint="default" w:ascii="Times New Roman" w:hAnsi="Times New Roman" w:cs="Times New Roman" w:eastAsiaTheme="minorEastAsia"/>
                      <w:b/>
                      <w:bCs/>
                      <w:kern w:val="2"/>
                      <w:sz w:val="21"/>
                      <w:szCs w:val="22"/>
                      <w:lang w:val="en-US" w:eastAsia="zh-CN" w:bidi="ar-SA"/>
                    </w:rPr>
                  </w:pPr>
                  <w:r>
                    <w:rPr>
                      <w:rFonts w:hint="eastAsia" w:ascii="Times New Roman" w:hAnsi="Times New Roman" w:cs="Times New Roman" w:eastAsiaTheme="minorEastAsia"/>
                      <w:b/>
                      <w:bCs/>
                      <w:kern w:val="2"/>
                      <w:sz w:val="21"/>
                      <w:szCs w:val="22"/>
                      <w:lang w:val="en-US" w:eastAsia="zh-CN" w:bidi="ar-SA"/>
                    </w:rPr>
                    <w:t>环境功能</w:t>
                  </w:r>
                </w:p>
              </w:tc>
            </w:tr>
            <w:tr w14:paraId="6D733C4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767" w:type="dxa"/>
                  <w:vMerge w:val="restart"/>
                  <w:tcBorders>
                    <w:tl2br w:val="nil"/>
                    <w:tr2bl w:val="nil"/>
                  </w:tcBorders>
                  <w:vAlign w:val="center"/>
                </w:tcPr>
                <w:p w14:paraId="5164C3EB">
                  <w:pPr>
                    <w:keepNext w:val="0"/>
                    <w:keepLines w:val="0"/>
                    <w:pageBreakBefore w:val="0"/>
                    <w:kinsoku/>
                    <w:wordWrap w:val="0"/>
                    <w:overflowPunct/>
                    <w:topLinePunct w:val="0"/>
                    <w:autoSpaceDE/>
                    <w:autoSpaceDN/>
                    <w:bidi w:val="0"/>
                    <w:spacing w:before="2" w:line="276" w:lineRule="auto"/>
                    <w:jc w:val="center"/>
                    <w:textAlignment w:val="auto"/>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大气环境</w:t>
                  </w:r>
                </w:p>
              </w:tc>
              <w:tc>
                <w:tcPr>
                  <w:tcW w:w="1073" w:type="dxa"/>
                  <w:tcBorders>
                    <w:tl2br w:val="nil"/>
                    <w:tr2bl w:val="nil"/>
                  </w:tcBorders>
                  <w:vAlign w:val="center"/>
                </w:tcPr>
                <w:p w14:paraId="78B52C9A">
                  <w:pPr>
                    <w:keepNext w:val="0"/>
                    <w:keepLines w:val="0"/>
                    <w:pageBreakBefore w:val="0"/>
                    <w:kinsoku/>
                    <w:wordWrap w:val="0"/>
                    <w:overflowPunct/>
                    <w:topLinePunct w:val="0"/>
                    <w:autoSpaceDE/>
                    <w:autoSpaceDN/>
                    <w:bidi w:val="0"/>
                    <w:spacing w:before="2" w:line="276" w:lineRule="auto"/>
                    <w:jc w:val="center"/>
                    <w:textAlignment w:val="auto"/>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北路岗</w:t>
                  </w:r>
                </w:p>
              </w:tc>
              <w:tc>
                <w:tcPr>
                  <w:tcW w:w="518" w:type="dxa"/>
                  <w:tcBorders>
                    <w:tl2br w:val="nil"/>
                    <w:tr2bl w:val="nil"/>
                  </w:tcBorders>
                  <w:vAlign w:val="center"/>
                </w:tcPr>
                <w:p w14:paraId="0566E637">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SE</w:t>
                  </w:r>
                </w:p>
              </w:tc>
              <w:tc>
                <w:tcPr>
                  <w:tcW w:w="709" w:type="dxa"/>
                  <w:tcBorders>
                    <w:tl2br w:val="nil"/>
                    <w:tr2bl w:val="nil"/>
                  </w:tcBorders>
                  <w:vAlign w:val="center"/>
                </w:tcPr>
                <w:p w14:paraId="6A6B9EA8">
                  <w:pPr>
                    <w:pStyle w:val="14"/>
                    <w:keepNext w:val="0"/>
                    <w:keepLines w:val="0"/>
                    <w:pageBreakBefore w:val="0"/>
                    <w:kinsoku/>
                    <w:overflowPunct/>
                    <w:topLinePunct w:val="0"/>
                    <w:autoSpaceDE/>
                    <w:autoSpaceDN/>
                    <w:bidi w:val="0"/>
                    <w:spacing w:before="0" w:beforeAutospacing="0" w:after="0" w:afterAutospacing="0"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258</w:t>
                  </w:r>
                </w:p>
              </w:tc>
              <w:tc>
                <w:tcPr>
                  <w:tcW w:w="828" w:type="dxa"/>
                  <w:tcBorders>
                    <w:tl2br w:val="nil"/>
                    <w:tr2bl w:val="nil"/>
                  </w:tcBorders>
                  <w:vAlign w:val="center"/>
                </w:tcPr>
                <w:p w14:paraId="1C71DDC1">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-19</w:t>
                  </w:r>
                </w:p>
              </w:tc>
              <w:tc>
                <w:tcPr>
                  <w:tcW w:w="849" w:type="dxa"/>
                  <w:tcBorders>
                    <w:tl2br w:val="nil"/>
                    <w:tr2bl w:val="nil"/>
                  </w:tcBorders>
                  <w:vAlign w:val="center"/>
                </w:tcPr>
                <w:p w14:paraId="27C6718F">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266</w:t>
                  </w:r>
                </w:p>
              </w:tc>
              <w:tc>
                <w:tcPr>
                  <w:tcW w:w="668" w:type="dxa"/>
                  <w:tcBorders>
                    <w:tl2br w:val="nil"/>
                    <w:tr2bl w:val="nil"/>
                  </w:tcBorders>
                  <w:vAlign w:val="center"/>
                </w:tcPr>
                <w:p w14:paraId="10F54D0B">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居民</w:t>
                  </w:r>
                </w:p>
              </w:tc>
              <w:tc>
                <w:tcPr>
                  <w:tcW w:w="682" w:type="dxa"/>
                  <w:tcBorders>
                    <w:tl2br w:val="nil"/>
                    <w:tr2bl w:val="nil"/>
                  </w:tcBorders>
                  <w:vAlign w:val="center"/>
                </w:tcPr>
                <w:p w14:paraId="519CF89E">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60人</w:t>
                  </w:r>
                </w:p>
              </w:tc>
              <w:tc>
                <w:tcPr>
                  <w:tcW w:w="1751" w:type="dxa"/>
                  <w:vMerge w:val="restart"/>
                  <w:tcBorders>
                    <w:tl2br w:val="nil"/>
                    <w:tr2bl w:val="nil"/>
                  </w:tcBorders>
                  <w:vAlign w:val="center"/>
                </w:tcPr>
                <w:p w14:paraId="418126AD">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ascii="Times New Roman" w:hAnsi="Times New Roman" w:cs="Times New Roman"/>
                    </w:rPr>
                    <w:t>《环境空气质量标准》（GB3095-2012）二级标准</w:t>
                  </w:r>
                </w:p>
              </w:tc>
            </w:tr>
            <w:tr w14:paraId="251CC6E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767" w:type="dxa"/>
                  <w:vMerge w:val="continue"/>
                  <w:tcBorders>
                    <w:tl2br w:val="nil"/>
                    <w:tr2bl w:val="nil"/>
                  </w:tcBorders>
                  <w:vAlign w:val="center"/>
                </w:tcPr>
                <w:p w14:paraId="682295DD">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cs="Times New Roman" w:eastAsiaTheme="minorEastAsia"/>
                      <w:kern w:val="2"/>
                      <w:sz w:val="21"/>
                      <w:szCs w:val="22"/>
                      <w:lang w:val="en-US" w:eastAsia="zh-CN" w:bidi="ar-SA"/>
                    </w:rPr>
                  </w:pPr>
                </w:p>
              </w:tc>
              <w:tc>
                <w:tcPr>
                  <w:tcW w:w="1073" w:type="dxa"/>
                  <w:tcBorders>
                    <w:tl2br w:val="nil"/>
                    <w:tr2bl w:val="nil"/>
                  </w:tcBorders>
                  <w:vAlign w:val="center"/>
                </w:tcPr>
                <w:p w14:paraId="0750A69C">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沈郢孜</w:t>
                  </w:r>
                </w:p>
              </w:tc>
              <w:tc>
                <w:tcPr>
                  <w:tcW w:w="518" w:type="dxa"/>
                  <w:tcBorders>
                    <w:tl2br w:val="nil"/>
                    <w:tr2bl w:val="nil"/>
                  </w:tcBorders>
                  <w:vAlign w:val="center"/>
                </w:tcPr>
                <w:p w14:paraId="64499C57">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W</w:t>
                  </w:r>
                </w:p>
              </w:tc>
              <w:tc>
                <w:tcPr>
                  <w:tcW w:w="709" w:type="dxa"/>
                  <w:tcBorders>
                    <w:tl2br w:val="nil"/>
                    <w:tr2bl w:val="nil"/>
                  </w:tcBorders>
                  <w:vAlign w:val="center"/>
                </w:tcPr>
                <w:p w14:paraId="5C019E09">
                  <w:pPr>
                    <w:pStyle w:val="14"/>
                    <w:keepNext w:val="0"/>
                    <w:keepLines w:val="0"/>
                    <w:pageBreakBefore w:val="0"/>
                    <w:kinsoku/>
                    <w:overflowPunct/>
                    <w:topLinePunct w:val="0"/>
                    <w:autoSpaceDE/>
                    <w:autoSpaceDN/>
                    <w:bidi w:val="0"/>
                    <w:spacing w:before="0" w:beforeAutospacing="0" w:after="0" w:afterAutospacing="0"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-323</w:t>
                  </w:r>
                </w:p>
              </w:tc>
              <w:tc>
                <w:tcPr>
                  <w:tcW w:w="828" w:type="dxa"/>
                  <w:tcBorders>
                    <w:tl2br w:val="nil"/>
                    <w:tr2bl w:val="nil"/>
                  </w:tcBorders>
                  <w:vAlign w:val="center"/>
                </w:tcPr>
                <w:p w14:paraId="7E2C6504">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2</w:t>
                  </w:r>
                </w:p>
              </w:tc>
              <w:tc>
                <w:tcPr>
                  <w:tcW w:w="849" w:type="dxa"/>
                  <w:tcBorders>
                    <w:tl2br w:val="nil"/>
                    <w:tr2bl w:val="nil"/>
                  </w:tcBorders>
                  <w:vAlign w:val="center"/>
                </w:tcPr>
                <w:p w14:paraId="2E9D5203">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326</w:t>
                  </w:r>
                </w:p>
              </w:tc>
              <w:tc>
                <w:tcPr>
                  <w:tcW w:w="668" w:type="dxa"/>
                  <w:tcBorders>
                    <w:tl2br w:val="nil"/>
                    <w:tr2bl w:val="nil"/>
                  </w:tcBorders>
                  <w:vAlign w:val="center"/>
                </w:tcPr>
                <w:p w14:paraId="0FB49F76">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居民</w:t>
                  </w:r>
                </w:p>
              </w:tc>
              <w:tc>
                <w:tcPr>
                  <w:tcW w:w="682" w:type="dxa"/>
                  <w:tcBorders>
                    <w:tl2br w:val="nil"/>
                    <w:tr2bl w:val="nil"/>
                  </w:tcBorders>
                  <w:vAlign w:val="center"/>
                </w:tcPr>
                <w:p w14:paraId="4656ADC9">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90人</w:t>
                  </w:r>
                </w:p>
              </w:tc>
              <w:tc>
                <w:tcPr>
                  <w:tcW w:w="1751" w:type="dxa"/>
                  <w:vMerge w:val="continue"/>
                  <w:tcBorders>
                    <w:tl2br w:val="nil"/>
                    <w:tr2bl w:val="nil"/>
                  </w:tcBorders>
                  <w:vAlign w:val="center"/>
                </w:tcPr>
                <w:p w14:paraId="2A895892">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eastAsia="黑体" w:cs="Times New Roman"/>
                      <w:sz w:val="24"/>
                      <w:szCs w:val="24"/>
                      <w:vertAlign w:val="baseline"/>
                    </w:rPr>
                  </w:pPr>
                </w:p>
              </w:tc>
            </w:tr>
            <w:tr w14:paraId="4DF5FB6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767" w:type="dxa"/>
                  <w:vMerge w:val="continue"/>
                  <w:tcBorders>
                    <w:tl2br w:val="nil"/>
                    <w:tr2bl w:val="nil"/>
                  </w:tcBorders>
                  <w:vAlign w:val="center"/>
                </w:tcPr>
                <w:p w14:paraId="7D8623D2">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eastAsia="黑体" w:cs="Times New Roman"/>
                      <w:sz w:val="24"/>
                      <w:szCs w:val="24"/>
                      <w:vertAlign w:val="baseline"/>
                    </w:rPr>
                  </w:pPr>
                </w:p>
              </w:tc>
              <w:tc>
                <w:tcPr>
                  <w:tcW w:w="1073" w:type="dxa"/>
                  <w:tcBorders>
                    <w:tl2br w:val="nil"/>
                    <w:tr2bl w:val="nil"/>
                  </w:tcBorders>
                  <w:vAlign w:val="center"/>
                </w:tcPr>
                <w:p w14:paraId="7541DBAA">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hint="eastAsia" w:ascii="Times New Roman" w:hAnsi="Times New Roman" w:cs="Times New Roman"/>
                    </w:rPr>
                    <w:t>蔡郢孜</w:t>
                  </w:r>
                </w:p>
              </w:tc>
              <w:tc>
                <w:tcPr>
                  <w:tcW w:w="518" w:type="dxa"/>
                  <w:tcBorders>
                    <w:tl2br w:val="nil"/>
                    <w:tr2bl w:val="nil"/>
                  </w:tcBorders>
                  <w:vAlign w:val="center"/>
                </w:tcPr>
                <w:p w14:paraId="2A340BED">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hint="eastAsia" w:ascii="Times New Roman" w:hAnsi="Times New Roman" w:cs="Times New Roman"/>
                    </w:rPr>
                    <w:t>S</w:t>
                  </w:r>
                </w:p>
              </w:tc>
              <w:tc>
                <w:tcPr>
                  <w:tcW w:w="709" w:type="dxa"/>
                  <w:tcBorders>
                    <w:tl2br w:val="nil"/>
                    <w:tr2bl w:val="nil"/>
                  </w:tcBorders>
                  <w:vAlign w:val="center"/>
                </w:tcPr>
                <w:p w14:paraId="243A50D9">
                  <w:pPr>
                    <w:pStyle w:val="14"/>
                    <w:keepNext w:val="0"/>
                    <w:keepLines w:val="0"/>
                    <w:pageBreakBefore w:val="0"/>
                    <w:kinsoku/>
                    <w:overflowPunct/>
                    <w:topLinePunct w:val="0"/>
                    <w:autoSpaceDE/>
                    <w:autoSpaceDN/>
                    <w:bidi w:val="0"/>
                    <w:spacing w:before="0" w:beforeAutospacing="0" w:after="0" w:afterAutospacing="0" w:line="276" w:lineRule="auto"/>
                    <w:jc w:val="center"/>
                    <w:textAlignment w:val="auto"/>
                    <w:rPr>
                      <w:rFonts w:hint="eastAsia" w:ascii="Times New Roman" w:hAnsi="Times New Roman" w:eastAsia="黑体" w:cs="Times New Roman"/>
                      <w:sz w:val="24"/>
                      <w:szCs w:val="24"/>
                      <w:vertAlign w:val="baseline"/>
                    </w:rPr>
                  </w:pPr>
                  <w:r>
                    <w:rPr>
                      <w:rFonts w:hint="eastAsia" w:ascii="Times New Roman" w:hAnsi="Times New Roman" w:cs="Times New Roman" w:eastAsiaTheme="minorEastAsia"/>
                      <w:sz w:val="21"/>
                    </w:rPr>
                    <w:t>-17</w:t>
                  </w:r>
                </w:p>
              </w:tc>
              <w:tc>
                <w:tcPr>
                  <w:tcW w:w="828" w:type="dxa"/>
                  <w:tcBorders>
                    <w:tl2br w:val="nil"/>
                    <w:tr2bl w:val="nil"/>
                  </w:tcBorders>
                  <w:vAlign w:val="center"/>
                </w:tcPr>
                <w:p w14:paraId="1DB323B3">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hint="eastAsia" w:ascii="Times New Roman" w:hAnsi="Times New Roman" w:cs="Times New Roman"/>
                    </w:rPr>
                    <w:t>-277</w:t>
                  </w:r>
                </w:p>
              </w:tc>
              <w:tc>
                <w:tcPr>
                  <w:tcW w:w="849" w:type="dxa"/>
                  <w:tcBorders>
                    <w:tl2br w:val="nil"/>
                    <w:tr2bl w:val="nil"/>
                  </w:tcBorders>
                  <w:vAlign w:val="center"/>
                </w:tcPr>
                <w:p w14:paraId="2A7A4F5E">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hint="eastAsia" w:ascii="Times New Roman" w:hAnsi="Times New Roman" w:cs="Times New Roman"/>
                    </w:rPr>
                    <w:t>321</w:t>
                  </w:r>
                </w:p>
              </w:tc>
              <w:tc>
                <w:tcPr>
                  <w:tcW w:w="668" w:type="dxa"/>
                  <w:tcBorders>
                    <w:tl2br w:val="nil"/>
                    <w:tr2bl w:val="nil"/>
                  </w:tcBorders>
                  <w:vAlign w:val="center"/>
                </w:tcPr>
                <w:p w14:paraId="0DE97AF9">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hint="eastAsia" w:ascii="Times New Roman" w:hAnsi="Times New Roman" w:cs="Times New Roman"/>
                    </w:rPr>
                    <w:t>居民</w:t>
                  </w:r>
                </w:p>
              </w:tc>
              <w:tc>
                <w:tcPr>
                  <w:tcW w:w="682" w:type="dxa"/>
                  <w:tcBorders>
                    <w:tl2br w:val="nil"/>
                    <w:tr2bl w:val="nil"/>
                  </w:tcBorders>
                  <w:vAlign w:val="center"/>
                </w:tcPr>
                <w:p w14:paraId="57993610">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hint="eastAsia" w:ascii="Times New Roman" w:hAnsi="Times New Roman" w:cs="Times New Roman"/>
                    </w:rPr>
                    <w:t>30人</w:t>
                  </w:r>
                </w:p>
              </w:tc>
              <w:tc>
                <w:tcPr>
                  <w:tcW w:w="1751" w:type="dxa"/>
                  <w:vMerge w:val="continue"/>
                  <w:tcBorders>
                    <w:tl2br w:val="nil"/>
                    <w:tr2bl w:val="nil"/>
                  </w:tcBorders>
                  <w:vAlign w:val="center"/>
                </w:tcPr>
                <w:p w14:paraId="44D48DCC">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eastAsia="黑体" w:cs="Times New Roman"/>
                      <w:sz w:val="24"/>
                      <w:szCs w:val="24"/>
                      <w:vertAlign w:val="baseline"/>
                    </w:rPr>
                  </w:pPr>
                </w:p>
              </w:tc>
            </w:tr>
            <w:tr w14:paraId="6DF1F4A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767" w:type="dxa"/>
                  <w:tcBorders>
                    <w:tl2br w:val="nil"/>
                    <w:tr2bl w:val="nil"/>
                  </w:tcBorders>
                  <w:vAlign w:val="center"/>
                </w:tcPr>
                <w:p w14:paraId="52007FFB">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ascii="Times New Roman" w:hAnsi="Times New Roman" w:cs="Times New Roman"/>
                    </w:rPr>
                    <w:t>声环境</w:t>
                  </w:r>
                </w:p>
              </w:tc>
              <w:tc>
                <w:tcPr>
                  <w:tcW w:w="1073" w:type="dxa"/>
                  <w:tcBorders>
                    <w:tl2br w:val="nil"/>
                    <w:tr2bl w:val="nil"/>
                  </w:tcBorders>
                  <w:vAlign w:val="center"/>
                </w:tcPr>
                <w:p w14:paraId="0FAB16A6">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eastAsia="黑体" w:cs="Times New Roman"/>
                      <w:sz w:val="24"/>
                      <w:szCs w:val="24"/>
                      <w:vertAlign w:val="baseline"/>
                    </w:rPr>
                  </w:pPr>
                  <w:r>
                    <w:rPr>
                      <w:rFonts w:ascii="Times New Roman" w:hAnsi="Times New Roman" w:cs="Times New Roman"/>
                      <w:szCs w:val="21"/>
                    </w:rPr>
                    <w:t>项目边界外50m范围内</w:t>
                  </w:r>
                </w:p>
              </w:tc>
              <w:tc>
                <w:tcPr>
                  <w:tcW w:w="4254" w:type="dxa"/>
                  <w:gridSpan w:val="6"/>
                  <w:tcBorders>
                    <w:tl2br w:val="nil"/>
                    <w:tr2bl w:val="nil"/>
                  </w:tcBorders>
                  <w:vAlign w:val="center"/>
                </w:tcPr>
                <w:p w14:paraId="59DCD1D9">
                  <w:pPr>
                    <w:pStyle w:val="42"/>
                    <w:keepNext w:val="0"/>
                    <w:keepLines w:val="0"/>
                    <w:pageBreakBefore w:val="0"/>
                    <w:kinsoku/>
                    <w:overflowPunct/>
                    <w:topLinePunct w:val="0"/>
                    <w:autoSpaceDE/>
                    <w:autoSpaceDN/>
                    <w:bidi w:val="0"/>
                    <w:spacing w:before="31" w:after="31" w:line="276" w:lineRule="auto"/>
                    <w:jc w:val="center"/>
                    <w:textAlignment w:val="auto"/>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w:t>
                  </w:r>
                </w:p>
              </w:tc>
              <w:tc>
                <w:tcPr>
                  <w:tcW w:w="1751" w:type="dxa"/>
                  <w:tcBorders>
                    <w:tl2br w:val="nil"/>
                    <w:tr2bl w:val="nil"/>
                  </w:tcBorders>
                  <w:vAlign w:val="center"/>
                </w:tcPr>
                <w:p w14:paraId="41470108">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eastAsia="黑体" w:cs="Times New Roman"/>
                      <w:sz w:val="24"/>
                      <w:szCs w:val="24"/>
                      <w:vertAlign w:val="baseline"/>
                    </w:rPr>
                  </w:pPr>
                  <w:r>
                    <w:rPr>
                      <w:rFonts w:ascii="Times New Roman" w:hAnsi="Times New Roman" w:cs="Times New Roman"/>
                    </w:rPr>
                    <w:t>《声环境质量标准》(GB3096-2008)3类区标准</w:t>
                  </w:r>
                </w:p>
              </w:tc>
            </w:tr>
            <w:tr w14:paraId="38D21D1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767" w:type="dxa"/>
                  <w:tcBorders>
                    <w:tl2br w:val="nil"/>
                    <w:tr2bl w:val="nil"/>
                  </w:tcBorders>
                  <w:vAlign w:val="center"/>
                </w:tcPr>
                <w:p w14:paraId="58795809">
                  <w:pPr>
                    <w:pStyle w:val="42"/>
                    <w:keepNext w:val="0"/>
                    <w:keepLines w:val="0"/>
                    <w:pageBreakBefore w:val="0"/>
                    <w:kinsoku/>
                    <w:overflowPunct/>
                    <w:topLinePunct w:val="0"/>
                    <w:autoSpaceDE/>
                    <w:autoSpaceDN/>
                    <w:bidi w:val="0"/>
                    <w:spacing w:before="31" w:after="31" w:line="276" w:lineRule="auto"/>
                    <w:jc w:val="center"/>
                    <w:textAlignment w:val="auto"/>
                    <w:rPr>
                      <w:rFonts w:ascii="Times New Roman" w:hAnsi="Times New Roman" w:cs="Times New Roman"/>
                    </w:rPr>
                  </w:pPr>
                  <w:r>
                    <w:rPr>
                      <w:rFonts w:ascii="Times New Roman" w:hAnsi="Times New Roman" w:cs="Times New Roman"/>
                    </w:rPr>
                    <w:t>地下水环境</w:t>
                  </w:r>
                </w:p>
              </w:tc>
              <w:tc>
                <w:tcPr>
                  <w:tcW w:w="7078" w:type="dxa"/>
                  <w:gridSpan w:val="8"/>
                  <w:tcBorders>
                    <w:tl2br w:val="nil"/>
                    <w:tr2bl w:val="nil"/>
                  </w:tcBorders>
                  <w:vAlign w:val="center"/>
                </w:tcPr>
                <w:p w14:paraId="3A8163D8">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w:t>
                  </w:r>
                </w:p>
              </w:tc>
            </w:tr>
            <w:tr w14:paraId="38E565B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767" w:type="dxa"/>
                  <w:tcBorders>
                    <w:tl2br w:val="nil"/>
                    <w:tr2bl w:val="nil"/>
                  </w:tcBorders>
                  <w:vAlign w:val="center"/>
                </w:tcPr>
                <w:p w14:paraId="7D61B190">
                  <w:pPr>
                    <w:pStyle w:val="42"/>
                    <w:keepNext w:val="0"/>
                    <w:keepLines w:val="0"/>
                    <w:pageBreakBefore w:val="0"/>
                    <w:kinsoku/>
                    <w:overflowPunct/>
                    <w:topLinePunct w:val="0"/>
                    <w:autoSpaceDE/>
                    <w:autoSpaceDN/>
                    <w:bidi w:val="0"/>
                    <w:spacing w:before="31" w:after="31" w:line="276" w:lineRule="auto"/>
                    <w:jc w:val="center"/>
                    <w:textAlignment w:val="auto"/>
                    <w:rPr>
                      <w:rFonts w:ascii="Times New Roman" w:hAnsi="Times New Roman" w:cs="Times New Roman"/>
                    </w:rPr>
                  </w:pPr>
                  <w:r>
                    <w:rPr>
                      <w:rFonts w:ascii="Times New Roman" w:hAnsi="Times New Roman" w:cs="Times New Roman"/>
                    </w:rPr>
                    <w:t>生态环境</w:t>
                  </w:r>
                </w:p>
              </w:tc>
              <w:tc>
                <w:tcPr>
                  <w:tcW w:w="7078" w:type="dxa"/>
                  <w:gridSpan w:val="8"/>
                  <w:tcBorders>
                    <w:tl2br w:val="nil"/>
                    <w:tr2bl w:val="nil"/>
                  </w:tcBorders>
                  <w:vAlign w:val="center"/>
                </w:tcPr>
                <w:p w14:paraId="5573B17A">
                  <w:pPr>
                    <w:keepNext w:val="0"/>
                    <w:keepLines w:val="0"/>
                    <w:pageBreakBefore w:val="0"/>
                    <w:kinsoku/>
                    <w:wordWrap w:val="0"/>
                    <w:overflowPunct/>
                    <w:topLinePunct w:val="0"/>
                    <w:autoSpaceDE/>
                    <w:autoSpaceDN/>
                    <w:bidi w:val="0"/>
                    <w:spacing w:before="2" w:line="276" w:lineRule="auto"/>
                    <w:jc w:val="center"/>
                    <w:textAlignment w:val="auto"/>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w:t>
                  </w:r>
                </w:p>
              </w:tc>
            </w:tr>
          </w:tbl>
          <w:p w14:paraId="406D55EA">
            <w:pPr>
              <w:spacing w:before="2" w:line="360" w:lineRule="auto"/>
              <w:jc w:val="left"/>
            </w:pPr>
            <w:r>
              <w:rPr>
                <w:rFonts w:ascii="Times New Roman" w:hAnsi="Times New Roman" w:eastAsia="黑体" w:cs="Times New Roman"/>
              </w:rPr>
              <w:t>注：以</w:t>
            </w:r>
            <w:r>
              <w:rPr>
                <w:rFonts w:hint="eastAsia" w:ascii="Times New Roman" w:hAnsi="Times New Roman" w:eastAsia="黑体" w:cs="Times New Roman"/>
              </w:rPr>
              <w:t>厂房</w:t>
            </w:r>
            <w:r>
              <w:rPr>
                <w:rFonts w:ascii="Times New Roman" w:hAnsi="Times New Roman" w:eastAsia="黑体" w:cs="Times New Roman"/>
              </w:rPr>
              <w:t>西南角为坐标原点（0,0）</w:t>
            </w:r>
          </w:p>
        </w:tc>
      </w:tr>
    </w:tbl>
    <w:p w14:paraId="0A28B3BA">
      <w:pPr>
        <w:rPr>
          <w:rFonts w:ascii="Times New Roman" w:hAnsi="Times New Roma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7"/>
        <w:tblW w:w="504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8064"/>
      </w:tblGrid>
      <w:tr w14:paraId="63B215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730" w:hRule="atLeast"/>
          <w:jc w:val="center"/>
        </w:trPr>
        <w:tc>
          <w:tcPr>
            <w:tcW w:w="268" w:type="pct"/>
            <w:tcMar>
              <w:left w:w="28" w:type="dxa"/>
              <w:right w:w="28" w:type="dxa"/>
            </w:tcMar>
            <w:vAlign w:val="center"/>
          </w:tcPr>
          <w:p w14:paraId="6BA4BF63">
            <w:pPr>
              <w:spacing w:line="360" w:lineRule="auto"/>
              <w:jc w:val="center"/>
              <w:rPr>
                <w:rFonts w:ascii="Times New Roman" w:hAnsi="Times New Roman" w:eastAsia="宋体" w:cs="宋体"/>
                <w:bCs/>
                <w:sz w:val="24"/>
                <w:szCs w:val="24"/>
              </w:rPr>
            </w:pPr>
            <w:r>
              <w:rPr>
                <w:rFonts w:hint="eastAsia" w:ascii="Times New Roman" w:hAnsi="Times New Roman" w:eastAsia="宋体" w:cs="宋体"/>
                <w:bCs/>
                <w:sz w:val="24"/>
                <w:szCs w:val="24"/>
              </w:rPr>
              <w:t>污染</w:t>
            </w:r>
          </w:p>
          <w:p w14:paraId="405341F8">
            <w:pPr>
              <w:spacing w:line="360" w:lineRule="auto"/>
              <w:jc w:val="center"/>
              <w:rPr>
                <w:rFonts w:ascii="Times New Roman" w:hAnsi="Times New Roman" w:eastAsia="宋体" w:cs="宋体"/>
                <w:bCs/>
                <w:sz w:val="24"/>
                <w:szCs w:val="24"/>
              </w:rPr>
            </w:pPr>
            <w:r>
              <w:rPr>
                <w:rFonts w:hint="eastAsia" w:ascii="Times New Roman" w:hAnsi="Times New Roman" w:eastAsia="宋体" w:cs="宋体"/>
                <w:bCs/>
                <w:sz w:val="24"/>
                <w:szCs w:val="24"/>
              </w:rPr>
              <w:t>物排</w:t>
            </w:r>
          </w:p>
          <w:p w14:paraId="7563925B">
            <w:pPr>
              <w:spacing w:line="360" w:lineRule="auto"/>
              <w:jc w:val="center"/>
              <w:rPr>
                <w:rFonts w:ascii="Times New Roman" w:hAnsi="Times New Roman" w:eastAsia="宋体" w:cs="宋体"/>
                <w:bCs/>
                <w:sz w:val="24"/>
                <w:szCs w:val="24"/>
              </w:rPr>
            </w:pPr>
            <w:r>
              <w:rPr>
                <w:rFonts w:hint="eastAsia" w:ascii="Times New Roman" w:hAnsi="Times New Roman" w:eastAsia="宋体" w:cs="宋体"/>
                <w:bCs/>
                <w:sz w:val="24"/>
                <w:szCs w:val="24"/>
              </w:rPr>
              <w:t>放控</w:t>
            </w:r>
          </w:p>
          <w:p w14:paraId="50998A48">
            <w:pPr>
              <w:spacing w:line="360" w:lineRule="auto"/>
              <w:jc w:val="center"/>
              <w:rPr>
                <w:rFonts w:ascii="Times New Roman" w:hAnsi="Times New Roman" w:eastAsia="宋体" w:cs="宋体"/>
                <w:bCs/>
                <w:sz w:val="24"/>
                <w:szCs w:val="24"/>
              </w:rPr>
            </w:pPr>
            <w:r>
              <w:rPr>
                <w:rFonts w:hint="eastAsia" w:ascii="Times New Roman" w:hAnsi="Times New Roman" w:eastAsia="宋体" w:cs="宋体"/>
                <w:bCs/>
                <w:sz w:val="24"/>
                <w:szCs w:val="24"/>
              </w:rPr>
              <w:t>制标</w:t>
            </w:r>
          </w:p>
          <w:p w14:paraId="57863D45">
            <w:pPr>
              <w:spacing w:line="360" w:lineRule="auto"/>
              <w:jc w:val="center"/>
              <w:rPr>
                <w:rFonts w:ascii="Times New Roman" w:hAnsi="Times New Roman" w:eastAsia="宋体" w:cs="宋体"/>
                <w:kern w:val="0"/>
                <w:szCs w:val="21"/>
              </w:rPr>
            </w:pPr>
            <w:r>
              <w:rPr>
                <w:rFonts w:hint="eastAsia" w:ascii="Times New Roman" w:hAnsi="Times New Roman" w:eastAsia="宋体" w:cs="宋体"/>
                <w:bCs/>
                <w:sz w:val="24"/>
                <w:szCs w:val="24"/>
              </w:rPr>
              <w:t>准</w:t>
            </w:r>
          </w:p>
        </w:tc>
        <w:tc>
          <w:tcPr>
            <w:tcW w:w="4732" w:type="pct"/>
            <w:vAlign w:val="center"/>
          </w:tcPr>
          <w:p w14:paraId="057BF37F">
            <w:pPr>
              <w:widowControl/>
              <w:spacing w:line="360" w:lineRule="auto"/>
              <w:ind w:firstLine="482" w:firstLineChars="200"/>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1、大气污染物排放标准</w:t>
            </w:r>
          </w:p>
          <w:p w14:paraId="2539C479">
            <w:pPr>
              <w:widowControl/>
              <w:spacing w:line="360" w:lineRule="auto"/>
              <w:ind w:firstLine="480" w:firstLineChars="200"/>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项目非甲烷总烃有组织排放执行《固定源挥发性有机物综合排放标准第6部分：其他行业》（DB34/4812.6-2024）中表1</w:t>
            </w:r>
            <w:r>
              <w:rPr>
                <w:rFonts w:hint="eastAsia" w:ascii="Times New Roman" w:hAnsi="Times New Roman" w:eastAsia="宋体" w:cs="Times New Roman"/>
                <w:bCs/>
                <w:kern w:val="0"/>
                <w:sz w:val="24"/>
                <w:szCs w:val="24"/>
                <w:lang w:val="en-US" w:eastAsia="zh-CN"/>
              </w:rPr>
              <w:t>中汽车零部件制造行业相应的</w:t>
            </w:r>
            <w:r>
              <w:rPr>
                <w:rFonts w:hint="eastAsia" w:ascii="Times New Roman" w:hAnsi="Times New Roman" w:eastAsia="宋体" w:cs="Times New Roman"/>
                <w:bCs/>
                <w:kern w:val="0"/>
                <w:sz w:val="24"/>
                <w:szCs w:val="24"/>
              </w:rPr>
              <w:t>大气污染物排放限值；颗粒物排放执行《大气污染物综合排放标准》（GB16297-1996）表2中二级标准限值；</w:t>
            </w:r>
          </w:p>
          <w:p w14:paraId="08FC9275">
            <w:pPr>
              <w:widowControl/>
              <w:spacing w:line="360" w:lineRule="auto"/>
              <w:ind w:firstLine="480" w:firstLineChars="200"/>
              <w:rPr>
                <w:rFonts w:ascii="Times New Roman" w:hAnsi="Times New Roman" w:eastAsia="宋体" w:cs="Times New Roman"/>
                <w:bCs/>
                <w:kern w:val="0"/>
                <w:sz w:val="24"/>
                <w:szCs w:val="24"/>
              </w:rPr>
            </w:pPr>
            <w:r>
              <w:rPr>
                <w:rFonts w:ascii="Times New Roman" w:hAnsi="Times New Roman"/>
                <w:sz w:val="24"/>
              </w:rPr>
              <w:t>厂区内非甲烷总烃无组织排放监控点浓度执行</w:t>
            </w:r>
            <w:r>
              <w:rPr>
                <w:rFonts w:hint="eastAsia" w:ascii="Times New Roman" w:hAnsi="Times New Roman"/>
                <w:sz w:val="24"/>
              </w:rPr>
              <w:t>《挥发性有机物无组织排</w:t>
            </w:r>
            <w:r>
              <w:rPr>
                <w:rFonts w:ascii="Times New Roman" w:hAnsi="Times New Roman"/>
                <w:sz w:val="24"/>
              </w:rPr>
              <w:t>放控制标准》（</w:t>
            </w:r>
            <w:r>
              <w:rPr>
                <w:rFonts w:ascii="Times New Roman" w:hAnsi="Times New Roman" w:cs="Times New Roman"/>
                <w:sz w:val="24"/>
              </w:rPr>
              <w:t>GB37822-2019）中附录A中表A.1规定的特别排放限值</w:t>
            </w:r>
            <w:r>
              <w:rPr>
                <w:rFonts w:hint="eastAsia" w:ascii="Times New Roman" w:hAnsi="Times New Roman" w:cs="Times New Roman"/>
                <w:sz w:val="24"/>
              </w:rPr>
              <w:t>；</w:t>
            </w:r>
          </w:p>
          <w:p w14:paraId="7D19A01D">
            <w:pPr>
              <w:widowControl/>
              <w:spacing w:line="360" w:lineRule="auto"/>
              <w:ind w:firstLine="480" w:firstLineChars="200"/>
              <w:rPr>
                <w:rFonts w:ascii="Times New Roman" w:hAnsi="Times New Roman" w:eastAsia="宋体" w:cs="Times New Roman"/>
                <w:bCs/>
                <w:kern w:val="0"/>
                <w:sz w:val="24"/>
                <w:szCs w:val="24"/>
              </w:rPr>
            </w:pPr>
            <w:r>
              <w:rPr>
                <w:rFonts w:hint="eastAsia" w:ascii="Times New Roman" w:hAnsi="Times New Roman" w:eastAsia="宋体" w:cs="Times New Roman"/>
                <w:bCs/>
                <w:kern w:val="0"/>
                <w:sz w:val="24"/>
                <w:szCs w:val="24"/>
              </w:rPr>
              <w:t>厂界大气污染物中颗粒物、非甲烷总烃排放执行</w:t>
            </w:r>
            <w:r>
              <w:rPr>
                <w:rFonts w:ascii="Times New Roman" w:hAnsi="Times New Roman" w:eastAsia="宋体" w:cs="Times New Roman"/>
                <w:bCs/>
                <w:sz w:val="24"/>
                <w:szCs w:val="24"/>
              </w:rPr>
              <w:t>《大气污染物综合排放标准》（GB16297-1996）表2中无组织排放监控浓度限值。</w:t>
            </w:r>
          </w:p>
          <w:p w14:paraId="6180492B">
            <w:pPr>
              <w:widowControl/>
              <w:spacing w:line="360" w:lineRule="auto"/>
              <w:ind w:firstLine="480" w:firstLineChars="200"/>
              <w:jc w:val="center"/>
              <w:rPr>
                <w:rFonts w:ascii="Times New Roman" w:hAnsi="Times New Roman" w:eastAsia="黑体" w:cs="Times New Roman"/>
                <w:bCs/>
                <w:kern w:val="0"/>
                <w:sz w:val="24"/>
                <w:szCs w:val="24"/>
              </w:rPr>
            </w:pPr>
            <w:r>
              <w:rPr>
                <w:rFonts w:hint="eastAsia" w:ascii="Times New Roman" w:hAnsi="Times New Roman" w:eastAsia="黑体" w:cs="Times New Roman"/>
                <w:bCs/>
                <w:kern w:val="0"/>
                <w:sz w:val="24"/>
                <w:szCs w:val="24"/>
              </w:rPr>
              <w:t>表3</w:t>
            </w:r>
            <w:r>
              <w:rPr>
                <w:rFonts w:ascii="Times New Roman" w:hAnsi="Times New Roman" w:eastAsia="黑体" w:cs="Times New Roman"/>
                <w:bCs/>
                <w:kern w:val="0"/>
                <w:sz w:val="24"/>
                <w:szCs w:val="24"/>
              </w:rPr>
              <w:t>-</w:t>
            </w:r>
            <w:r>
              <w:rPr>
                <w:rFonts w:hint="eastAsia" w:ascii="Times New Roman" w:hAnsi="Times New Roman" w:eastAsia="黑体" w:cs="Times New Roman"/>
                <w:bCs/>
                <w:kern w:val="0"/>
                <w:sz w:val="24"/>
                <w:szCs w:val="24"/>
              </w:rPr>
              <w:t>6</w:t>
            </w:r>
            <w:r>
              <w:rPr>
                <w:rFonts w:hint="eastAsia" w:ascii="Times New Roman" w:hAnsi="Times New Roman" w:eastAsia="黑体" w:cs="Times New Roman"/>
                <w:bCs/>
                <w:kern w:val="0"/>
                <w:sz w:val="24"/>
                <w:szCs w:val="24"/>
                <w:lang w:val="en-US" w:eastAsia="zh-CN"/>
              </w:rPr>
              <w:t xml:space="preserve">  </w:t>
            </w:r>
            <w:r>
              <w:rPr>
                <w:rFonts w:hint="eastAsia" w:ascii="Times New Roman" w:hAnsi="Times New Roman" w:eastAsia="黑体" w:cs="Times New Roman"/>
                <w:bCs/>
                <w:kern w:val="0"/>
                <w:sz w:val="24"/>
                <w:szCs w:val="24"/>
              </w:rPr>
              <w:t>废气排放标准</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387"/>
              <w:gridCol w:w="789"/>
              <w:gridCol w:w="1242"/>
              <w:gridCol w:w="1058"/>
              <w:gridCol w:w="1290"/>
              <w:gridCol w:w="3082"/>
            </w:tblGrid>
            <w:tr w14:paraId="01B45C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14:paraId="6C4EF90C">
                  <w:pPr>
                    <w:spacing w:line="276"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污染物</w:t>
                  </w:r>
                </w:p>
              </w:tc>
              <w:tc>
                <w:tcPr>
                  <w:tcW w:w="0" w:type="auto"/>
                  <w:vAlign w:val="center"/>
                </w:tcPr>
                <w:p w14:paraId="58422930">
                  <w:pPr>
                    <w:spacing w:line="276"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排气筒高度（m）</w:t>
                  </w:r>
                </w:p>
              </w:tc>
              <w:tc>
                <w:tcPr>
                  <w:tcW w:w="0" w:type="auto"/>
                  <w:vAlign w:val="center"/>
                </w:tcPr>
                <w:p w14:paraId="6302D296">
                  <w:pPr>
                    <w:spacing w:line="276"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最高允许排放浓度（mg/m</w:t>
                  </w:r>
                  <w:r>
                    <w:rPr>
                      <w:rFonts w:ascii="Times New Roman" w:hAnsi="Times New Roman" w:eastAsia="宋体" w:cs="Times New Roman"/>
                      <w:b/>
                      <w:bCs/>
                      <w:szCs w:val="21"/>
                      <w:vertAlign w:val="superscript"/>
                    </w:rPr>
                    <w:t>3</w:t>
                  </w:r>
                  <w:r>
                    <w:rPr>
                      <w:rFonts w:hint="eastAsia" w:ascii="Times New Roman" w:hAnsi="Times New Roman" w:eastAsia="宋体" w:cs="Times New Roman"/>
                      <w:b/>
                      <w:bCs/>
                      <w:szCs w:val="21"/>
                    </w:rPr>
                    <w:t>）</w:t>
                  </w:r>
                </w:p>
              </w:tc>
              <w:tc>
                <w:tcPr>
                  <w:tcW w:w="0" w:type="auto"/>
                  <w:vAlign w:val="center"/>
                </w:tcPr>
                <w:p w14:paraId="6676B9E0">
                  <w:pPr>
                    <w:spacing w:line="276"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最高允许排放速率（kg/h）</w:t>
                  </w:r>
                </w:p>
              </w:tc>
              <w:tc>
                <w:tcPr>
                  <w:tcW w:w="0" w:type="auto"/>
                  <w:vAlign w:val="center"/>
                </w:tcPr>
                <w:p w14:paraId="00CB39B2">
                  <w:pPr>
                    <w:spacing w:line="276"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无组织排放监控浓度限值（mg/m</w:t>
                  </w:r>
                  <w:r>
                    <w:rPr>
                      <w:rFonts w:ascii="Times New Roman" w:hAnsi="Times New Roman" w:eastAsia="宋体" w:cs="Times New Roman"/>
                      <w:b/>
                      <w:bCs/>
                      <w:szCs w:val="21"/>
                      <w:vertAlign w:val="superscript"/>
                    </w:rPr>
                    <w:t>3</w:t>
                  </w:r>
                  <w:r>
                    <w:rPr>
                      <w:rFonts w:hint="eastAsia" w:ascii="Times New Roman" w:hAnsi="Times New Roman" w:eastAsia="宋体" w:cs="Times New Roman"/>
                      <w:b/>
                      <w:bCs/>
                      <w:szCs w:val="21"/>
                    </w:rPr>
                    <w:t>）</w:t>
                  </w:r>
                </w:p>
              </w:tc>
              <w:tc>
                <w:tcPr>
                  <w:tcW w:w="0" w:type="auto"/>
                  <w:vAlign w:val="center"/>
                </w:tcPr>
                <w:p w14:paraId="556A82FA">
                  <w:pPr>
                    <w:spacing w:line="276"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执行标准</w:t>
                  </w:r>
                </w:p>
              </w:tc>
            </w:tr>
            <w:tr w14:paraId="02BE151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14:paraId="4EC39499">
                  <w:pPr>
                    <w:spacing w:line="276" w:lineRule="auto"/>
                    <w:jc w:val="center"/>
                    <w:rPr>
                      <w:rFonts w:ascii="Times New Roman" w:hAnsi="Times New Roman" w:eastAsia="宋体" w:cs="Times New Roman"/>
                      <w:bCs/>
                      <w:szCs w:val="21"/>
                    </w:rPr>
                  </w:pPr>
                  <w:r>
                    <w:rPr>
                      <w:rFonts w:hint="eastAsia" w:ascii="Times New Roman" w:hAnsi="Times New Roman" w:eastAsia="宋体" w:cs="Times New Roman"/>
                      <w:bCs/>
                      <w:szCs w:val="21"/>
                    </w:rPr>
                    <w:t>颗粒物</w:t>
                  </w:r>
                </w:p>
              </w:tc>
              <w:tc>
                <w:tcPr>
                  <w:tcW w:w="0" w:type="auto"/>
                  <w:vMerge w:val="restart"/>
                  <w:vAlign w:val="center"/>
                </w:tcPr>
                <w:p w14:paraId="770FD1AD">
                  <w:pPr>
                    <w:spacing w:line="276" w:lineRule="auto"/>
                    <w:jc w:val="center"/>
                    <w:rPr>
                      <w:rFonts w:ascii="Times New Roman" w:hAnsi="Times New Roman" w:eastAsia="宋体" w:cs="Times New Roman"/>
                      <w:bCs/>
                      <w:szCs w:val="21"/>
                    </w:rPr>
                  </w:pPr>
                  <w:r>
                    <w:rPr>
                      <w:rFonts w:hint="eastAsia" w:ascii="Times New Roman" w:hAnsi="Times New Roman" w:eastAsia="宋体" w:cs="Times New Roman"/>
                      <w:bCs/>
                      <w:szCs w:val="21"/>
                    </w:rPr>
                    <w:t>20</w:t>
                  </w:r>
                </w:p>
              </w:tc>
              <w:tc>
                <w:tcPr>
                  <w:tcW w:w="0" w:type="auto"/>
                  <w:vAlign w:val="center"/>
                </w:tcPr>
                <w:p w14:paraId="18B95F7A">
                  <w:pPr>
                    <w:spacing w:line="276" w:lineRule="auto"/>
                    <w:jc w:val="center"/>
                    <w:rPr>
                      <w:rFonts w:ascii="Times New Roman" w:hAnsi="Times New Roman" w:eastAsia="宋体" w:cs="Times New Roman"/>
                      <w:bCs/>
                      <w:szCs w:val="21"/>
                    </w:rPr>
                  </w:pPr>
                  <w:r>
                    <w:rPr>
                      <w:rFonts w:ascii="Times New Roman" w:hAnsi="Times New Roman" w:eastAsia="宋体" w:cs="Times New Roman"/>
                      <w:bCs/>
                      <w:szCs w:val="21"/>
                    </w:rPr>
                    <w:t>120</w:t>
                  </w:r>
                </w:p>
              </w:tc>
              <w:tc>
                <w:tcPr>
                  <w:tcW w:w="0" w:type="auto"/>
                  <w:vAlign w:val="center"/>
                </w:tcPr>
                <w:p w14:paraId="4F8CAE9E">
                  <w:pPr>
                    <w:spacing w:line="276" w:lineRule="auto"/>
                    <w:jc w:val="center"/>
                    <w:rPr>
                      <w:rFonts w:ascii="Times New Roman" w:hAnsi="Times New Roman" w:eastAsia="宋体" w:cs="Times New Roman"/>
                      <w:bCs/>
                      <w:szCs w:val="21"/>
                    </w:rPr>
                  </w:pPr>
                  <w:r>
                    <w:rPr>
                      <w:rFonts w:hint="eastAsia" w:ascii="Times New Roman" w:hAnsi="Times New Roman" w:eastAsia="宋体" w:cs="Times New Roman"/>
                      <w:bCs/>
                      <w:szCs w:val="21"/>
                    </w:rPr>
                    <w:t>5.9</w:t>
                  </w:r>
                </w:p>
              </w:tc>
              <w:tc>
                <w:tcPr>
                  <w:tcW w:w="0" w:type="auto"/>
                  <w:vAlign w:val="center"/>
                </w:tcPr>
                <w:p w14:paraId="6D838E88">
                  <w:pPr>
                    <w:spacing w:line="276" w:lineRule="auto"/>
                    <w:jc w:val="center"/>
                    <w:rPr>
                      <w:rFonts w:ascii="Times New Roman" w:hAnsi="Times New Roman" w:eastAsia="宋体" w:cs="Times New Roman"/>
                      <w:bCs/>
                      <w:szCs w:val="21"/>
                    </w:rPr>
                  </w:pPr>
                  <w:r>
                    <w:rPr>
                      <w:rFonts w:ascii="Times New Roman" w:hAnsi="Times New Roman" w:eastAsia="宋体" w:cs="Times New Roman"/>
                      <w:bCs/>
                      <w:szCs w:val="21"/>
                    </w:rPr>
                    <w:t>1.0</w:t>
                  </w:r>
                </w:p>
              </w:tc>
              <w:tc>
                <w:tcPr>
                  <w:tcW w:w="0" w:type="auto"/>
                  <w:vMerge w:val="restart"/>
                  <w:vAlign w:val="center"/>
                </w:tcPr>
                <w:p w14:paraId="17F71952">
                  <w:pPr>
                    <w:spacing w:line="276" w:lineRule="auto"/>
                    <w:jc w:val="center"/>
                    <w:rPr>
                      <w:rFonts w:ascii="Times New Roman" w:hAnsi="Times New Roman" w:eastAsia="宋体" w:cs="Times New Roman"/>
                      <w:bCs/>
                      <w:szCs w:val="21"/>
                    </w:rPr>
                  </w:pPr>
                  <w:r>
                    <w:rPr>
                      <w:rFonts w:hint="eastAsia" w:ascii="Times New Roman" w:hAnsi="Times New Roman" w:eastAsia="宋体" w:cs="Times New Roman"/>
                      <w:bCs/>
                      <w:szCs w:val="21"/>
                    </w:rPr>
                    <w:t>非甲烷总烃有组织排放执行《固定源挥发性有机物综合排放标准第6部分：其他行业》（DB34/4812.6-2024）；</w:t>
                  </w:r>
                </w:p>
                <w:p w14:paraId="17CCCE44">
                  <w:pPr>
                    <w:spacing w:line="276" w:lineRule="auto"/>
                    <w:jc w:val="center"/>
                    <w:rPr>
                      <w:rFonts w:ascii="Times New Roman" w:hAnsi="Times New Roman" w:eastAsia="宋体" w:cs="Times New Roman"/>
                      <w:bCs/>
                      <w:szCs w:val="21"/>
                    </w:rPr>
                  </w:pPr>
                  <w:r>
                    <w:rPr>
                      <w:rFonts w:hint="eastAsia" w:ascii="Times New Roman" w:hAnsi="Times New Roman" w:eastAsia="宋体" w:cs="Times New Roman"/>
                      <w:bCs/>
                      <w:szCs w:val="21"/>
                    </w:rPr>
                    <w:t>颗粒物有组织排放执行大气污染物综合排放标准》（GB16297-1996）；</w:t>
                  </w:r>
                </w:p>
                <w:p w14:paraId="157D9EED">
                  <w:pPr>
                    <w:spacing w:line="276" w:lineRule="auto"/>
                    <w:jc w:val="center"/>
                    <w:rPr>
                      <w:rFonts w:ascii="Times New Roman" w:hAnsi="Times New Roman" w:eastAsia="宋体" w:cs="Times New Roman"/>
                      <w:bCs/>
                      <w:szCs w:val="21"/>
                    </w:rPr>
                  </w:pPr>
                  <w:r>
                    <w:rPr>
                      <w:rFonts w:hint="eastAsia" w:ascii="Times New Roman" w:hAnsi="Times New Roman" w:eastAsia="宋体" w:cs="Times New Roman"/>
                      <w:bCs/>
                      <w:szCs w:val="21"/>
                    </w:rPr>
                    <w:t>厂界大气污染物中颗粒物、非甲烷总烃排放执行《大气污染物综合排放标准》（GB16297-1996）表2中无组织排放监控浓度限值</w:t>
                  </w:r>
                </w:p>
              </w:tc>
            </w:tr>
            <w:tr w14:paraId="3292C4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14:paraId="197026BD">
                  <w:pPr>
                    <w:spacing w:line="276" w:lineRule="auto"/>
                    <w:jc w:val="center"/>
                    <w:rPr>
                      <w:rFonts w:ascii="Times New Roman" w:hAnsi="Times New Roman" w:eastAsia="宋体" w:cs="Times New Roman"/>
                      <w:bCs/>
                      <w:szCs w:val="21"/>
                    </w:rPr>
                  </w:pPr>
                  <w:r>
                    <w:rPr>
                      <w:rFonts w:hint="eastAsia" w:ascii="Times New Roman" w:hAnsi="Times New Roman" w:eastAsia="宋体" w:cs="Times New Roman"/>
                      <w:bCs/>
                      <w:szCs w:val="21"/>
                    </w:rPr>
                    <w:t>非甲烷总烃</w:t>
                  </w:r>
                </w:p>
              </w:tc>
              <w:tc>
                <w:tcPr>
                  <w:tcW w:w="0" w:type="auto"/>
                  <w:vMerge w:val="continue"/>
                  <w:vAlign w:val="center"/>
                </w:tcPr>
                <w:p w14:paraId="26CC0945">
                  <w:pPr>
                    <w:spacing w:line="276" w:lineRule="auto"/>
                    <w:jc w:val="center"/>
                    <w:rPr>
                      <w:rFonts w:ascii="Times New Roman" w:hAnsi="Times New Roman" w:eastAsia="宋体" w:cs="Times New Roman"/>
                      <w:bCs/>
                      <w:szCs w:val="21"/>
                    </w:rPr>
                  </w:pPr>
                </w:p>
              </w:tc>
              <w:tc>
                <w:tcPr>
                  <w:tcW w:w="0" w:type="auto"/>
                  <w:vAlign w:val="center"/>
                </w:tcPr>
                <w:p w14:paraId="1757D305">
                  <w:pPr>
                    <w:spacing w:line="276" w:lineRule="auto"/>
                    <w:jc w:val="center"/>
                    <w:rPr>
                      <w:rFonts w:ascii="Times New Roman" w:hAnsi="Times New Roman" w:eastAsia="宋体" w:cs="Times New Roman"/>
                      <w:bCs/>
                      <w:szCs w:val="21"/>
                    </w:rPr>
                  </w:pPr>
                  <w:r>
                    <w:rPr>
                      <w:rFonts w:ascii="Times New Roman" w:hAnsi="Times New Roman" w:eastAsia="宋体" w:cs="Times New Roman"/>
                      <w:bCs/>
                      <w:szCs w:val="21"/>
                    </w:rPr>
                    <w:t>60</w:t>
                  </w:r>
                </w:p>
              </w:tc>
              <w:tc>
                <w:tcPr>
                  <w:tcW w:w="0" w:type="auto"/>
                  <w:vAlign w:val="center"/>
                </w:tcPr>
                <w:p w14:paraId="7DDC70CC">
                  <w:pPr>
                    <w:spacing w:line="276" w:lineRule="auto"/>
                    <w:jc w:val="center"/>
                    <w:rPr>
                      <w:rFonts w:ascii="Times New Roman" w:hAnsi="Times New Roman" w:eastAsia="宋体" w:cs="Times New Roman"/>
                      <w:bCs/>
                      <w:szCs w:val="21"/>
                    </w:rPr>
                  </w:pPr>
                  <w:r>
                    <w:rPr>
                      <w:rFonts w:ascii="Times New Roman" w:hAnsi="Times New Roman" w:eastAsia="宋体" w:cs="Times New Roman"/>
                      <w:bCs/>
                      <w:szCs w:val="21"/>
                    </w:rPr>
                    <w:t>2.0</w:t>
                  </w:r>
                </w:p>
              </w:tc>
              <w:tc>
                <w:tcPr>
                  <w:tcW w:w="0" w:type="auto"/>
                  <w:vAlign w:val="center"/>
                </w:tcPr>
                <w:p w14:paraId="42357985">
                  <w:pPr>
                    <w:spacing w:line="276" w:lineRule="auto"/>
                    <w:jc w:val="center"/>
                    <w:rPr>
                      <w:rFonts w:ascii="Times New Roman" w:hAnsi="Times New Roman" w:eastAsia="宋体" w:cs="Times New Roman"/>
                      <w:bCs/>
                      <w:szCs w:val="21"/>
                    </w:rPr>
                  </w:pPr>
                  <w:r>
                    <w:rPr>
                      <w:rFonts w:ascii="Times New Roman" w:hAnsi="Times New Roman" w:eastAsia="宋体" w:cs="Times New Roman"/>
                      <w:bCs/>
                      <w:szCs w:val="21"/>
                    </w:rPr>
                    <w:t>4.0</w:t>
                  </w:r>
                </w:p>
              </w:tc>
              <w:tc>
                <w:tcPr>
                  <w:tcW w:w="0" w:type="auto"/>
                  <w:vMerge w:val="continue"/>
                  <w:vAlign w:val="center"/>
                </w:tcPr>
                <w:p w14:paraId="02D3CAF9">
                  <w:pPr>
                    <w:spacing w:line="276" w:lineRule="auto"/>
                    <w:jc w:val="center"/>
                    <w:rPr>
                      <w:rFonts w:ascii="Times New Roman" w:hAnsi="Times New Roman" w:eastAsia="宋体" w:cs="Times New Roman"/>
                      <w:b/>
                      <w:bCs/>
                      <w:szCs w:val="21"/>
                    </w:rPr>
                  </w:pPr>
                </w:p>
              </w:tc>
            </w:tr>
          </w:tbl>
          <w:p w14:paraId="118B7997">
            <w:pPr>
              <w:widowControl/>
              <w:spacing w:line="360" w:lineRule="auto"/>
              <w:jc w:val="center"/>
              <w:rPr>
                <w:rFonts w:ascii="Times New Roman" w:hAnsi="Times New Roman" w:eastAsia="黑体" w:cs="Times New Roman"/>
                <w:bCs/>
                <w:kern w:val="0"/>
                <w:sz w:val="24"/>
                <w:szCs w:val="24"/>
              </w:rPr>
            </w:pPr>
            <w:r>
              <w:rPr>
                <w:rFonts w:ascii="Times New Roman" w:hAnsi="Times New Roman" w:eastAsia="黑体" w:cs="Times New Roman"/>
                <w:bCs/>
                <w:kern w:val="0"/>
                <w:sz w:val="24"/>
                <w:szCs w:val="24"/>
              </w:rPr>
              <w:t>表3</w:t>
            </w:r>
            <w:r>
              <w:rPr>
                <w:rFonts w:hint="eastAsia" w:ascii="Times New Roman" w:hAnsi="Times New Roman" w:eastAsia="黑体" w:cs="Times New Roman"/>
                <w:bCs/>
                <w:kern w:val="0"/>
                <w:sz w:val="24"/>
                <w:szCs w:val="24"/>
              </w:rPr>
              <w:t>-7  厂区内大气</w:t>
            </w:r>
            <w:r>
              <w:rPr>
                <w:rFonts w:ascii="Times New Roman" w:hAnsi="Times New Roman" w:eastAsia="黑体" w:cs="Times New Roman"/>
                <w:bCs/>
                <w:kern w:val="0"/>
                <w:sz w:val="24"/>
                <w:szCs w:val="24"/>
              </w:rPr>
              <w:t>污染物无组织排放标准</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961"/>
              <w:gridCol w:w="2268"/>
              <w:gridCol w:w="2551"/>
              <w:gridCol w:w="2068"/>
            </w:tblGrid>
            <w:tr w14:paraId="49DA65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961" w:type="dxa"/>
                  <w:vAlign w:val="center"/>
                </w:tcPr>
                <w:p w14:paraId="084052B3">
                  <w:pPr>
                    <w:spacing w:line="276" w:lineRule="auto"/>
                    <w:jc w:val="center"/>
                    <w:rPr>
                      <w:rFonts w:ascii="Times New Roman" w:hAnsi="Times New Roman" w:eastAsia="宋体" w:cs="Times New Roman"/>
                      <w:b/>
                      <w:bCs/>
                      <w:szCs w:val="21"/>
                    </w:rPr>
                  </w:pPr>
                  <w:r>
                    <w:rPr>
                      <w:rFonts w:ascii="Times New Roman" w:hAnsi="Times New Roman" w:eastAsia="宋体" w:cs="Times New Roman"/>
                      <w:b/>
                      <w:bCs/>
                      <w:szCs w:val="21"/>
                    </w:rPr>
                    <w:t>污染物</w:t>
                  </w:r>
                </w:p>
              </w:tc>
              <w:tc>
                <w:tcPr>
                  <w:tcW w:w="2268" w:type="dxa"/>
                  <w:vAlign w:val="center"/>
                </w:tcPr>
                <w:p w14:paraId="115AAEA8">
                  <w:pPr>
                    <w:spacing w:line="276" w:lineRule="auto"/>
                    <w:jc w:val="center"/>
                    <w:rPr>
                      <w:rFonts w:ascii="Times New Roman" w:hAnsi="Times New Roman" w:eastAsia="宋体" w:cs="Times New Roman"/>
                      <w:b/>
                      <w:bCs/>
                      <w:szCs w:val="21"/>
                    </w:rPr>
                  </w:pPr>
                  <w:r>
                    <w:rPr>
                      <w:rFonts w:ascii="Times New Roman" w:hAnsi="Times New Roman" w:eastAsia="宋体" w:cs="Times New Roman"/>
                      <w:b/>
                      <w:bCs/>
                      <w:szCs w:val="21"/>
                    </w:rPr>
                    <w:t>特别排放限值（mg/m</w:t>
                  </w:r>
                  <w:r>
                    <w:rPr>
                      <w:rFonts w:ascii="Times New Roman" w:hAnsi="Times New Roman" w:eastAsia="宋体" w:cs="Times New Roman"/>
                      <w:b/>
                      <w:bCs/>
                      <w:szCs w:val="21"/>
                      <w:vertAlign w:val="superscript"/>
                    </w:rPr>
                    <w:t>3</w:t>
                  </w:r>
                  <w:r>
                    <w:rPr>
                      <w:rFonts w:ascii="Times New Roman" w:hAnsi="Times New Roman" w:eastAsia="宋体" w:cs="Times New Roman"/>
                      <w:b/>
                      <w:bCs/>
                      <w:szCs w:val="21"/>
                    </w:rPr>
                    <w:t>）</w:t>
                  </w:r>
                </w:p>
              </w:tc>
              <w:tc>
                <w:tcPr>
                  <w:tcW w:w="2551" w:type="dxa"/>
                  <w:vAlign w:val="center"/>
                </w:tcPr>
                <w:p w14:paraId="32346366">
                  <w:pPr>
                    <w:spacing w:line="276"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限值</w:t>
                  </w:r>
                  <w:r>
                    <w:rPr>
                      <w:rFonts w:ascii="Times New Roman" w:hAnsi="Times New Roman" w:eastAsia="宋体" w:cs="Times New Roman"/>
                      <w:b/>
                      <w:bCs/>
                      <w:szCs w:val="21"/>
                    </w:rPr>
                    <w:t>含义</w:t>
                  </w:r>
                </w:p>
              </w:tc>
              <w:tc>
                <w:tcPr>
                  <w:tcW w:w="2068" w:type="dxa"/>
                  <w:vAlign w:val="center"/>
                </w:tcPr>
                <w:p w14:paraId="4BF78048">
                  <w:pPr>
                    <w:spacing w:line="276"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无组织排放监控位置</w:t>
                  </w:r>
                </w:p>
              </w:tc>
            </w:tr>
            <w:tr w14:paraId="39BB27F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961" w:type="dxa"/>
                  <w:vMerge w:val="restart"/>
                  <w:vAlign w:val="center"/>
                </w:tcPr>
                <w:p w14:paraId="1435B056">
                  <w:pPr>
                    <w:spacing w:line="276" w:lineRule="auto"/>
                    <w:jc w:val="center"/>
                    <w:rPr>
                      <w:rFonts w:ascii="Times New Roman" w:hAnsi="Times New Roman" w:eastAsia="宋体" w:cs="Times New Roman"/>
                      <w:bCs/>
                      <w:szCs w:val="21"/>
                    </w:rPr>
                  </w:pPr>
                  <w:r>
                    <w:rPr>
                      <w:rFonts w:hint="eastAsia" w:ascii="Times New Roman" w:hAnsi="Times New Roman" w:eastAsia="宋体" w:cs="Times New Roman"/>
                      <w:szCs w:val="21"/>
                    </w:rPr>
                    <w:t>非甲烷总烃</w:t>
                  </w:r>
                </w:p>
              </w:tc>
              <w:tc>
                <w:tcPr>
                  <w:tcW w:w="2268" w:type="dxa"/>
                  <w:vAlign w:val="center"/>
                </w:tcPr>
                <w:p w14:paraId="60AF95F5">
                  <w:pPr>
                    <w:tabs>
                      <w:tab w:val="left" w:pos="0"/>
                    </w:tabs>
                    <w:spacing w:line="276"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2551" w:type="dxa"/>
                  <w:vAlign w:val="center"/>
                </w:tcPr>
                <w:p w14:paraId="03898605">
                  <w:pPr>
                    <w:tabs>
                      <w:tab w:val="left" w:pos="0"/>
                    </w:tabs>
                    <w:spacing w:line="276" w:lineRule="auto"/>
                    <w:jc w:val="center"/>
                    <w:rPr>
                      <w:rFonts w:ascii="Times New Roman" w:hAnsi="Times New Roman" w:eastAsia="宋体" w:cs="Times New Roman"/>
                      <w:szCs w:val="21"/>
                    </w:rPr>
                  </w:pPr>
                  <w:r>
                    <w:rPr>
                      <w:rFonts w:ascii="Times New Roman" w:hAnsi="Times New Roman" w:eastAsia="宋体" w:cs="Times New Roman"/>
                      <w:szCs w:val="21"/>
                    </w:rPr>
                    <w:t>监控点处</w:t>
                  </w:r>
                  <w:r>
                    <w:rPr>
                      <w:rFonts w:hint="eastAsia" w:ascii="Times New Roman" w:hAnsi="Times New Roman" w:eastAsia="宋体" w:cs="Times New Roman"/>
                      <w:szCs w:val="21"/>
                    </w:rPr>
                    <w:t>1h平均浓度值</w:t>
                  </w:r>
                </w:p>
              </w:tc>
              <w:tc>
                <w:tcPr>
                  <w:tcW w:w="2068" w:type="dxa"/>
                  <w:vMerge w:val="restart"/>
                  <w:vAlign w:val="center"/>
                </w:tcPr>
                <w:p w14:paraId="721FC968">
                  <w:pPr>
                    <w:tabs>
                      <w:tab w:val="left" w:pos="0"/>
                    </w:tabs>
                    <w:spacing w:line="276" w:lineRule="auto"/>
                    <w:jc w:val="center"/>
                    <w:rPr>
                      <w:rFonts w:ascii="Times New Roman" w:hAnsi="Times New Roman" w:eastAsia="宋体" w:cs="Times New Roman"/>
                      <w:szCs w:val="21"/>
                    </w:rPr>
                  </w:pPr>
                  <w:r>
                    <w:rPr>
                      <w:rFonts w:hint="eastAsia" w:ascii="Times New Roman" w:hAnsi="Times New Roman" w:eastAsia="宋体" w:cs="Times New Roman"/>
                      <w:szCs w:val="21"/>
                    </w:rPr>
                    <w:t>在</w:t>
                  </w:r>
                  <w:r>
                    <w:rPr>
                      <w:rFonts w:ascii="Times New Roman" w:hAnsi="Times New Roman" w:eastAsia="宋体" w:cs="Times New Roman"/>
                      <w:szCs w:val="21"/>
                    </w:rPr>
                    <w:t>厂房外设置监控点</w:t>
                  </w:r>
                </w:p>
              </w:tc>
            </w:tr>
            <w:tr w14:paraId="162156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jc w:val="center"/>
              </w:trPr>
              <w:tc>
                <w:tcPr>
                  <w:tcW w:w="961" w:type="dxa"/>
                  <w:vMerge w:val="continue"/>
                  <w:vAlign w:val="center"/>
                </w:tcPr>
                <w:p w14:paraId="559C9FE9">
                  <w:pPr>
                    <w:spacing w:line="276" w:lineRule="auto"/>
                    <w:jc w:val="center"/>
                    <w:rPr>
                      <w:rFonts w:ascii="Times New Roman" w:hAnsi="Times New Roman" w:eastAsia="宋体" w:cs="Times New Roman"/>
                      <w:szCs w:val="21"/>
                    </w:rPr>
                  </w:pPr>
                </w:p>
              </w:tc>
              <w:tc>
                <w:tcPr>
                  <w:tcW w:w="2268" w:type="dxa"/>
                  <w:vAlign w:val="center"/>
                </w:tcPr>
                <w:p w14:paraId="26B49842">
                  <w:pPr>
                    <w:spacing w:line="276" w:lineRule="auto"/>
                    <w:jc w:val="center"/>
                    <w:rPr>
                      <w:rFonts w:ascii="Times New Roman" w:hAnsi="Times New Roman" w:eastAsia="宋体" w:cs="Times New Roman"/>
                      <w:szCs w:val="21"/>
                    </w:rPr>
                  </w:pPr>
                  <w:r>
                    <w:rPr>
                      <w:rFonts w:hint="eastAsia" w:ascii="Times New Roman" w:hAnsi="Times New Roman" w:eastAsia="宋体" w:cs="Times New Roman"/>
                      <w:szCs w:val="21"/>
                    </w:rPr>
                    <w:t>20</w:t>
                  </w:r>
                </w:p>
              </w:tc>
              <w:tc>
                <w:tcPr>
                  <w:tcW w:w="2551" w:type="dxa"/>
                  <w:vAlign w:val="center"/>
                </w:tcPr>
                <w:p w14:paraId="361C165F">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监控点处任意一次浓度值</w:t>
                  </w:r>
                </w:p>
              </w:tc>
              <w:tc>
                <w:tcPr>
                  <w:tcW w:w="2068" w:type="dxa"/>
                  <w:vMerge w:val="continue"/>
                  <w:vAlign w:val="center"/>
                </w:tcPr>
                <w:p w14:paraId="74D79788">
                  <w:pPr>
                    <w:spacing w:line="276" w:lineRule="auto"/>
                    <w:jc w:val="center"/>
                    <w:rPr>
                      <w:rFonts w:ascii="Times New Roman" w:hAnsi="Times New Roman" w:eastAsia="宋体" w:cs="Times New Roman"/>
                      <w:szCs w:val="21"/>
                    </w:rPr>
                  </w:pPr>
                </w:p>
              </w:tc>
            </w:tr>
          </w:tbl>
          <w:p w14:paraId="52223360">
            <w:pPr>
              <w:spacing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2、水污染物排放标准</w:t>
            </w:r>
          </w:p>
          <w:p w14:paraId="57AD5AD6">
            <w:pPr>
              <w:widowControl/>
              <w:spacing w:line="360" w:lineRule="auto"/>
              <w:ind w:firstLine="480" w:firstLineChars="200"/>
              <w:rPr>
                <w:rFonts w:ascii="Times New Roman" w:hAnsi="宋体" w:eastAsia="宋体" w:cs="Times New Roman"/>
                <w:bCs/>
                <w:spacing w:val="-1"/>
                <w:kern w:val="0"/>
                <w:sz w:val="24"/>
                <w:szCs w:val="24"/>
              </w:rPr>
            </w:pPr>
            <w:r>
              <w:rPr>
                <w:rFonts w:hint="eastAsia" w:ascii="Times New Roman" w:hAnsi="宋体" w:eastAsia="宋体" w:cs="Times New Roman"/>
                <w:bCs/>
                <w:sz w:val="24"/>
                <w:szCs w:val="24"/>
              </w:rPr>
              <w:t>本项目</w:t>
            </w:r>
            <w:r>
              <w:rPr>
                <w:rFonts w:hint="eastAsia" w:ascii="Times New Roman" w:hAnsi="宋体" w:eastAsia="宋体" w:cs="Times New Roman"/>
                <w:bCs/>
                <w:sz w:val="24"/>
                <w:szCs w:val="24"/>
                <w:lang w:val="en-US" w:eastAsia="zh-CN"/>
              </w:rPr>
              <w:t>外排</w:t>
            </w:r>
            <w:r>
              <w:rPr>
                <w:rFonts w:hint="eastAsia" w:ascii="Times New Roman" w:hAnsi="宋体" w:eastAsia="宋体" w:cs="Times New Roman"/>
                <w:bCs/>
                <w:sz w:val="24"/>
                <w:szCs w:val="24"/>
              </w:rPr>
              <w:t>废水主要为生活污水</w:t>
            </w:r>
            <w:r>
              <w:rPr>
                <w:rFonts w:hint="eastAsia" w:ascii="Times New Roman" w:hAnsi="Times New Roman" w:eastAsia="宋体" w:cs="Times New Roman"/>
                <w:sz w:val="24"/>
              </w:rPr>
              <w:t>。</w:t>
            </w:r>
            <w:r>
              <w:rPr>
                <w:rFonts w:hint="eastAsia" w:ascii="Times New Roman" w:hAnsi="宋体" w:eastAsia="宋体" w:cs="Times New Roman"/>
                <w:bCs/>
                <w:sz w:val="24"/>
                <w:szCs w:val="24"/>
              </w:rPr>
              <w:t>生活污水经化粪池预处理后，</w:t>
            </w:r>
            <w:r>
              <w:rPr>
                <w:rFonts w:hint="eastAsia" w:ascii="Times New Roman" w:hAnsi="Times New Roman" w:eastAsia="宋体" w:cs="Times New Roman"/>
                <w:bCs/>
                <w:sz w:val="24"/>
              </w:rPr>
              <w:t>达到</w:t>
            </w:r>
            <w:r>
              <w:rPr>
                <w:rFonts w:hint="eastAsia" w:ascii="Times New Roman" w:hAnsi="Times New Roman" w:eastAsia="宋体" w:cs="Times New Roman"/>
                <w:sz w:val="24"/>
              </w:rPr>
              <w:t>八公山污水处理厂接管限值后，</w:t>
            </w:r>
            <w:r>
              <w:rPr>
                <w:rFonts w:hint="eastAsia" w:ascii="Times New Roman" w:hAnsi="Times New Roman" w:eastAsia="宋体" w:cs="Times New Roman"/>
                <w:bCs/>
                <w:sz w:val="24"/>
              </w:rPr>
              <w:t>排入</w:t>
            </w:r>
            <w:r>
              <w:rPr>
                <w:rFonts w:hint="eastAsia" w:ascii="Times New Roman" w:hAnsi="Times New Roman" w:eastAsia="宋体" w:cs="Times New Roman"/>
                <w:sz w:val="24"/>
              </w:rPr>
              <w:t>八公山污水处理厂</w:t>
            </w:r>
            <w:r>
              <w:rPr>
                <w:rFonts w:hint="eastAsia" w:ascii="Times New Roman" w:hAnsi="Times New Roman" w:eastAsia="宋体" w:cs="Times New Roman"/>
                <w:bCs/>
                <w:sz w:val="24"/>
              </w:rPr>
              <w:t>处理</w:t>
            </w:r>
            <w:r>
              <w:rPr>
                <w:rFonts w:ascii="Times New Roman" w:hAnsi="Times New Roman" w:eastAsia="宋体" w:cs="Times New Roman"/>
                <w:bCs/>
                <w:sz w:val="24"/>
              </w:rPr>
              <w:t>达</w:t>
            </w:r>
            <w:r>
              <w:rPr>
                <w:rFonts w:hint="eastAsia" w:ascii="Times New Roman" w:hAnsi="Times New Roman" w:eastAsia="宋体" w:cs="Times New Roman"/>
                <w:bCs/>
                <w:sz w:val="24"/>
              </w:rPr>
              <w:t>《城镇污水处理厂污染物排放标准》（GB18918-2002）中一级A标准，最终排放到淮河</w:t>
            </w:r>
            <w:r>
              <w:rPr>
                <w:rFonts w:hint="eastAsia" w:ascii="Times New Roman" w:hAnsi="宋体" w:eastAsia="宋体" w:cs="Times New Roman"/>
                <w:bCs/>
                <w:sz w:val="24"/>
                <w:szCs w:val="24"/>
              </w:rPr>
              <w:t>。</w:t>
            </w:r>
            <w:r>
              <w:rPr>
                <w:rFonts w:hint="eastAsia" w:ascii="Times New Roman" w:hAnsi="宋体" w:eastAsia="宋体" w:cs="Times New Roman"/>
                <w:bCs/>
                <w:spacing w:val="-1"/>
                <w:kern w:val="0"/>
                <w:sz w:val="24"/>
                <w:szCs w:val="24"/>
              </w:rPr>
              <w:t>项目废水排放标准见下表。</w:t>
            </w:r>
          </w:p>
          <w:p w14:paraId="5BBEC70A">
            <w:pPr>
              <w:widowControl/>
              <w:spacing w:line="360" w:lineRule="auto"/>
              <w:jc w:val="center"/>
              <w:rPr>
                <w:rFonts w:ascii="Times New Roman" w:hAnsi="Times New Roman" w:eastAsia="黑体" w:cs="Times New Roman"/>
                <w:bCs/>
                <w:spacing w:val="-1"/>
                <w:kern w:val="0"/>
                <w:sz w:val="24"/>
                <w:szCs w:val="24"/>
              </w:rPr>
            </w:pPr>
            <w:r>
              <w:rPr>
                <w:rFonts w:ascii="Times New Roman" w:hAnsi="Times New Roman" w:eastAsia="黑体" w:cs="Times New Roman"/>
                <w:sz w:val="24"/>
                <w:szCs w:val="24"/>
              </w:rPr>
              <w:t>表3-</w:t>
            </w:r>
            <w:r>
              <w:rPr>
                <w:rFonts w:hint="eastAsia" w:ascii="Times New Roman" w:hAnsi="Times New Roman" w:eastAsia="黑体" w:cs="Times New Roman"/>
                <w:sz w:val="24"/>
                <w:szCs w:val="24"/>
              </w:rPr>
              <w:t xml:space="preserve">8  </w:t>
            </w:r>
            <w:r>
              <w:rPr>
                <w:rFonts w:ascii="Times New Roman" w:hAnsi="Times New Roman" w:eastAsia="黑体" w:cs="Times New Roman"/>
                <w:sz w:val="24"/>
                <w:szCs w:val="24"/>
              </w:rPr>
              <w:t>污水排放标准单位</w:t>
            </w:r>
            <w:r>
              <w:rPr>
                <w:rFonts w:hint="eastAsia" w:ascii="Times New Roman" w:hAnsi="Times New Roman" w:eastAsia="黑体" w:cs="Times New Roman"/>
                <w:sz w:val="24"/>
                <w:szCs w:val="24"/>
              </w:rPr>
              <w:t>：</w:t>
            </w:r>
            <w:r>
              <w:rPr>
                <w:rFonts w:ascii="Times New Roman" w:hAnsi="Times New Roman" w:eastAsia="黑体" w:cs="Times New Roman"/>
                <w:sz w:val="24"/>
                <w:szCs w:val="24"/>
              </w:rPr>
              <w:t>mg/L，pH</w:t>
            </w:r>
            <w:r>
              <w:rPr>
                <w:rFonts w:hint="eastAsia" w:ascii="Times New Roman" w:hAnsi="Times New Roman" w:eastAsia="黑体" w:cs="Times New Roman"/>
                <w:sz w:val="24"/>
                <w:szCs w:val="24"/>
              </w:rPr>
              <w:t>无量纲</w:t>
            </w:r>
          </w:p>
          <w:tbl>
            <w:tblPr>
              <w:tblStyle w:val="1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1147"/>
              <w:gridCol w:w="1518"/>
              <w:gridCol w:w="4588"/>
            </w:tblGrid>
            <w:tr w14:paraId="71E0C4F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697D4613">
                  <w:pPr>
                    <w:widowControl/>
                    <w:spacing w:line="276" w:lineRule="auto"/>
                    <w:jc w:val="center"/>
                    <w:rPr>
                      <w:rFonts w:ascii="Times New Roman" w:hAnsi="Times New Roman" w:cs="Times New Roman"/>
                      <w:b/>
                      <w:bCs/>
                      <w:kern w:val="0"/>
                      <w:szCs w:val="21"/>
                    </w:rPr>
                  </w:pPr>
                  <w:r>
                    <w:rPr>
                      <w:rFonts w:ascii="Times New Roman" w:hAnsi="Times New Roman" w:cs="Times New Roman"/>
                      <w:b/>
                      <w:bCs/>
                      <w:kern w:val="0"/>
                      <w:szCs w:val="21"/>
                    </w:rPr>
                    <w:t>序号</w:t>
                  </w:r>
                </w:p>
              </w:tc>
              <w:tc>
                <w:tcPr>
                  <w:tcW w:w="731" w:type="pct"/>
                  <w:vAlign w:val="center"/>
                </w:tcPr>
                <w:p w14:paraId="6696D5D6">
                  <w:pPr>
                    <w:widowControl/>
                    <w:spacing w:line="276" w:lineRule="auto"/>
                    <w:jc w:val="center"/>
                    <w:rPr>
                      <w:rFonts w:ascii="Times New Roman" w:hAnsi="Times New Roman" w:cs="Times New Roman"/>
                      <w:b/>
                      <w:bCs/>
                      <w:kern w:val="0"/>
                      <w:szCs w:val="21"/>
                    </w:rPr>
                  </w:pPr>
                  <w:r>
                    <w:rPr>
                      <w:rFonts w:ascii="Times New Roman" w:hAnsi="Times New Roman" w:cs="Times New Roman"/>
                      <w:b/>
                      <w:bCs/>
                      <w:kern w:val="0"/>
                      <w:szCs w:val="21"/>
                    </w:rPr>
                    <w:t>污染物项目</w:t>
                  </w:r>
                </w:p>
              </w:tc>
              <w:tc>
                <w:tcPr>
                  <w:tcW w:w="967" w:type="pct"/>
                  <w:vAlign w:val="center"/>
                </w:tcPr>
                <w:p w14:paraId="0B01BAA7">
                  <w:pPr>
                    <w:widowControl/>
                    <w:spacing w:line="276" w:lineRule="auto"/>
                    <w:jc w:val="center"/>
                    <w:rPr>
                      <w:rFonts w:ascii="Times New Roman" w:hAnsi="Times New Roman" w:cs="Times New Roman"/>
                      <w:b/>
                      <w:bCs/>
                      <w:kern w:val="0"/>
                      <w:szCs w:val="21"/>
                    </w:rPr>
                  </w:pPr>
                  <w:r>
                    <w:rPr>
                      <w:rFonts w:ascii="Times New Roman" w:hAnsi="Times New Roman" w:cs="Times New Roman"/>
                      <w:b/>
                      <w:bCs/>
                      <w:kern w:val="0"/>
                      <w:szCs w:val="21"/>
                    </w:rPr>
                    <w:t>八公山污水处理</w:t>
                  </w:r>
                  <w:r>
                    <w:rPr>
                      <w:rFonts w:hint="eastAsia" w:ascii="Times New Roman" w:hAnsi="Times New Roman" w:cs="Times New Roman"/>
                      <w:b/>
                      <w:bCs/>
                      <w:kern w:val="0"/>
                      <w:szCs w:val="21"/>
                    </w:rPr>
                    <w:t>厂</w:t>
                  </w:r>
                  <w:r>
                    <w:rPr>
                      <w:rFonts w:ascii="Times New Roman" w:hAnsi="Times New Roman" w:cs="Times New Roman"/>
                      <w:b/>
                      <w:bCs/>
                      <w:kern w:val="0"/>
                      <w:szCs w:val="21"/>
                    </w:rPr>
                    <w:t>接管限值</w:t>
                  </w:r>
                </w:p>
              </w:tc>
              <w:tc>
                <w:tcPr>
                  <w:tcW w:w="2923" w:type="pct"/>
                  <w:vAlign w:val="center"/>
                </w:tcPr>
                <w:p w14:paraId="65142942">
                  <w:pPr>
                    <w:widowControl/>
                    <w:spacing w:line="276" w:lineRule="auto"/>
                    <w:jc w:val="center"/>
                    <w:rPr>
                      <w:rFonts w:ascii="Times New Roman" w:hAnsi="Times New Roman" w:cs="Times New Roman"/>
                      <w:b/>
                      <w:szCs w:val="21"/>
                    </w:rPr>
                  </w:pPr>
                  <w:r>
                    <w:rPr>
                      <w:rFonts w:ascii="Times New Roman" w:hAnsi="Times New Roman" w:cs="Times New Roman"/>
                      <w:b/>
                    </w:rPr>
                    <w:t>八公山污水处理厂</w:t>
                  </w:r>
                  <w:r>
                    <w:rPr>
                      <w:rFonts w:ascii="Times New Roman" w:hAnsi="Times New Roman" w:cs="Times New Roman"/>
                      <w:b/>
                      <w:szCs w:val="21"/>
                    </w:rPr>
                    <w:t>排放标准（《城镇污水处理厂污染物排放标准》(GB18918-2002)一级A标准）</w:t>
                  </w:r>
                </w:p>
              </w:tc>
            </w:tr>
            <w:tr w14:paraId="6F28E08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2B55F45C">
                  <w:pPr>
                    <w:widowControl/>
                    <w:spacing w:line="276" w:lineRule="auto"/>
                    <w:jc w:val="center"/>
                    <w:rPr>
                      <w:rFonts w:ascii="Times New Roman" w:hAnsi="Times New Roman" w:cs="Times New Roman"/>
                      <w:bCs/>
                      <w:kern w:val="0"/>
                      <w:szCs w:val="21"/>
                    </w:rPr>
                  </w:pPr>
                  <w:r>
                    <w:rPr>
                      <w:rFonts w:hint="eastAsia" w:ascii="Times New Roman" w:hAnsi="Times New Roman" w:cs="Times New Roman"/>
                      <w:bCs/>
                      <w:kern w:val="0"/>
                      <w:szCs w:val="21"/>
                    </w:rPr>
                    <w:t>1</w:t>
                  </w:r>
                </w:p>
              </w:tc>
              <w:tc>
                <w:tcPr>
                  <w:tcW w:w="731" w:type="pct"/>
                  <w:vAlign w:val="center"/>
                </w:tcPr>
                <w:p w14:paraId="79D3B0A5">
                  <w:pPr>
                    <w:widowControl/>
                    <w:spacing w:line="276" w:lineRule="auto"/>
                    <w:jc w:val="center"/>
                    <w:rPr>
                      <w:rFonts w:ascii="Times New Roman" w:hAnsi="Times New Roman" w:cs="Times New Roman"/>
                      <w:bCs/>
                      <w:kern w:val="0"/>
                      <w:szCs w:val="21"/>
                    </w:rPr>
                  </w:pPr>
                  <w:r>
                    <w:rPr>
                      <w:rFonts w:hint="eastAsia" w:ascii="Times New Roman" w:hAnsi="Times New Roman" w:cs="Times New Roman"/>
                      <w:bCs/>
                      <w:kern w:val="0"/>
                      <w:szCs w:val="21"/>
                    </w:rPr>
                    <w:t>pH</w:t>
                  </w:r>
                </w:p>
              </w:tc>
              <w:tc>
                <w:tcPr>
                  <w:tcW w:w="967" w:type="pct"/>
                  <w:vAlign w:val="center"/>
                </w:tcPr>
                <w:p w14:paraId="6C8C1786">
                  <w:pPr>
                    <w:widowControl/>
                    <w:spacing w:line="276" w:lineRule="auto"/>
                    <w:jc w:val="center"/>
                    <w:rPr>
                      <w:rFonts w:ascii="Times New Roman" w:hAnsi="Times New Roman" w:cs="Times New Roman"/>
                      <w:bCs/>
                      <w:kern w:val="0"/>
                      <w:szCs w:val="21"/>
                    </w:rPr>
                  </w:pPr>
                  <w:r>
                    <w:rPr>
                      <w:rFonts w:hint="eastAsia" w:ascii="Times New Roman" w:hAnsi="Times New Roman" w:cs="Times New Roman"/>
                    </w:rPr>
                    <w:t>6-9</w:t>
                  </w:r>
                </w:p>
              </w:tc>
              <w:tc>
                <w:tcPr>
                  <w:tcW w:w="2923" w:type="pct"/>
                  <w:vAlign w:val="center"/>
                </w:tcPr>
                <w:p w14:paraId="02B0C9D7">
                  <w:pPr>
                    <w:widowControl/>
                    <w:spacing w:line="276" w:lineRule="auto"/>
                    <w:jc w:val="center"/>
                    <w:rPr>
                      <w:rFonts w:ascii="Times New Roman" w:hAnsi="Times New Roman" w:cs="Times New Roman"/>
                    </w:rPr>
                  </w:pPr>
                  <w:r>
                    <w:rPr>
                      <w:rFonts w:hint="eastAsia" w:ascii="Times New Roman" w:hAnsi="Times New Roman" w:cs="Times New Roman"/>
                    </w:rPr>
                    <w:t>6-9</w:t>
                  </w:r>
                </w:p>
              </w:tc>
            </w:tr>
            <w:tr w14:paraId="19C06B5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22F327B6">
                  <w:pPr>
                    <w:widowControl/>
                    <w:spacing w:line="276" w:lineRule="auto"/>
                    <w:jc w:val="center"/>
                    <w:rPr>
                      <w:rFonts w:ascii="Times New Roman" w:hAnsi="Times New Roman" w:cs="Times New Roman"/>
                      <w:bCs/>
                      <w:kern w:val="0"/>
                      <w:szCs w:val="21"/>
                    </w:rPr>
                  </w:pPr>
                  <w:r>
                    <w:rPr>
                      <w:rFonts w:hint="eastAsia" w:ascii="Times New Roman" w:hAnsi="Times New Roman" w:cs="Times New Roman"/>
                      <w:bCs/>
                      <w:kern w:val="0"/>
                      <w:szCs w:val="21"/>
                    </w:rPr>
                    <w:t>2</w:t>
                  </w:r>
                </w:p>
              </w:tc>
              <w:tc>
                <w:tcPr>
                  <w:tcW w:w="731" w:type="pct"/>
                  <w:vAlign w:val="center"/>
                </w:tcPr>
                <w:p w14:paraId="22345C46">
                  <w:pPr>
                    <w:widowControl/>
                    <w:spacing w:line="276" w:lineRule="auto"/>
                    <w:jc w:val="center"/>
                    <w:rPr>
                      <w:rFonts w:ascii="Times New Roman" w:hAnsi="Times New Roman" w:cs="Times New Roman"/>
                      <w:bCs/>
                      <w:kern w:val="0"/>
                      <w:szCs w:val="21"/>
                    </w:rPr>
                  </w:pPr>
                  <w:r>
                    <w:rPr>
                      <w:rFonts w:ascii="Times New Roman" w:hAnsi="Times New Roman" w:cs="Times New Roman"/>
                      <w:szCs w:val="21"/>
                    </w:rPr>
                    <w:t>COD</w:t>
                  </w:r>
                  <w:r>
                    <w:rPr>
                      <w:rFonts w:ascii="Times New Roman" w:hAnsi="Times New Roman" w:cs="Times New Roman"/>
                      <w:szCs w:val="21"/>
                      <w:vertAlign w:val="subscript"/>
                    </w:rPr>
                    <w:t>Cr</w:t>
                  </w:r>
                </w:p>
              </w:tc>
              <w:tc>
                <w:tcPr>
                  <w:tcW w:w="967" w:type="pct"/>
                  <w:vAlign w:val="center"/>
                </w:tcPr>
                <w:p w14:paraId="7A6872C4">
                  <w:pPr>
                    <w:pStyle w:val="44"/>
                    <w:spacing w:beforeLines="20" w:afterLines="20" w:line="276" w:lineRule="auto"/>
                    <w:rPr>
                      <w:rFonts w:ascii="Times New Roman" w:hAnsi="Times New Roman" w:cs="Times New Roman"/>
                      <w:snapToGrid w:val="0"/>
                      <w:kern w:val="0"/>
                    </w:rPr>
                  </w:pPr>
                  <w:r>
                    <w:rPr>
                      <w:rFonts w:ascii="Times New Roman" w:hAnsi="Times New Roman" w:cs="Times New Roman"/>
                      <w:snapToGrid w:val="0"/>
                      <w:kern w:val="0"/>
                    </w:rPr>
                    <w:t>≤</w:t>
                  </w:r>
                  <w:r>
                    <w:rPr>
                      <w:rFonts w:hint="eastAsia" w:ascii="Times New Roman" w:hAnsi="Times New Roman" w:cs="Times New Roman"/>
                      <w:snapToGrid w:val="0"/>
                      <w:kern w:val="0"/>
                    </w:rPr>
                    <w:t>380</w:t>
                  </w:r>
                </w:p>
              </w:tc>
              <w:tc>
                <w:tcPr>
                  <w:tcW w:w="2923" w:type="pct"/>
                  <w:vAlign w:val="center"/>
                </w:tcPr>
                <w:p w14:paraId="67AADE42">
                  <w:pPr>
                    <w:pStyle w:val="44"/>
                    <w:spacing w:beforeLines="20" w:afterLines="20" w:line="276" w:lineRule="auto"/>
                    <w:rPr>
                      <w:rFonts w:ascii="Times New Roman" w:hAnsi="Times New Roman" w:cs="Times New Roman"/>
                      <w:snapToGrid w:val="0"/>
                      <w:kern w:val="0"/>
                    </w:rPr>
                  </w:pPr>
                  <w:r>
                    <w:rPr>
                      <w:rFonts w:ascii="Times New Roman" w:hAnsi="Times New Roman" w:cs="Times New Roman"/>
                      <w:snapToGrid w:val="0"/>
                      <w:kern w:val="0"/>
                    </w:rPr>
                    <w:t>≤50</w:t>
                  </w:r>
                </w:p>
              </w:tc>
            </w:tr>
            <w:tr w14:paraId="0D054CD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1D2F958C">
                  <w:pPr>
                    <w:widowControl/>
                    <w:spacing w:line="276" w:lineRule="auto"/>
                    <w:jc w:val="center"/>
                    <w:rPr>
                      <w:rFonts w:ascii="Times New Roman" w:hAnsi="Times New Roman" w:cs="Times New Roman"/>
                      <w:bCs/>
                      <w:kern w:val="0"/>
                      <w:szCs w:val="21"/>
                    </w:rPr>
                  </w:pPr>
                  <w:r>
                    <w:rPr>
                      <w:rFonts w:hint="eastAsia" w:ascii="Times New Roman" w:hAnsi="Times New Roman" w:cs="Times New Roman"/>
                      <w:bCs/>
                      <w:kern w:val="0"/>
                      <w:szCs w:val="21"/>
                    </w:rPr>
                    <w:t>3</w:t>
                  </w:r>
                </w:p>
              </w:tc>
              <w:tc>
                <w:tcPr>
                  <w:tcW w:w="731" w:type="pct"/>
                  <w:vAlign w:val="center"/>
                </w:tcPr>
                <w:p w14:paraId="59D51220">
                  <w:pPr>
                    <w:widowControl/>
                    <w:spacing w:line="276" w:lineRule="auto"/>
                    <w:jc w:val="center"/>
                    <w:rPr>
                      <w:rFonts w:ascii="Times New Roman" w:hAnsi="Times New Roman" w:cs="Times New Roman"/>
                      <w:bCs/>
                      <w:kern w:val="0"/>
                      <w:szCs w:val="21"/>
                    </w:rPr>
                  </w:pPr>
                  <w:r>
                    <w:rPr>
                      <w:rFonts w:ascii="Times New Roman" w:hAnsi="Times New Roman" w:cs="Times New Roman"/>
                      <w:szCs w:val="21"/>
                    </w:rPr>
                    <w:t>BOD</w:t>
                  </w:r>
                  <w:r>
                    <w:rPr>
                      <w:rFonts w:ascii="Times New Roman" w:hAnsi="Times New Roman" w:cs="Times New Roman"/>
                      <w:szCs w:val="21"/>
                      <w:vertAlign w:val="subscript"/>
                    </w:rPr>
                    <w:t>5</w:t>
                  </w:r>
                </w:p>
              </w:tc>
              <w:tc>
                <w:tcPr>
                  <w:tcW w:w="967" w:type="pct"/>
                  <w:vAlign w:val="center"/>
                </w:tcPr>
                <w:p w14:paraId="7A238E74">
                  <w:pPr>
                    <w:pStyle w:val="44"/>
                    <w:spacing w:beforeLines="20" w:afterLines="20" w:line="276" w:lineRule="auto"/>
                    <w:rPr>
                      <w:rFonts w:ascii="Times New Roman" w:hAnsi="Times New Roman" w:cs="Times New Roman"/>
                      <w:snapToGrid w:val="0"/>
                      <w:kern w:val="0"/>
                    </w:rPr>
                  </w:pPr>
                  <w:r>
                    <w:rPr>
                      <w:rFonts w:ascii="Times New Roman" w:hAnsi="Times New Roman" w:cs="Times New Roman"/>
                      <w:snapToGrid w:val="0"/>
                      <w:kern w:val="0"/>
                    </w:rPr>
                    <w:t>≤</w:t>
                  </w:r>
                  <w:r>
                    <w:rPr>
                      <w:rFonts w:hint="eastAsia" w:ascii="Times New Roman" w:hAnsi="Times New Roman" w:cs="Times New Roman"/>
                      <w:snapToGrid w:val="0"/>
                      <w:kern w:val="0"/>
                    </w:rPr>
                    <w:t>160</w:t>
                  </w:r>
                </w:p>
              </w:tc>
              <w:tc>
                <w:tcPr>
                  <w:tcW w:w="2923" w:type="pct"/>
                  <w:vAlign w:val="center"/>
                </w:tcPr>
                <w:p w14:paraId="539E21D5">
                  <w:pPr>
                    <w:pStyle w:val="44"/>
                    <w:spacing w:beforeLines="20" w:afterLines="20" w:line="276" w:lineRule="auto"/>
                    <w:rPr>
                      <w:rFonts w:ascii="Times New Roman" w:hAnsi="Times New Roman" w:cs="Times New Roman"/>
                      <w:snapToGrid w:val="0"/>
                      <w:kern w:val="0"/>
                    </w:rPr>
                  </w:pPr>
                  <w:r>
                    <w:rPr>
                      <w:rFonts w:ascii="Times New Roman" w:hAnsi="Times New Roman" w:cs="Times New Roman"/>
                      <w:snapToGrid w:val="0"/>
                      <w:kern w:val="0"/>
                    </w:rPr>
                    <w:t>≤10</w:t>
                  </w:r>
                </w:p>
              </w:tc>
            </w:tr>
            <w:tr w14:paraId="411CA6F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258504D8">
                  <w:pPr>
                    <w:widowControl/>
                    <w:spacing w:line="276" w:lineRule="auto"/>
                    <w:jc w:val="center"/>
                    <w:rPr>
                      <w:rFonts w:ascii="Times New Roman" w:hAnsi="Times New Roman" w:cs="Times New Roman"/>
                      <w:bCs/>
                      <w:kern w:val="0"/>
                      <w:szCs w:val="21"/>
                    </w:rPr>
                  </w:pPr>
                  <w:r>
                    <w:rPr>
                      <w:rFonts w:hint="eastAsia" w:ascii="Times New Roman" w:hAnsi="Times New Roman" w:cs="Times New Roman"/>
                      <w:bCs/>
                      <w:kern w:val="0"/>
                      <w:szCs w:val="21"/>
                    </w:rPr>
                    <w:t>4</w:t>
                  </w:r>
                </w:p>
              </w:tc>
              <w:tc>
                <w:tcPr>
                  <w:tcW w:w="731" w:type="pct"/>
                  <w:vAlign w:val="center"/>
                </w:tcPr>
                <w:p w14:paraId="44FCBFC1">
                  <w:pPr>
                    <w:widowControl/>
                    <w:spacing w:line="276" w:lineRule="auto"/>
                    <w:jc w:val="center"/>
                    <w:rPr>
                      <w:rFonts w:ascii="Times New Roman" w:hAnsi="Times New Roman" w:cs="Times New Roman"/>
                      <w:bCs/>
                      <w:kern w:val="0"/>
                      <w:szCs w:val="21"/>
                    </w:rPr>
                  </w:pPr>
                  <w:r>
                    <w:rPr>
                      <w:rFonts w:ascii="Times New Roman" w:hAnsi="Times New Roman" w:cs="Times New Roman"/>
                      <w:szCs w:val="21"/>
                    </w:rPr>
                    <w:t>NH</w:t>
                  </w:r>
                  <w:r>
                    <w:rPr>
                      <w:rFonts w:ascii="Times New Roman" w:hAnsi="Times New Roman" w:cs="Times New Roman"/>
                      <w:szCs w:val="21"/>
                      <w:vertAlign w:val="subscript"/>
                    </w:rPr>
                    <w:t>3</w:t>
                  </w:r>
                  <w:r>
                    <w:rPr>
                      <w:rFonts w:ascii="Times New Roman" w:hAnsi="Times New Roman" w:cs="Times New Roman"/>
                      <w:szCs w:val="21"/>
                    </w:rPr>
                    <w:t>-N</w:t>
                  </w:r>
                </w:p>
              </w:tc>
              <w:tc>
                <w:tcPr>
                  <w:tcW w:w="967" w:type="pct"/>
                  <w:vAlign w:val="center"/>
                </w:tcPr>
                <w:p w14:paraId="53C2A24D">
                  <w:pPr>
                    <w:pStyle w:val="44"/>
                    <w:spacing w:beforeLines="20" w:afterLines="20" w:line="276" w:lineRule="auto"/>
                    <w:rPr>
                      <w:rFonts w:ascii="Times New Roman" w:hAnsi="Times New Roman" w:cs="Times New Roman"/>
                      <w:snapToGrid w:val="0"/>
                      <w:kern w:val="0"/>
                    </w:rPr>
                  </w:pPr>
                  <w:r>
                    <w:rPr>
                      <w:rFonts w:ascii="Times New Roman" w:hAnsi="Times New Roman" w:cs="Times New Roman"/>
                      <w:snapToGrid w:val="0"/>
                      <w:kern w:val="0"/>
                    </w:rPr>
                    <w:t>≤</w:t>
                  </w:r>
                  <w:r>
                    <w:rPr>
                      <w:rFonts w:hint="eastAsia" w:ascii="Times New Roman" w:hAnsi="Times New Roman" w:cs="Times New Roman"/>
                      <w:snapToGrid w:val="0"/>
                      <w:kern w:val="0"/>
                    </w:rPr>
                    <w:t>30</w:t>
                  </w:r>
                </w:p>
              </w:tc>
              <w:tc>
                <w:tcPr>
                  <w:tcW w:w="2923" w:type="pct"/>
                  <w:vAlign w:val="center"/>
                </w:tcPr>
                <w:p w14:paraId="732CFDBC">
                  <w:pPr>
                    <w:pStyle w:val="44"/>
                    <w:spacing w:beforeLines="20" w:afterLines="20" w:line="276" w:lineRule="auto"/>
                    <w:rPr>
                      <w:rFonts w:ascii="Times New Roman" w:hAnsi="Times New Roman" w:cs="Times New Roman"/>
                      <w:snapToGrid w:val="0"/>
                      <w:kern w:val="0"/>
                    </w:rPr>
                  </w:pPr>
                  <w:r>
                    <w:rPr>
                      <w:rFonts w:ascii="Times New Roman" w:hAnsi="Times New Roman" w:cs="Times New Roman"/>
                      <w:snapToGrid w:val="0"/>
                      <w:kern w:val="0"/>
                    </w:rPr>
                    <w:t>≤5（8）</w:t>
                  </w:r>
                </w:p>
              </w:tc>
            </w:tr>
            <w:tr w14:paraId="4B5B907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264E6B03">
                  <w:pPr>
                    <w:widowControl/>
                    <w:spacing w:line="276" w:lineRule="auto"/>
                    <w:jc w:val="center"/>
                    <w:rPr>
                      <w:rFonts w:ascii="Times New Roman" w:hAnsi="Times New Roman" w:cs="Times New Roman"/>
                      <w:bCs/>
                      <w:kern w:val="0"/>
                      <w:szCs w:val="21"/>
                    </w:rPr>
                  </w:pPr>
                  <w:r>
                    <w:rPr>
                      <w:rFonts w:hint="eastAsia" w:ascii="Times New Roman" w:hAnsi="Times New Roman" w:cs="Times New Roman"/>
                      <w:bCs/>
                      <w:kern w:val="0"/>
                      <w:szCs w:val="21"/>
                    </w:rPr>
                    <w:t>5</w:t>
                  </w:r>
                </w:p>
              </w:tc>
              <w:tc>
                <w:tcPr>
                  <w:tcW w:w="731" w:type="pct"/>
                  <w:vAlign w:val="center"/>
                </w:tcPr>
                <w:p w14:paraId="0FBA663C">
                  <w:pPr>
                    <w:widowControl/>
                    <w:spacing w:line="276" w:lineRule="auto"/>
                    <w:jc w:val="center"/>
                    <w:rPr>
                      <w:rFonts w:ascii="Times New Roman" w:hAnsi="Times New Roman" w:cs="Times New Roman"/>
                      <w:bCs/>
                      <w:kern w:val="0"/>
                      <w:szCs w:val="21"/>
                    </w:rPr>
                  </w:pPr>
                  <w:r>
                    <w:rPr>
                      <w:rFonts w:ascii="Times New Roman" w:hAnsi="Times New Roman" w:cs="Times New Roman"/>
                      <w:szCs w:val="21"/>
                    </w:rPr>
                    <w:t>SS</w:t>
                  </w:r>
                </w:p>
              </w:tc>
              <w:tc>
                <w:tcPr>
                  <w:tcW w:w="967" w:type="pct"/>
                  <w:vAlign w:val="center"/>
                </w:tcPr>
                <w:p w14:paraId="417264F0">
                  <w:pPr>
                    <w:pStyle w:val="44"/>
                    <w:spacing w:beforeLines="20" w:afterLines="20" w:line="276" w:lineRule="auto"/>
                    <w:rPr>
                      <w:rFonts w:ascii="Times New Roman" w:hAnsi="Times New Roman" w:cs="Times New Roman"/>
                      <w:snapToGrid w:val="0"/>
                      <w:kern w:val="0"/>
                    </w:rPr>
                  </w:pPr>
                  <w:r>
                    <w:rPr>
                      <w:rFonts w:ascii="Times New Roman" w:hAnsi="Times New Roman" w:cs="Times New Roman"/>
                      <w:snapToGrid w:val="0"/>
                      <w:kern w:val="0"/>
                    </w:rPr>
                    <w:t>≤</w:t>
                  </w:r>
                  <w:r>
                    <w:rPr>
                      <w:rFonts w:hint="eastAsia" w:ascii="Times New Roman" w:hAnsi="Times New Roman" w:cs="Times New Roman"/>
                      <w:snapToGrid w:val="0"/>
                      <w:kern w:val="0"/>
                    </w:rPr>
                    <w:t>200</w:t>
                  </w:r>
                </w:p>
              </w:tc>
              <w:tc>
                <w:tcPr>
                  <w:tcW w:w="2923" w:type="pct"/>
                  <w:vAlign w:val="center"/>
                </w:tcPr>
                <w:p w14:paraId="3BC36D1D">
                  <w:pPr>
                    <w:pStyle w:val="44"/>
                    <w:spacing w:beforeLines="20" w:afterLines="20" w:line="276" w:lineRule="auto"/>
                    <w:rPr>
                      <w:rFonts w:ascii="Times New Roman" w:hAnsi="Times New Roman" w:cs="Times New Roman"/>
                      <w:snapToGrid w:val="0"/>
                      <w:kern w:val="0"/>
                    </w:rPr>
                  </w:pPr>
                  <w:r>
                    <w:rPr>
                      <w:rFonts w:ascii="Times New Roman" w:hAnsi="Times New Roman" w:cs="Times New Roman"/>
                      <w:snapToGrid w:val="0"/>
                      <w:kern w:val="0"/>
                    </w:rPr>
                    <w:t>≤10</w:t>
                  </w:r>
                </w:p>
              </w:tc>
            </w:tr>
            <w:tr w14:paraId="617240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5DBB6036">
                  <w:pPr>
                    <w:widowControl/>
                    <w:spacing w:line="276" w:lineRule="auto"/>
                    <w:jc w:val="center"/>
                    <w:rPr>
                      <w:rFonts w:hint="eastAsia" w:ascii="Times New Roman" w:hAnsi="Times New Roman" w:cs="Times New Roman" w:eastAsiaTheme="minorEastAsia"/>
                      <w:bCs/>
                      <w:kern w:val="0"/>
                      <w:szCs w:val="21"/>
                      <w:lang w:val="en-US" w:eastAsia="zh-CN"/>
                    </w:rPr>
                  </w:pPr>
                  <w:r>
                    <w:rPr>
                      <w:rFonts w:hint="eastAsia" w:ascii="Times New Roman" w:hAnsi="Times New Roman" w:cs="Times New Roman"/>
                      <w:bCs/>
                      <w:kern w:val="0"/>
                      <w:szCs w:val="21"/>
                      <w:lang w:val="en-US" w:eastAsia="zh-CN"/>
                    </w:rPr>
                    <w:t>6</w:t>
                  </w:r>
                </w:p>
              </w:tc>
              <w:tc>
                <w:tcPr>
                  <w:tcW w:w="731" w:type="pct"/>
                  <w:vAlign w:val="center"/>
                </w:tcPr>
                <w:p w14:paraId="4049F7A9">
                  <w:pPr>
                    <w:widowControl/>
                    <w:spacing w:line="276" w:lineRule="auto"/>
                    <w:jc w:val="center"/>
                    <w:rPr>
                      <w:rFonts w:hint="eastAsia"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TP</w:t>
                  </w:r>
                </w:p>
              </w:tc>
              <w:tc>
                <w:tcPr>
                  <w:tcW w:w="967" w:type="pct"/>
                  <w:vAlign w:val="center"/>
                </w:tcPr>
                <w:p w14:paraId="18C4AA39">
                  <w:pPr>
                    <w:pStyle w:val="44"/>
                    <w:spacing w:beforeLines="20" w:afterLines="20" w:line="276" w:lineRule="auto"/>
                    <w:rPr>
                      <w:rFonts w:hint="default" w:ascii="Times New Roman" w:hAnsi="Times New Roman" w:cs="Times New Roman" w:eastAsiaTheme="minorEastAsia"/>
                      <w:snapToGrid w:val="0"/>
                      <w:color w:val="auto"/>
                      <w:kern w:val="0"/>
                      <w:lang w:val="en-US" w:eastAsia="zh-CN"/>
                    </w:rPr>
                  </w:pPr>
                  <w:r>
                    <w:rPr>
                      <w:rFonts w:hint="eastAsia" w:ascii="Times New Roman" w:hAnsi="Times New Roman" w:cs="Times New Roman"/>
                      <w:snapToGrid w:val="0"/>
                      <w:color w:val="auto"/>
                      <w:kern w:val="0"/>
                      <w:lang w:val="en-US" w:eastAsia="zh-CN"/>
                    </w:rPr>
                    <w:t>3</w:t>
                  </w:r>
                </w:p>
              </w:tc>
              <w:tc>
                <w:tcPr>
                  <w:tcW w:w="2923" w:type="pct"/>
                  <w:vAlign w:val="center"/>
                </w:tcPr>
                <w:p w14:paraId="5EF83DE1">
                  <w:pPr>
                    <w:pStyle w:val="44"/>
                    <w:spacing w:beforeLines="20" w:afterLines="20" w:line="276" w:lineRule="auto"/>
                    <w:rPr>
                      <w:rFonts w:hint="default" w:ascii="Times New Roman" w:hAnsi="Times New Roman" w:cs="Times New Roman" w:eastAsiaTheme="minorEastAsia"/>
                      <w:snapToGrid w:val="0"/>
                      <w:color w:val="auto"/>
                      <w:kern w:val="0"/>
                      <w:lang w:val="en-US" w:eastAsia="zh-CN"/>
                    </w:rPr>
                  </w:pPr>
                  <w:r>
                    <w:rPr>
                      <w:rFonts w:hint="eastAsia" w:ascii="Times New Roman" w:hAnsi="Times New Roman" w:cs="Times New Roman"/>
                      <w:snapToGrid w:val="0"/>
                      <w:color w:val="auto"/>
                      <w:kern w:val="0"/>
                      <w:lang w:val="en-US" w:eastAsia="zh-CN"/>
                    </w:rPr>
                    <w:t>0.5</w:t>
                  </w:r>
                </w:p>
              </w:tc>
            </w:tr>
          </w:tbl>
          <w:p w14:paraId="60077E03">
            <w:pPr>
              <w:spacing w:line="360" w:lineRule="auto"/>
              <w:ind w:firstLine="472" w:firstLineChars="196"/>
              <w:jc w:val="left"/>
              <w:rPr>
                <w:rFonts w:ascii="Times New Roman" w:hAnsi="Times New Roman" w:eastAsia="宋体" w:cs="Times New Roman"/>
                <w:b/>
                <w:sz w:val="24"/>
                <w:szCs w:val="24"/>
              </w:rPr>
            </w:pPr>
            <w:r>
              <w:rPr>
                <w:rFonts w:ascii="Times New Roman" w:hAnsi="Times New Roman" w:eastAsia="宋体" w:cs="Times New Roman"/>
                <w:b/>
                <w:sz w:val="24"/>
                <w:szCs w:val="24"/>
              </w:rPr>
              <w:t>3、噪声</w:t>
            </w:r>
          </w:p>
          <w:p w14:paraId="795E262A">
            <w:pPr>
              <w:wordWrap w:val="0"/>
              <w:spacing w:line="360" w:lineRule="auto"/>
              <w:ind w:firstLine="480" w:firstLineChars="20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本项目营运期各厂界噪声排放执行《工业企业厂界环境噪声排放标准》（GB12348-2008）中3类标准</w:t>
            </w:r>
            <w:r>
              <w:rPr>
                <w:rFonts w:ascii="Times New Roman" w:hAnsi="Times New Roman" w:eastAsia="宋体" w:cs="Times New Roman"/>
                <w:bCs/>
                <w:sz w:val="24"/>
              </w:rPr>
              <w:t>，标准值</w:t>
            </w:r>
            <w:r>
              <w:rPr>
                <w:rFonts w:ascii="Times New Roman" w:hAnsi="Times New Roman" w:eastAsia="宋体" w:cs="Times New Roman"/>
                <w:bCs/>
                <w:kern w:val="0"/>
                <w:sz w:val="24"/>
                <w:szCs w:val="24"/>
              </w:rPr>
              <w:t>详见下表。</w:t>
            </w:r>
          </w:p>
          <w:p w14:paraId="7D9E3640">
            <w:pPr>
              <w:spacing w:line="360" w:lineRule="auto"/>
              <w:jc w:val="center"/>
              <w:rPr>
                <w:rFonts w:ascii="Times New Roman" w:hAnsi="Times New Roman" w:eastAsia="黑体" w:cs="Times New Roman"/>
                <w:bCs/>
                <w:kern w:val="0"/>
                <w:sz w:val="24"/>
                <w:szCs w:val="24"/>
              </w:rPr>
            </w:pPr>
            <w:r>
              <w:rPr>
                <w:rFonts w:ascii="Times New Roman" w:hAnsi="Times New Roman" w:eastAsia="黑体" w:cs="Times New Roman"/>
                <w:bCs/>
                <w:kern w:val="0"/>
                <w:sz w:val="24"/>
                <w:szCs w:val="24"/>
              </w:rPr>
              <w:t>表3-</w:t>
            </w:r>
            <w:r>
              <w:rPr>
                <w:rFonts w:hint="eastAsia" w:ascii="Times New Roman" w:hAnsi="Times New Roman" w:eastAsia="黑体" w:cs="Times New Roman"/>
                <w:bCs/>
                <w:kern w:val="0"/>
                <w:sz w:val="24"/>
                <w:szCs w:val="24"/>
              </w:rPr>
              <w:t xml:space="preserve">9  </w:t>
            </w:r>
            <w:r>
              <w:rPr>
                <w:rFonts w:ascii="Times New Roman" w:hAnsi="Times New Roman" w:eastAsia="黑体" w:cs="Times New Roman"/>
                <w:bCs/>
                <w:kern w:val="0"/>
                <w:sz w:val="24"/>
                <w:szCs w:val="24"/>
              </w:rPr>
              <w:t>工业企业厂界环境噪声排放标准</w:t>
            </w:r>
          </w:p>
          <w:tbl>
            <w:tblPr>
              <w:tblStyle w:val="18"/>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918"/>
              <w:gridCol w:w="1964"/>
              <w:gridCol w:w="1966"/>
            </w:tblGrid>
            <w:tr w14:paraId="2DC6726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496" w:type="pct"/>
                  <w:vMerge w:val="restart"/>
                  <w:vAlign w:val="center"/>
                </w:tcPr>
                <w:p w14:paraId="1E83BC6E">
                  <w:pPr>
                    <w:spacing w:line="276" w:lineRule="auto"/>
                    <w:jc w:val="center"/>
                    <w:rPr>
                      <w:rFonts w:ascii="Times New Roman" w:hAnsi="Times New Roman" w:eastAsia="宋体" w:cs="Times New Roman"/>
                      <w:b/>
                      <w:szCs w:val="21"/>
                    </w:rPr>
                  </w:pPr>
                  <w:r>
                    <w:rPr>
                      <w:rFonts w:ascii="Times New Roman" w:hAnsi="Times New Roman" w:eastAsia="宋体" w:cs="Times New Roman"/>
                      <w:b/>
                      <w:szCs w:val="21"/>
                    </w:rPr>
                    <w:t>标准名称</w:t>
                  </w:r>
                </w:p>
              </w:tc>
              <w:tc>
                <w:tcPr>
                  <w:tcW w:w="2503" w:type="pct"/>
                  <w:gridSpan w:val="2"/>
                  <w:vAlign w:val="center"/>
                </w:tcPr>
                <w:p w14:paraId="0826C52E">
                  <w:pPr>
                    <w:spacing w:line="276" w:lineRule="auto"/>
                    <w:jc w:val="center"/>
                    <w:rPr>
                      <w:rFonts w:ascii="Times New Roman" w:hAnsi="Times New Roman" w:eastAsia="宋体" w:cs="Times New Roman"/>
                      <w:b/>
                      <w:szCs w:val="21"/>
                    </w:rPr>
                  </w:pPr>
                  <w:r>
                    <w:rPr>
                      <w:rFonts w:ascii="Times New Roman" w:hAnsi="Times New Roman" w:eastAsia="宋体" w:cs="Times New Roman"/>
                      <w:b/>
                      <w:szCs w:val="21"/>
                    </w:rPr>
                    <w:t>标准值（dB）</w:t>
                  </w:r>
                </w:p>
              </w:tc>
            </w:tr>
            <w:tr w14:paraId="799047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2496" w:type="pct"/>
                  <w:vMerge w:val="continue"/>
                  <w:vAlign w:val="center"/>
                </w:tcPr>
                <w:p w14:paraId="07221E03">
                  <w:pPr>
                    <w:spacing w:line="276" w:lineRule="auto"/>
                    <w:jc w:val="center"/>
                    <w:rPr>
                      <w:rFonts w:ascii="Times New Roman" w:hAnsi="Times New Roman" w:eastAsia="宋体" w:cs="Times New Roman"/>
                      <w:szCs w:val="21"/>
                    </w:rPr>
                  </w:pPr>
                </w:p>
              </w:tc>
              <w:tc>
                <w:tcPr>
                  <w:tcW w:w="1251" w:type="pct"/>
                  <w:vAlign w:val="center"/>
                </w:tcPr>
                <w:p w14:paraId="54C7C294">
                  <w:pPr>
                    <w:spacing w:line="276" w:lineRule="auto"/>
                    <w:jc w:val="center"/>
                    <w:rPr>
                      <w:rFonts w:ascii="Times New Roman" w:hAnsi="Times New Roman" w:eastAsia="宋体" w:cs="Times New Roman"/>
                      <w:b/>
                      <w:szCs w:val="21"/>
                    </w:rPr>
                  </w:pPr>
                  <w:r>
                    <w:rPr>
                      <w:rFonts w:ascii="Times New Roman" w:hAnsi="Times New Roman" w:eastAsia="宋体" w:cs="Times New Roman"/>
                      <w:b/>
                      <w:szCs w:val="21"/>
                    </w:rPr>
                    <w:t>昼间</w:t>
                  </w:r>
                </w:p>
              </w:tc>
              <w:tc>
                <w:tcPr>
                  <w:tcW w:w="1251" w:type="pct"/>
                  <w:vAlign w:val="center"/>
                </w:tcPr>
                <w:p w14:paraId="15844291">
                  <w:pPr>
                    <w:spacing w:line="276" w:lineRule="auto"/>
                    <w:jc w:val="center"/>
                    <w:rPr>
                      <w:rFonts w:ascii="Times New Roman" w:hAnsi="Times New Roman" w:eastAsia="宋体" w:cs="Times New Roman"/>
                      <w:b/>
                      <w:szCs w:val="21"/>
                    </w:rPr>
                  </w:pPr>
                  <w:r>
                    <w:rPr>
                      <w:rFonts w:ascii="Times New Roman" w:hAnsi="Times New Roman" w:eastAsia="宋体" w:cs="Times New Roman"/>
                      <w:b/>
                      <w:szCs w:val="21"/>
                    </w:rPr>
                    <w:t>夜间</w:t>
                  </w:r>
                </w:p>
              </w:tc>
            </w:tr>
            <w:tr w14:paraId="1CE44A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496" w:type="pct"/>
                  <w:vAlign w:val="center"/>
                </w:tcPr>
                <w:p w14:paraId="59B3ADE0">
                  <w:pPr>
                    <w:spacing w:line="276" w:lineRule="auto"/>
                    <w:jc w:val="center"/>
                    <w:rPr>
                      <w:rFonts w:ascii="Times New Roman" w:hAnsi="Times New Roman" w:eastAsia="宋体" w:cs="Times New Roman"/>
                      <w:szCs w:val="21"/>
                    </w:rPr>
                  </w:pPr>
                  <w:r>
                    <w:rPr>
                      <w:rFonts w:ascii="Times New Roman" w:hAnsi="Times New Roman" w:eastAsia="宋体" w:cs="Times New Roman"/>
                      <w:bCs/>
                      <w:szCs w:val="21"/>
                    </w:rPr>
                    <w:t>（GB12348-2008）中3类标准</w:t>
                  </w:r>
                </w:p>
              </w:tc>
              <w:tc>
                <w:tcPr>
                  <w:tcW w:w="1251" w:type="pct"/>
                  <w:vAlign w:val="center"/>
                </w:tcPr>
                <w:p w14:paraId="1F5EFD89">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65</w:t>
                  </w:r>
                </w:p>
              </w:tc>
              <w:tc>
                <w:tcPr>
                  <w:tcW w:w="1251" w:type="pct"/>
                  <w:vAlign w:val="center"/>
                </w:tcPr>
                <w:p w14:paraId="09A5866B">
                  <w:pPr>
                    <w:spacing w:line="276" w:lineRule="auto"/>
                    <w:jc w:val="center"/>
                    <w:rPr>
                      <w:rFonts w:ascii="Times New Roman" w:hAnsi="Times New Roman" w:eastAsia="宋体" w:cs="Times New Roman"/>
                      <w:szCs w:val="21"/>
                    </w:rPr>
                  </w:pPr>
                  <w:r>
                    <w:rPr>
                      <w:rFonts w:ascii="Times New Roman" w:hAnsi="Times New Roman" w:eastAsia="宋体" w:cs="Times New Roman"/>
                      <w:szCs w:val="21"/>
                    </w:rPr>
                    <w:t>55</w:t>
                  </w:r>
                </w:p>
              </w:tc>
            </w:tr>
          </w:tbl>
          <w:p w14:paraId="4B91D6A3">
            <w:pPr>
              <w:spacing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4、固体废物</w:t>
            </w:r>
          </w:p>
          <w:p w14:paraId="7FD02F93">
            <w:pPr>
              <w:spacing w:line="360" w:lineRule="auto"/>
              <w:ind w:firstLine="480" w:firstLineChars="200"/>
              <w:rPr>
                <w:rFonts w:ascii="Times New Roman" w:hAnsi="Times New Roman" w:eastAsia="宋体" w:cs="Times New Roman"/>
                <w:bCs/>
                <w:kern w:val="0"/>
                <w:sz w:val="24"/>
                <w:szCs w:val="24"/>
              </w:rPr>
            </w:pPr>
            <w:r>
              <w:rPr>
                <w:rFonts w:ascii="Times New Roman" w:hAnsi="Times New Roman" w:cs="Times New Roman"/>
                <w:snapToGrid w:val="0"/>
                <w:kern w:val="0"/>
                <w:sz w:val="24"/>
              </w:rPr>
              <w:t>按照《中华人民共和国固体废物污染环境防治法》的要求，固体废物要妥善处置，不得形成二次污染。一般工业固体废物废物贮存、处置参照执行《一般工业固体废物贮存和填埋污染控制标准》（GB18599-2020）；危险废物贮存执行《危险废物贮存污染控制标准》（GB18597-2023）。</w:t>
            </w:r>
          </w:p>
          <w:p w14:paraId="6E56E5AB">
            <w:pPr>
              <w:spacing w:line="360" w:lineRule="auto"/>
              <w:ind w:firstLine="480" w:firstLineChars="200"/>
              <w:jc w:val="left"/>
              <w:rPr>
                <w:rFonts w:ascii="Times New Roman" w:hAnsi="Times New Roman" w:eastAsia="宋体" w:cs="Times New Roman"/>
                <w:bCs/>
                <w:kern w:val="0"/>
                <w:sz w:val="24"/>
                <w:szCs w:val="24"/>
              </w:rPr>
            </w:pPr>
          </w:p>
          <w:p w14:paraId="5C3E9691">
            <w:pPr>
              <w:spacing w:line="360" w:lineRule="auto"/>
              <w:ind w:firstLine="480" w:firstLineChars="200"/>
              <w:jc w:val="left"/>
              <w:rPr>
                <w:rFonts w:ascii="Times New Roman" w:hAnsi="Times New Roman" w:eastAsia="宋体" w:cs="Times New Roman"/>
                <w:bCs/>
                <w:kern w:val="0"/>
                <w:sz w:val="24"/>
                <w:szCs w:val="24"/>
              </w:rPr>
            </w:pPr>
          </w:p>
          <w:p w14:paraId="32EE2126">
            <w:pPr>
              <w:spacing w:line="360" w:lineRule="auto"/>
              <w:ind w:firstLine="480" w:firstLineChars="200"/>
              <w:jc w:val="left"/>
              <w:rPr>
                <w:rFonts w:ascii="Times New Roman" w:hAnsi="Times New Roman" w:eastAsia="宋体" w:cs="Times New Roman"/>
                <w:bCs/>
                <w:kern w:val="0"/>
                <w:sz w:val="24"/>
                <w:szCs w:val="24"/>
              </w:rPr>
            </w:pPr>
          </w:p>
          <w:p w14:paraId="68E86F25">
            <w:pPr>
              <w:spacing w:line="360" w:lineRule="auto"/>
              <w:ind w:firstLine="480" w:firstLineChars="200"/>
              <w:jc w:val="left"/>
              <w:rPr>
                <w:rFonts w:ascii="Times New Roman" w:hAnsi="Times New Roman" w:eastAsia="宋体" w:cs="Times New Roman"/>
                <w:bCs/>
                <w:kern w:val="0"/>
                <w:sz w:val="24"/>
                <w:szCs w:val="24"/>
              </w:rPr>
            </w:pPr>
          </w:p>
          <w:p w14:paraId="07C25136">
            <w:pPr>
              <w:spacing w:line="360" w:lineRule="auto"/>
              <w:ind w:firstLine="480" w:firstLineChars="200"/>
              <w:jc w:val="left"/>
              <w:rPr>
                <w:rFonts w:ascii="Times New Roman" w:hAnsi="Times New Roman" w:eastAsia="宋体" w:cs="Times New Roman"/>
                <w:bCs/>
                <w:kern w:val="0"/>
                <w:sz w:val="24"/>
                <w:szCs w:val="24"/>
              </w:rPr>
            </w:pPr>
          </w:p>
          <w:p w14:paraId="2F8575AA">
            <w:pPr>
              <w:spacing w:line="360" w:lineRule="auto"/>
              <w:jc w:val="left"/>
              <w:rPr>
                <w:rFonts w:ascii="Times New Roman" w:hAnsi="Times New Roman" w:cs="Times New Roman"/>
                <w:snapToGrid w:val="0"/>
                <w:kern w:val="0"/>
                <w:sz w:val="24"/>
              </w:rPr>
            </w:pPr>
          </w:p>
        </w:tc>
      </w:tr>
    </w:tbl>
    <w:p w14:paraId="44ABD961">
      <w:pPr>
        <w:jc w:val="center"/>
        <w:rPr>
          <w:rFonts w:ascii="Times New Roman" w:hAnsi="Times New Roman" w:eastAsia="宋体" w:cs="宋体"/>
          <w:bCs/>
          <w:sz w:val="24"/>
          <w:szCs w:val="24"/>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7"/>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8063"/>
      </w:tblGrid>
      <w:tr w14:paraId="360762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93" w:hRule="atLeast"/>
          <w:jc w:val="center"/>
        </w:trPr>
        <w:tc>
          <w:tcPr>
            <w:tcW w:w="268" w:type="pct"/>
            <w:vAlign w:val="center"/>
          </w:tcPr>
          <w:p w14:paraId="6C62170B">
            <w:pPr>
              <w:spacing w:line="360" w:lineRule="auto"/>
              <w:jc w:val="center"/>
              <w:rPr>
                <w:rFonts w:ascii="Times New Roman" w:hAnsi="Times New Roman" w:eastAsia="宋体" w:cs="宋体"/>
                <w:bCs/>
                <w:sz w:val="24"/>
                <w:szCs w:val="24"/>
              </w:rPr>
            </w:pPr>
            <w:r>
              <w:rPr>
                <w:rFonts w:hint="eastAsia" w:ascii="Times New Roman" w:hAnsi="Times New Roman" w:eastAsia="宋体" w:cs="宋体"/>
                <w:bCs/>
                <w:sz w:val="24"/>
                <w:szCs w:val="24"/>
              </w:rPr>
              <w:t>总量</w:t>
            </w:r>
          </w:p>
          <w:p w14:paraId="3E1DBC4D">
            <w:pPr>
              <w:spacing w:line="360" w:lineRule="auto"/>
              <w:jc w:val="center"/>
              <w:rPr>
                <w:rFonts w:ascii="Times New Roman" w:hAnsi="Times New Roman" w:eastAsia="宋体" w:cs="宋体"/>
                <w:bCs/>
                <w:sz w:val="24"/>
                <w:szCs w:val="24"/>
              </w:rPr>
            </w:pPr>
            <w:r>
              <w:rPr>
                <w:rFonts w:hint="eastAsia" w:ascii="Times New Roman" w:hAnsi="Times New Roman" w:eastAsia="宋体" w:cs="宋体"/>
                <w:bCs/>
                <w:sz w:val="24"/>
                <w:szCs w:val="24"/>
              </w:rPr>
              <w:t>控制</w:t>
            </w:r>
          </w:p>
          <w:p w14:paraId="0D9788C3">
            <w:pPr>
              <w:spacing w:line="360" w:lineRule="auto"/>
              <w:jc w:val="center"/>
              <w:rPr>
                <w:rFonts w:ascii="Times New Roman" w:hAnsi="Times New Roman" w:eastAsia="宋体" w:cs="宋体"/>
                <w:kern w:val="0"/>
                <w:szCs w:val="21"/>
              </w:rPr>
            </w:pPr>
            <w:r>
              <w:rPr>
                <w:rFonts w:hint="eastAsia" w:ascii="Times New Roman" w:hAnsi="Times New Roman" w:eastAsia="宋体" w:cs="宋体"/>
                <w:bCs/>
                <w:sz w:val="24"/>
                <w:szCs w:val="24"/>
              </w:rPr>
              <w:t>指标</w:t>
            </w:r>
          </w:p>
        </w:tc>
        <w:tc>
          <w:tcPr>
            <w:tcW w:w="4732" w:type="pct"/>
          </w:tcPr>
          <w:p w14:paraId="64E13E0D">
            <w:pPr>
              <w:spacing w:line="360" w:lineRule="auto"/>
              <w:ind w:firstLine="480" w:firstLineChars="200"/>
              <w:jc w:val="left"/>
              <w:rPr>
                <w:rFonts w:ascii="Times New Roman" w:hAnsi="宋体" w:eastAsia="宋体" w:cs="Times New Roman"/>
                <w:color w:val="FF0000"/>
                <w:kern w:val="0"/>
                <w:sz w:val="24"/>
                <w:szCs w:val="20"/>
              </w:rPr>
            </w:pPr>
            <w:r>
              <w:rPr>
                <w:rFonts w:ascii="Times New Roman" w:hAnsi="Times New Roman"/>
                <w:snapToGrid w:val="0"/>
                <w:kern w:val="0"/>
                <w:sz w:val="24"/>
              </w:rPr>
              <w:t>根据安徽省生态环境厅安徽省发展和改革委员会关于印发《安徽省“十</w:t>
            </w:r>
            <w:r>
              <w:rPr>
                <w:rFonts w:hint="eastAsia" w:ascii="Times New Roman" w:hAnsi="Times New Roman"/>
                <w:snapToGrid w:val="0"/>
                <w:kern w:val="0"/>
                <w:sz w:val="24"/>
              </w:rPr>
              <w:t>四</w:t>
            </w:r>
            <w:r>
              <w:rPr>
                <w:rFonts w:ascii="Times New Roman" w:hAnsi="Times New Roman"/>
                <w:snapToGrid w:val="0"/>
                <w:kern w:val="0"/>
                <w:sz w:val="24"/>
              </w:rPr>
              <w:t>五”生态环境保护规划》的通知中有关规定，目前需对化学需氧量（COD）、氨氮（NH</w:t>
            </w:r>
            <w:r>
              <w:rPr>
                <w:rFonts w:ascii="Times New Roman" w:hAnsi="Times New Roman"/>
                <w:snapToGrid w:val="0"/>
                <w:kern w:val="0"/>
                <w:sz w:val="24"/>
                <w:vertAlign w:val="subscript"/>
              </w:rPr>
              <w:t>3</w:t>
            </w:r>
            <w:r>
              <w:rPr>
                <w:rFonts w:ascii="Times New Roman" w:hAnsi="Times New Roman"/>
                <w:snapToGrid w:val="0"/>
                <w:kern w:val="0"/>
                <w:sz w:val="24"/>
              </w:rPr>
              <w:t>-N）、氮氧化物（NOx）、挥发性有机物（VOCs）实行排放总量控制计划管理。</w:t>
            </w:r>
            <w:r>
              <w:rPr>
                <w:rFonts w:hint="eastAsia" w:ascii="Times New Roman" w:hAnsi="Times New Roman"/>
                <w:snapToGrid w:val="0"/>
                <w:kern w:val="0"/>
                <w:sz w:val="24"/>
              </w:rPr>
              <w:t>根据《安徽省环保厅关于进一步加强建设项目新增大气主要污染物总量指标管理工作的通知》中有关规定，大气主要污染物总量指标从两项增加为四项，在SO</w:t>
            </w:r>
            <w:r>
              <w:rPr>
                <w:rFonts w:hint="eastAsia" w:ascii="Times New Roman" w:hAnsi="Times New Roman"/>
                <w:snapToGrid w:val="0"/>
                <w:kern w:val="0"/>
                <w:sz w:val="24"/>
                <w:vertAlign w:val="subscript"/>
              </w:rPr>
              <w:t>2</w:t>
            </w:r>
            <w:r>
              <w:rPr>
                <w:rFonts w:hint="eastAsia" w:ascii="Times New Roman" w:hAnsi="Times New Roman"/>
                <w:snapToGrid w:val="0"/>
                <w:kern w:val="0"/>
                <w:sz w:val="24"/>
              </w:rPr>
              <w:t>、NOx的基础上增加烟（粉）尘、挥发性有机物两项指标。</w:t>
            </w:r>
          </w:p>
          <w:p w14:paraId="684F5CC3">
            <w:pPr>
              <w:spacing w:line="360" w:lineRule="auto"/>
              <w:ind w:firstLine="480" w:firstLineChars="200"/>
              <w:rPr>
                <w:rFonts w:ascii="Times New Roman" w:hAnsi="Times New Roman" w:eastAsia="宋体" w:cs="Times New Roman"/>
                <w:kern w:val="0"/>
                <w:sz w:val="24"/>
                <w:szCs w:val="20"/>
              </w:rPr>
            </w:pPr>
            <w:r>
              <w:rPr>
                <w:rFonts w:hint="eastAsia" w:ascii="Times New Roman" w:hAnsi="Times New Roman" w:eastAsia="宋体" w:cs="Times New Roman"/>
                <w:color w:val="auto"/>
                <w:kern w:val="0"/>
                <w:sz w:val="24"/>
                <w:szCs w:val="20"/>
              </w:rPr>
              <w:t>本项目有组织废气颗粒物排放量为：0.05</w:t>
            </w:r>
            <w:r>
              <w:rPr>
                <w:rFonts w:hint="eastAsia" w:ascii="Times New Roman" w:hAnsi="Times New Roman" w:eastAsia="宋体" w:cs="Times New Roman"/>
                <w:color w:val="auto"/>
                <w:kern w:val="0"/>
                <w:sz w:val="24"/>
                <w:szCs w:val="20"/>
                <w:lang w:val="en-US" w:eastAsia="zh-CN"/>
              </w:rPr>
              <w:t>3</w:t>
            </w:r>
            <w:r>
              <w:rPr>
                <w:rFonts w:ascii="Times New Roman" w:hAnsi="Times New Roman" w:eastAsia="宋体" w:cs="Times New Roman"/>
                <w:color w:val="auto"/>
                <w:kern w:val="0"/>
                <w:sz w:val="24"/>
                <w:szCs w:val="20"/>
              </w:rPr>
              <w:t>t/a</w:t>
            </w:r>
            <w:r>
              <w:rPr>
                <w:rFonts w:hint="eastAsia" w:ascii="Times New Roman" w:hAnsi="Times New Roman" w:eastAsia="宋体" w:cs="Times New Roman"/>
                <w:color w:val="auto"/>
                <w:kern w:val="0"/>
                <w:sz w:val="24"/>
                <w:szCs w:val="20"/>
              </w:rPr>
              <w:t>；非甲烷</w:t>
            </w:r>
            <w:r>
              <w:rPr>
                <w:rFonts w:ascii="Times New Roman" w:hAnsi="Times New Roman" w:eastAsia="宋体" w:cs="Times New Roman"/>
                <w:color w:val="auto"/>
                <w:kern w:val="0"/>
                <w:sz w:val="24"/>
                <w:szCs w:val="20"/>
              </w:rPr>
              <w:t>总烃</w:t>
            </w:r>
            <w:r>
              <w:rPr>
                <w:rFonts w:hint="eastAsia" w:ascii="Times New Roman" w:hAnsi="Times New Roman" w:eastAsia="宋体" w:cs="Times New Roman"/>
                <w:color w:val="auto"/>
                <w:kern w:val="0"/>
                <w:sz w:val="24"/>
                <w:szCs w:val="20"/>
              </w:rPr>
              <w:t>排放量为0.2</w:t>
            </w:r>
            <w:r>
              <w:rPr>
                <w:rFonts w:hint="eastAsia" w:ascii="Times New Roman" w:hAnsi="Times New Roman" w:eastAsia="宋体" w:cs="Times New Roman"/>
                <w:color w:val="auto"/>
                <w:kern w:val="0"/>
                <w:sz w:val="24"/>
                <w:szCs w:val="20"/>
                <w:lang w:val="en-US" w:eastAsia="zh-CN"/>
              </w:rPr>
              <w:t>25</w:t>
            </w:r>
            <w:r>
              <w:rPr>
                <w:rFonts w:ascii="Times New Roman" w:hAnsi="Times New Roman" w:eastAsia="宋体" w:cs="Times New Roman"/>
                <w:color w:val="auto"/>
                <w:kern w:val="0"/>
                <w:sz w:val="24"/>
                <w:szCs w:val="20"/>
              </w:rPr>
              <w:t>t/a</w:t>
            </w:r>
            <w:r>
              <w:rPr>
                <w:rFonts w:hint="eastAsia" w:ascii="Times New Roman" w:hAnsi="Times New Roman" w:eastAsia="宋体" w:cs="Times New Roman"/>
                <w:color w:val="auto"/>
                <w:kern w:val="0"/>
                <w:sz w:val="24"/>
                <w:szCs w:val="20"/>
              </w:rPr>
              <w:t>。本项目颗粒物、VOCs总量来源由生</w:t>
            </w:r>
            <w:r>
              <w:rPr>
                <w:rFonts w:hint="eastAsia" w:ascii="Times New Roman" w:hAnsi="Times New Roman" w:eastAsia="宋体" w:cs="Times New Roman"/>
                <w:kern w:val="0"/>
                <w:sz w:val="24"/>
                <w:szCs w:val="20"/>
              </w:rPr>
              <w:t>态环境主管部门统一调配。</w:t>
            </w:r>
          </w:p>
          <w:p w14:paraId="4A97863F">
            <w:pPr>
              <w:spacing w:line="360" w:lineRule="auto"/>
              <w:ind w:firstLine="480" w:firstLineChars="200"/>
              <w:jc w:val="left"/>
              <w:rPr>
                <w:rFonts w:ascii="Times New Roman" w:hAnsi="Times New Roman" w:eastAsia="宋体" w:cs="Times New Roman"/>
                <w:sz w:val="24"/>
              </w:rPr>
            </w:pPr>
            <w:r>
              <w:rPr>
                <w:rFonts w:ascii="Times New Roman" w:hAnsi="Times New Roman" w:cs="Times New Roman"/>
                <w:snapToGrid w:val="0"/>
                <w:kern w:val="0"/>
                <w:sz w:val="24"/>
              </w:rPr>
              <w:t>废水：本项目废水</w:t>
            </w:r>
            <w:r>
              <w:rPr>
                <w:rFonts w:hint="eastAsia" w:ascii="Times New Roman" w:hAnsi="Times New Roman" w:cs="Times New Roman"/>
                <w:snapToGrid w:val="0"/>
                <w:kern w:val="0"/>
                <w:sz w:val="24"/>
              </w:rPr>
              <w:t>纳管至</w:t>
            </w:r>
            <w:r>
              <w:rPr>
                <w:rFonts w:hint="eastAsia" w:ascii="Times New Roman" w:hAnsi="Times New Roman" w:eastAsia="宋体" w:cs="Times New Roman"/>
                <w:bCs/>
                <w:sz w:val="24"/>
              </w:rPr>
              <w:t>八公山污水处理厂统一处理</w:t>
            </w:r>
            <w:r>
              <w:rPr>
                <w:rFonts w:hint="eastAsia" w:ascii="Times New Roman" w:hAnsi="Times New Roman" w:cs="Times New Roman"/>
                <w:snapToGrid w:val="0"/>
                <w:kern w:val="0"/>
                <w:sz w:val="24"/>
              </w:rPr>
              <w:t>，最终排入淮河。</w:t>
            </w:r>
            <w:r>
              <w:rPr>
                <w:rFonts w:ascii="Times New Roman" w:hAnsi="Times New Roman" w:cs="Times New Roman"/>
                <w:snapToGrid w:val="0"/>
                <w:kern w:val="0"/>
                <w:sz w:val="24"/>
              </w:rPr>
              <w:t>排放总量指标纳入</w:t>
            </w:r>
            <w:r>
              <w:rPr>
                <w:rFonts w:hint="eastAsia" w:ascii="Times New Roman" w:hAnsi="Times New Roman" w:eastAsia="宋体" w:cs="Times New Roman"/>
                <w:bCs/>
                <w:sz w:val="24"/>
              </w:rPr>
              <w:t>八公山污水处理厂</w:t>
            </w:r>
            <w:r>
              <w:rPr>
                <w:rFonts w:ascii="Times New Roman" w:hAnsi="Times New Roman" w:cs="Times New Roman"/>
                <w:snapToGrid w:val="0"/>
                <w:kern w:val="0"/>
                <w:sz w:val="24"/>
              </w:rPr>
              <w:t>污染物总量控制指标统一考核，无需另外申请总量指标。</w:t>
            </w:r>
          </w:p>
          <w:p w14:paraId="2B859E88">
            <w:pPr>
              <w:spacing w:line="336" w:lineRule="auto"/>
              <w:ind w:firstLine="480" w:firstLineChars="200"/>
              <w:jc w:val="left"/>
              <w:rPr>
                <w:rFonts w:ascii="Times New Roman" w:hAnsi="Times New Roman" w:eastAsia="宋体" w:cs="Times New Roman"/>
                <w:sz w:val="24"/>
              </w:rPr>
            </w:pPr>
          </w:p>
          <w:p w14:paraId="127C222A">
            <w:pPr>
              <w:spacing w:line="336" w:lineRule="auto"/>
              <w:ind w:firstLine="480" w:firstLineChars="200"/>
              <w:jc w:val="left"/>
              <w:rPr>
                <w:rFonts w:ascii="Times New Roman" w:hAnsi="Times New Roman" w:eastAsia="宋体" w:cs="Times New Roman"/>
                <w:sz w:val="24"/>
              </w:rPr>
            </w:pPr>
          </w:p>
          <w:p w14:paraId="135B52C7">
            <w:pPr>
              <w:spacing w:line="336" w:lineRule="auto"/>
              <w:jc w:val="left"/>
              <w:rPr>
                <w:rFonts w:ascii="Times New Roman" w:hAnsi="Times New Roman" w:eastAsia="宋体" w:cs="Times New Roman"/>
                <w:sz w:val="24"/>
              </w:rPr>
            </w:pPr>
          </w:p>
          <w:p w14:paraId="1D1D2FA8">
            <w:pPr>
              <w:spacing w:line="336" w:lineRule="auto"/>
              <w:jc w:val="left"/>
              <w:rPr>
                <w:rFonts w:ascii="Times New Roman" w:hAnsi="Times New Roman" w:eastAsia="宋体" w:cs="Times New Roman"/>
                <w:sz w:val="24"/>
              </w:rPr>
            </w:pPr>
          </w:p>
          <w:p w14:paraId="419F8F4C">
            <w:pPr>
              <w:spacing w:line="336" w:lineRule="auto"/>
              <w:jc w:val="left"/>
              <w:rPr>
                <w:rFonts w:ascii="Times New Roman" w:hAnsi="Times New Roman" w:eastAsia="宋体" w:cs="Times New Roman"/>
                <w:sz w:val="24"/>
              </w:rPr>
            </w:pPr>
          </w:p>
          <w:p w14:paraId="730F8684">
            <w:pPr>
              <w:spacing w:line="336" w:lineRule="auto"/>
              <w:jc w:val="left"/>
              <w:rPr>
                <w:rFonts w:ascii="Times New Roman" w:hAnsi="Times New Roman" w:eastAsia="宋体" w:cs="Times New Roman"/>
                <w:sz w:val="24"/>
              </w:rPr>
            </w:pPr>
          </w:p>
          <w:p w14:paraId="4D737B86">
            <w:pPr>
              <w:spacing w:line="336" w:lineRule="auto"/>
              <w:jc w:val="left"/>
              <w:rPr>
                <w:rFonts w:ascii="Times New Roman" w:hAnsi="Times New Roman" w:eastAsia="宋体" w:cs="Times New Roman"/>
                <w:sz w:val="24"/>
              </w:rPr>
            </w:pPr>
          </w:p>
          <w:p w14:paraId="21C69EA4">
            <w:pPr>
              <w:spacing w:line="336" w:lineRule="auto"/>
              <w:jc w:val="left"/>
              <w:rPr>
                <w:rFonts w:ascii="Times New Roman" w:hAnsi="Times New Roman" w:eastAsia="宋体" w:cs="Times New Roman"/>
                <w:sz w:val="24"/>
              </w:rPr>
            </w:pPr>
          </w:p>
          <w:p w14:paraId="19E179EE">
            <w:pPr>
              <w:spacing w:line="336" w:lineRule="auto"/>
              <w:jc w:val="left"/>
              <w:rPr>
                <w:rFonts w:ascii="Times New Roman" w:hAnsi="Times New Roman" w:eastAsia="宋体" w:cs="Times New Roman"/>
                <w:sz w:val="24"/>
              </w:rPr>
            </w:pPr>
          </w:p>
          <w:p w14:paraId="70BA8870">
            <w:pPr>
              <w:spacing w:line="336" w:lineRule="auto"/>
              <w:jc w:val="left"/>
              <w:rPr>
                <w:rFonts w:ascii="Times New Roman" w:hAnsi="Times New Roman" w:eastAsia="宋体" w:cs="Times New Roman"/>
                <w:sz w:val="24"/>
              </w:rPr>
            </w:pPr>
          </w:p>
          <w:p w14:paraId="319EA0A9">
            <w:pPr>
              <w:spacing w:line="336" w:lineRule="auto"/>
              <w:jc w:val="left"/>
              <w:rPr>
                <w:rFonts w:ascii="Times New Roman" w:hAnsi="Times New Roman" w:eastAsia="宋体" w:cs="Times New Roman"/>
                <w:sz w:val="24"/>
              </w:rPr>
            </w:pPr>
          </w:p>
          <w:p w14:paraId="404792D7">
            <w:pPr>
              <w:spacing w:line="336" w:lineRule="auto"/>
              <w:jc w:val="left"/>
              <w:rPr>
                <w:rFonts w:ascii="Times New Roman" w:hAnsi="Times New Roman" w:eastAsia="宋体" w:cs="Times New Roman"/>
                <w:sz w:val="24"/>
              </w:rPr>
            </w:pPr>
          </w:p>
          <w:p w14:paraId="6515CD88">
            <w:pPr>
              <w:spacing w:line="336" w:lineRule="auto"/>
              <w:jc w:val="left"/>
              <w:rPr>
                <w:rFonts w:ascii="Times New Roman" w:hAnsi="Times New Roman" w:eastAsia="宋体" w:cs="Times New Roman"/>
                <w:sz w:val="24"/>
              </w:rPr>
            </w:pPr>
          </w:p>
          <w:p w14:paraId="3827E089">
            <w:pPr>
              <w:spacing w:line="336" w:lineRule="auto"/>
              <w:jc w:val="left"/>
              <w:rPr>
                <w:rFonts w:ascii="Times New Roman" w:hAnsi="Times New Roman" w:eastAsia="宋体" w:cs="Times New Roman"/>
                <w:sz w:val="24"/>
              </w:rPr>
            </w:pPr>
          </w:p>
          <w:p w14:paraId="5EFC15B2">
            <w:pPr>
              <w:spacing w:line="336" w:lineRule="auto"/>
              <w:jc w:val="left"/>
              <w:rPr>
                <w:rFonts w:ascii="Times New Roman" w:hAnsi="Times New Roman" w:eastAsia="宋体" w:cs="Times New Roman"/>
                <w:sz w:val="24"/>
              </w:rPr>
            </w:pPr>
          </w:p>
          <w:p w14:paraId="63EF83D1">
            <w:pPr>
              <w:spacing w:line="336" w:lineRule="auto"/>
              <w:jc w:val="left"/>
              <w:rPr>
                <w:rFonts w:ascii="Times New Roman" w:hAnsi="Times New Roman" w:eastAsia="宋体" w:cs="Times New Roman"/>
                <w:sz w:val="24"/>
              </w:rPr>
            </w:pPr>
          </w:p>
          <w:p w14:paraId="29E7A45E">
            <w:pPr>
              <w:spacing w:line="336" w:lineRule="auto"/>
              <w:jc w:val="left"/>
              <w:rPr>
                <w:rFonts w:ascii="Times New Roman" w:hAnsi="Times New Roman" w:eastAsia="宋体" w:cs="Times New Roman"/>
                <w:sz w:val="24"/>
              </w:rPr>
            </w:pPr>
          </w:p>
          <w:p w14:paraId="565FC098">
            <w:pPr>
              <w:spacing w:line="336" w:lineRule="auto"/>
              <w:jc w:val="left"/>
              <w:rPr>
                <w:rFonts w:ascii="Times New Roman" w:hAnsi="Times New Roman" w:eastAsia="宋体" w:cs="Times New Roman"/>
                <w:sz w:val="24"/>
              </w:rPr>
            </w:pPr>
          </w:p>
          <w:p w14:paraId="52C54D31">
            <w:pPr>
              <w:spacing w:line="336" w:lineRule="auto"/>
              <w:jc w:val="left"/>
              <w:rPr>
                <w:rFonts w:ascii="Times New Roman" w:hAnsi="Times New Roman" w:eastAsia="宋体" w:cs="Times New Roman"/>
                <w:sz w:val="24"/>
              </w:rPr>
            </w:pPr>
          </w:p>
        </w:tc>
      </w:tr>
    </w:tbl>
    <w:p w14:paraId="247179F6">
      <w:pPr>
        <w:widowControl/>
        <w:spacing w:before="100" w:beforeAutospacing="1" w:after="100" w:afterAutospacing="1"/>
        <w:jc w:val="center"/>
        <w:outlineLvl w:val="0"/>
        <w:rPr>
          <w:rFonts w:ascii="Times New Roman" w:hAnsi="Times New Roman" w:eastAsia="黑体" w:cs="Times New Roman"/>
          <w:snapToGrid w:val="0"/>
          <w:kern w:val="0"/>
          <w:sz w:val="30"/>
          <w:szCs w:val="30"/>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F68ACBB">
      <w:pPr>
        <w:widowControl/>
        <w:spacing w:before="100" w:beforeAutospacing="1" w:after="100" w:afterAutospacing="1"/>
        <w:jc w:val="center"/>
        <w:outlineLvl w:val="0"/>
        <w:rPr>
          <w:rFonts w:ascii="Times New Roman" w:hAnsi="Times New Roman" w:eastAsia="黑体" w:cs="Times New Roman"/>
          <w:snapToGrid w:val="0"/>
          <w:kern w:val="0"/>
          <w:sz w:val="30"/>
          <w:szCs w:val="30"/>
        </w:rPr>
      </w:pPr>
      <w:r>
        <w:rPr>
          <w:rFonts w:hint="eastAsia" w:ascii="Times New Roman" w:hAnsi="Times New Roman" w:eastAsia="黑体" w:cs="Times New Roman"/>
          <w:snapToGrid w:val="0"/>
          <w:kern w:val="0"/>
          <w:sz w:val="30"/>
          <w:szCs w:val="30"/>
        </w:rPr>
        <w:t>四、主要环境影响和保护措施</w:t>
      </w:r>
    </w:p>
    <w:tbl>
      <w:tblPr>
        <w:tblStyle w:val="17"/>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8063"/>
      </w:tblGrid>
      <w:tr w14:paraId="72EA53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193" w:hRule="atLeast"/>
          <w:jc w:val="center"/>
        </w:trPr>
        <w:tc>
          <w:tcPr>
            <w:tcW w:w="268" w:type="pct"/>
            <w:vAlign w:val="center"/>
          </w:tcPr>
          <w:p w14:paraId="61FDD8F0">
            <w:pPr>
              <w:spacing w:line="360" w:lineRule="auto"/>
              <w:jc w:val="center"/>
              <w:rPr>
                <w:rFonts w:ascii="Times New Roman" w:hAnsi="Times New Roman" w:eastAsia="宋体" w:cs="宋体"/>
                <w:kern w:val="0"/>
                <w:szCs w:val="21"/>
              </w:rPr>
            </w:pPr>
            <w:r>
              <w:rPr>
                <w:rFonts w:hint="eastAsia" w:ascii="Times New Roman" w:hAnsi="Times New Roman" w:eastAsia="宋体" w:cs="宋体"/>
                <w:bCs/>
                <w:sz w:val="24"/>
                <w:szCs w:val="24"/>
              </w:rPr>
              <w:t>施工期环境保护措施</w:t>
            </w:r>
          </w:p>
        </w:tc>
        <w:tc>
          <w:tcPr>
            <w:tcW w:w="4732" w:type="pct"/>
          </w:tcPr>
          <w:p w14:paraId="5EFC7E72">
            <w:pPr>
              <w:spacing w:line="360" w:lineRule="auto"/>
              <w:ind w:firstLine="480" w:firstLineChars="200"/>
              <w:rPr>
                <w:rFonts w:ascii="Times New Roman" w:hAnsi="Times New Roman"/>
                <w:snapToGrid w:val="0"/>
                <w:sz w:val="24"/>
              </w:rPr>
            </w:pPr>
            <w:r>
              <w:rPr>
                <w:rFonts w:ascii="Times New Roman" w:hAnsi="Times New Roman" w:cs="Times New Roman"/>
                <w:snapToGrid w:val="0"/>
                <w:sz w:val="24"/>
              </w:rPr>
              <w:t>本项目</w:t>
            </w:r>
            <w:r>
              <w:rPr>
                <w:rFonts w:hint="eastAsia" w:ascii="Times New Roman" w:hAnsi="Times New Roman" w:cs="Times New Roman"/>
                <w:snapToGrid w:val="0"/>
                <w:sz w:val="24"/>
              </w:rPr>
              <w:t>租赁</w:t>
            </w:r>
            <w:r>
              <w:rPr>
                <w:rFonts w:hint="eastAsia" w:ascii="Times New Roman" w:hAnsi="Times New Roman" w:eastAsia="宋体" w:cs="Times New Roman"/>
                <w:bCs/>
                <w:kern w:val="0"/>
                <w:sz w:val="24"/>
                <w:szCs w:val="24"/>
              </w:rPr>
              <w:t>安徽省淮南市谢家集区</w:t>
            </w:r>
            <w:r>
              <w:rPr>
                <w:rFonts w:hint="eastAsia" w:ascii="Times New Roman" w:hAnsi="Times New Roman" w:cs="Times New Roman"/>
                <w:bCs/>
                <w:sz w:val="24"/>
              </w:rPr>
              <w:t>汽配产业园3号厂房</w:t>
            </w:r>
            <w:r>
              <w:rPr>
                <w:rFonts w:ascii="Times New Roman" w:hAnsi="Times New Roman" w:cs="Times New Roman"/>
                <w:snapToGrid w:val="0"/>
                <w:sz w:val="24"/>
              </w:rPr>
              <w:t>，</w:t>
            </w:r>
            <w:r>
              <w:rPr>
                <w:rFonts w:hint="eastAsia" w:ascii="Times New Roman" w:hAnsi="Times New Roman"/>
                <w:snapToGrid w:val="0"/>
                <w:sz w:val="24"/>
              </w:rPr>
              <w:t>在闲置厂房内进行设备安装调试，产生的污染物较少。因此，本次评价仅对其进行简要定性分析和评价。</w:t>
            </w:r>
          </w:p>
          <w:p w14:paraId="4DCDD702">
            <w:pPr>
              <w:widowControl/>
              <w:spacing w:line="360" w:lineRule="auto"/>
              <w:ind w:firstLine="480" w:firstLineChars="200"/>
              <w:rPr>
                <w:rFonts w:ascii="Times New Roman" w:hAnsi="Times New Roman"/>
                <w:snapToGrid w:val="0"/>
                <w:sz w:val="24"/>
              </w:rPr>
            </w:pPr>
            <w:r>
              <w:rPr>
                <w:rFonts w:hint="eastAsia" w:ascii="Times New Roman" w:hAnsi="Times New Roman"/>
                <w:snapToGrid w:val="0"/>
                <w:sz w:val="24"/>
              </w:rPr>
              <w:t>施工期保护措施如下：</w:t>
            </w:r>
          </w:p>
          <w:p w14:paraId="5DEABF3F">
            <w:pPr>
              <w:widowControl/>
              <w:spacing w:line="360" w:lineRule="auto"/>
              <w:ind w:firstLine="480" w:firstLineChars="200"/>
              <w:rPr>
                <w:rFonts w:ascii="Times New Roman" w:hAnsi="Times New Roman" w:cs="Times New Roman"/>
                <w:sz w:val="24"/>
                <w:szCs w:val="21"/>
              </w:rPr>
            </w:pPr>
            <w:r>
              <w:rPr>
                <w:rFonts w:hint="eastAsia" w:ascii="Times New Roman" w:hAnsi="Times New Roman" w:cs="Times New Roman"/>
                <w:sz w:val="24"/>
                <w:szCs w:val="21"/>
              </w:rPr>
              <w:t>（1）施工人员生活废水经化粪池预处理后排入市政污水管网。</w:t>
            </w:r>
          </w:p>
          <w:p w14:paraId="0CAD6D4D">
            <w:pPr>
              <w:pStyle w:val="48"/>
              <w:adjustRightInd/>
              <w:spacing w:line="360" w:lineRule="auto"/>
              <w:ind w:firstLine="480" w:firstLineChars="200"/>
              <w:jc w:val="both"/>
              <w:rPr>
                <w:rFonts w:ascii="Times New Roman" w:eastAsiaTheme="minorEastAsia"/>
                <w:color w:val="auto"/>
                <w:kern w:val="2"/>
                <w:szCs w:val="21"/>
              </w:rPr>
            </w:pPr>
            <w:r>
              <w:rPr>
                <w:rFonts w:ascii="Times New Roman" w:eastAsiaTheme="minorEastAsia"/>
                <w:color w:val="auto"/>
                <w:kern w:val="2"/>
                <w:szCs w:val="21"/>
              </w:rPr>
              <w:t>（</w:t>
            </w:r>
            <w:r>
              <w:rPr>
                <w:rFonts w:hint="eastAsia" w:ascii="Times New Roman" w:eastAsiaTheme="minorEastAsia"/>
                <w:color w:val="auto"/>
                <w:kern w:val="2"/>
                <w:szCs w:val="21"/>
              </w:rPr>
              <w:t>2</w:t>
            </w:r>
            <w:r>
              <w:rPr>
                <w:rFonts w:ascii="Times New Roman" w:eastAsiaTheme="minorEastAsia"/>
                <w:color w:val="auto"/>
                <w:kern w:val="2"/>
                <w:szCs w:val="21"/>
              </w:rPr>
              <w:t>）</w:t>
            </w:r>
            <w:r>
              <w:rPr>
                <w:rFonts w:hint="eastAsia" w:ascii="Times New Roman" w:eastAsiaTheme="minorEastAsia"/>
                <w:color w:val="auto"/>
                <w:kern w:val="2"/>
                <w:szCs w:val="21"/>
              </w:rPr>
              <w:t>施工人员</w:t>
            </w:r>
            <w:r>
              <w:rPr>
                <w:rFonts w:ascii="Times New Roman" w:eastAsiaTheme="minorEastAsia"/>
                <w:color w:val="auto"/>
                <w:kern w:val="2"/>
                <w:szCs w:val="21"/>
              </w:rPr>
              <w:t>生活垃圾由垃圾桶收集后委托环卫清运。</w:t>
            </w:r>
          </w:p>
          <w:p w14:paraId="05DF9E5A">
            <w:pPr>
              <w:spacing w:line="360" w:lineRule="auto"/>
              <w:ind w:firstLine="480" w:firstLineChars="200"/>
              <w:jc w:val="left"/>
              <w:rPr>
                <w:rFonts w:ascii="Times New Roman" w:hAnsi="Times New Roman" w:cs="Times New Roman"/>
                <w:snapToGrid w:val="0"/>
                <w:kern w:val="0"/>
                <w:sz w:val="24"/>
              </w:rPr>
            </w:pPr>
            <w:r>
              <w:rPr>
                <w:rFonts w:hint="eastAsia" w:ascii="Times New Roman" w:hAnsi="Times New Roman" w:cs="Times New Roman"/>
                <w:sz w:val="24"/>
                <w:szCs w:val="21"/>
              </w:rPr>
              <w:t>（3）通过关闭厂房门窗降低施工噪声对周围环境的影响</w:t>
            </w:r>
            <w:r>
              <w:rPr>
                <w:rFonts w:hint="eastAsia" w:ascii="Times New Roman" w:hAnsi="Times New Roman"/>
                <w:snapToGrid w:val="0"/>
                <w:sz w:val="24"/>
              </w:rPr>
              <w:t>。</w:t>
            </w:r>
          </w:p>
          <w:p w14:paraId="1736B970">
            <w:pPr>
              <w:spacing w:line="336" w:lineRule="auto"/>
              <w:ind w:firstLine="480" w:firstLineChars="200"/>
              <w:jc w:val="left"/>
              <w:rPr>
                <w:rFonts w:ascii="Times New Roman" w:hAnsi="Times New Roman" w:eastAsia="宋体" w:cs="Times New Roman"/>
                <w:sz w:val="24"/>
              </w:rPr>
            </w:pPr>
          </w:p>
          <w:p w14:paraId="25D15DB0">
            <w:pPr>
              <w:spacing w:line="336" w:lineRule="auto"/>
              <w:ind w:firstLine="480" w:firstLineChars="200"/>
              <w:jc w:val="left"/>
              <w:rPr>
                <w:rFonts w:ascii="Times New Roman" w:hAnsi="Times New Roman" w:eastAsia="宋体" w:cs="Times New Roman"/>
                <w:sz w:val="24"/>
              </w:rPr>
            </w:pPr>
          </w:p>
          <w:p w14:paraId="3043AAE9">
            <w:pPr>
              <w:spacing w:line="336" w:lineRule="auto"/>
              <w:ind w:firstLine="480" w:firstLineChars="200"/>
              <w:jc w:val="left"/>
              <w:rPr>
                <w:rFonts w:ascii="Times New Roman" w:hAnsi="Times New Roman" w:eastAsia="宋体" w:cs="Times New Roman"/>
                <w:sz w:val="24"/>
              </w:rPr>
            </w:pPr>
          </w:p>
          <w:p w14:paraId="324F83CD">
            <w:pPr>
              <w:spacing w:line="336" w:lineRule="auto"/>
              <w:jc w:val="left"/>
              <w:rPr>
                <w:rFonts w:ascii="Times New Roman" w:hAnsi="Times New Roman" w:eastAsia="宋体" w:cs="Times New Roman"/>
                <w:sz w:val="24"/>
              </w:rPr>
            </w:pPr>
          </w:p>
          <w:p w14:paraId="48463996">
            <w:pPr>
              <w:spacing w:line="336" w:lineRule="auto"/>
              <w:jc w:val="left"/>
              <w:rPr>
                <w:rFonts w:ascii="Times New Roman" w:hAnsi="Times New Roman" w:eastAsia="宋体" w:cs="Times New Roman"/>
                <w:sz w:val="24"/>
              </w:rPr>
            </w:pPr>
          </w:p>
          <w:p w14:paraId="611EB239">
            <w:pPr>
              <w:spacing w:line="336" w:lineRule="auto"/>
              <w:jc w:val="left"/>
              <w:rPr>
                <w:rFonts w:ascii="Times New Roman" w:hAnsi="Times New Roman" w:eastAsia="宋体" w:cs="Times New Roman"/>
                <w:sz w:val="24"/>
              </w:rPr>
            </w:pPr>
          </w:p>
          <w:p w14:paraId="6908C252">
            <w:pPr>
              <w:spacing w:line="336" w:lineRule="auto"/>
              <w:jc w:val="left"/>
              <w:rPr>
                <w:rFonts w:ascii="Times New Roman" w:hAnsi="Times New Roman" w:eastAsia="宋体" w:cs="Times New Roman"/>
                <w:sz w:val="24"/>
              </w:rPr>
            </w:pPr>
          </w:p>
          <w:p w14:paraId="21C48BB4">
            <w:pPr>
              <w:spacing w:line="336" w:lineRule="auto"/>
              <w:jc w:val="left"/>
              <w:rPr>
                <w:rFonts w:ascii="Times New Roman" w:hAnsi="Times New Roman" w:eastAsia="宋体" w:cs="Times New Roman"/>
                <w:sz w:val="24"/>
              </w:rPr>
            </w:pPr>
          </w:p>
          <w:p w14:paraId="10046DB4">
            <w:pPr>
              <w:spacing w:line="336" w:lineRule="auto"/>
              <w:jc w:val="left"/>
              <w:rPr>
                <w:rFonts w:ascii="Times New Roman" w:hAnsi="Times New Roman" w:eastAsia="宋体" w:cs="Times New Roman"/>
                <w:sz w:val="24"/>
              </w:rPr>
            </w:pPr>
          </w:p>
          <w:p w14:paraId="65A781E6">
            <w:pPr>
              <w:spacing w:line="336" w:lineRule="auto"/>
              <w:jc w:val="left"/>
              <w:rPr>
                <w:rFonts w:ascii="Times New Roman" w:hAnsi="Times New Roman" w:eastAsia="宋体" w:cs="Times New Roman"/>
                <w:sz w:val="24"/>
              </w:rPr>
            </w:pPr>
          </w:p>
          <w:p w14:paraId="0CC3AC89">
            <w:pPr>
              <w:spacing w:line="336" w:lineRule="auto"/>
              <w:jc w:val="left"/>
              <w:rPr>
                <w:rFonts w:ascii="Times New Roman" w:hAnsi="Times New Roman" w:eastAsia="宋体" w:cs="Times New Roman"/>
                <w:sz w:val="24"/>
              </w:rPr>
            </w:pPr>
          </w:p>
          <w:p w14:paraId="39C781B2">
            <w:pPr>
              <w:spacing w:line="336" w:lineRule="auto"/>
              <w:jc w:val="left"/>
              <w:rPr>
                <w:rFonts w:ascii="Times New Roman" w:hAnsi="Times New Roman" w:eastAsia="宋体" w:cs="Times New Roman"/>
                <w:sz w:val="24"/>
              </w:rPr>
            </w:pPr>
          </w:p>
          <w:p w14:paraId="58D0A203">
            <w:pPr>
              <w:spacing w:line="336" w:lineRule="auto"/>
              <w:jc w:val="left"/>
              <w:rPr>
                <w:rFonts w:ascii="Times New Roman" w:hAnsi="Times New Roman" w:eastAsia="宋体" w:cs="Times New Roman"/>
                <w:sz w:val="24"/>
              </w:rPr>
            </w:pPr>
          </w:p>
          <w:p w14:paraId="795E75F8">
            <w:pPr>
              <w:spacing w:line="336" w:lineRule="auto"/>
              <w:jc w:val="left"/>
              <w:rPr>
                <w:rFonts w:ascii="Times New Roman" w:hAnsi="Times New Roman" w:eastAsia="宋体" w:cs="Times New Roman"/>
                <w:sz w:val="24"/>
              </w:rPr>
            </w:pPr>
          </w:p>
          <w:p w14:paraId="057B9825">
            <w:pPr>
              <w:spacing w:line="336" w:lineRule="auto"/>
              <w:jc w:val="left"/>
              <w:rPr>
                <w:rFonts w:ascii="Times New Roman" w:hAnsi="Times New Roman" w:eastAsia="宋体" w:cs="Times New Roman"/>
                <w:sz w:val="24"/>
              </w:rPr>
            </w:pPr>
          </w:p>
          <w:p w14:paraId="3D9E394B">
            <w:pPr>
              <w:spacing w:line="336" w:lineRule="auto"/>
              <w:jc w:val="left"/>
              <w:rPr>
                <w:rFonts w:ascii="Times New Roman" w:hAnsi="Times New Roman" w:eastAsia="宋体" w:cs="Times New Roman"/>
                <w:sz w:val="24"/>
              </w:rPr>
            </w:pPr>
          </w:p>
          <w:p w14:paraId="6D5095BD">
            <w:pPr>
              <w:spacing w:line="336" w:lineRule="auto"/>
              <w:jc w:val="left"/>
              <w:rPr>
                <w:rFonts w:ascii="Times New Roman" w:hAnsi="Times New Roman" w:eastAsia="宋体" w:cs="Times New Roman"/>
                <w:sz w:val="24"/>
              </w:rPr>
            </w:pPr>
          </w:p>
          <w:p w14:paraId="62A3B7DB">
            <w:pPr>
              <w:spacing w:line="336" w:lineRule="auto"/>
              <w:jc w:val="left"/>
              <w:rPr>
                <w:rFonts w:ascii="Times New Roman" w:hAnsi="Times New Roman" w:eastAsia="宋体" w:cs="Times New Roman"/>
                <w:sz w:val="24"/>
              </w:rPr>
            </w:pPr>
          </w:p>
          <w:p w14:paraId="1E059A5C">
            <w:pPr>
              <w:spacing w:line="336" w:lineRule="auto"/>
              <w:jc w:val="left"/>
              <w:rPr>
                <w:rFonts w:ascii="Times New Roman" w:hAnsi="Times New Roman" w:eastAsia="宋体" w:cs="Times New Roman"/>
                <w:sz w:val="24"/>
              </w:rPr>
            </w:pPr>
          </w:p>
          <w:p w14:paraId="711196CB">
            <w:pPr>
              <w:spacing w:line="336" w:lineRule="auto"/>
              <w:jc w:val="left"/>
              <w:rPr>
                <w:rFonts w:ascii="Times New Roman" w:hAnsi="Times New Roman" w:eastAsia="宋体" w:cs="Times New Roman"/>
                <w:sz w:val="24"/>
              </w:rPr>
            </w:pPr>
          </w:p>
          <w:p w14:paraId="4E9324DD">
            <w:pPr>
              <w:spacing w:line="336" w:lineRule="auto"/>
              <w:jc w:val="left"/>
              <w:rPr>
                <w:rFonts w:ascii="Times New Roman" w:hAnsi="Times New Roman" w:eastAsia="宋体" w:cs="Times New Roman"/>
                <w:sz w:val="24"/>
              </w:rPr>
            </w:pPr>
          </w:p>
          <w:p w14:paraId="59EFF48B">
            <w:pPr>
              <w:spacing w:line="336" w:lineRule="auto"/>
              <w:jc w:val="left"/>
              <w:rPr>
                <w:rFonts w:ascii="Times New Roman" w:hAnsi="Times New Roman" w:eastAsia="宋体" w:cs="Times New Roman"/>
                <w:sz w:val="24"/>
              </w:rPr>
            </w:pPr>
          </w:p>
        </w:tc>
      </w:tr>
      <w:tr w14:paraId="27DAB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93" w:hRule="atLeast"/>
          <w:jc w:val="center"/>
        </w:trPr>
        <w:tc>
          <w:tcPr>
            <w:tcW w:w="268" w:type="pct"/>
            <w:vAlign w:val="center"/>
          </w:tcPr>
          <w:p w14:paraId="6DEA25FF">
            <w:pPr>
              <w:spacing w:line="360" w:lineRule="auto"/>
              <w:jc w:val="center"/>
              <w:rPr>
                <w:rFonts w:ascii="Times New Roman" w:hAnsi="Times New Roman" w:eastAsia="宋体" w:cs="宋体"/>
                <w:kern w:val="0"/>
                <w:szCs w:val="21"/>
              </w:rPr>
            </w:pPr>
            <w:r>
              <w:rPr>
                <w:rFonts w:hint="eastAsia" w:ascii="Times New Roman" w:hAnsi="Times New Roman" w:eastAsia="宋体" w:cs="宋体"/>
                <w:bCs/>
                <w:sz w:val="24"/>
                <w:szCs w:val="24"/>
              </w:rPr>
              <w:t>施工期环境保护措施</w:t>
            </w:r>
          </w:p>
        </w:tc>
        <w:tc>
          <w:tcPr>
            <w:tcW w:w="4732" w:type="pct"/>
          </w:tcPr>
          <w:p w14:paraId="2FCF5402">
            <w:pPr>
              <w:spacing w:line="360" w:lineRule="auto"/>
              <w:ind w:firstLine="482" w:firstLineChars="200"/>
              <w:rPr>
                <w:rFonts w:ascii="Times New Roman" w:hAnsi="Times New Roman" w:eastAsia="宋体" w:cs="宋体"/>
                <w:b/>
                <w:bCs/>
                <w:sz w:val="24"/>
                <w:szCs w:val="24"/>
              </w:rPr>
            </w:pPr>
            <w:r>
              <w:rPr>
                <w:rFonts w:hint="eastAsia" w:ascii="Times New Roman" w:hAnsi="Times New Roman" w:eastAsia="宋体" w:cs="宋体"/>
                <w:b/>
                <w:bCs/>
                <w:sz w:val="24"/>
                <w:szCs w:val="24"/>
              </w:rPr>
              <w:t>一、运营期水环境影响和保护措施</w:t>
            </w:r>
          </w:p>
          <w:p w14:paraId="6815FDE9">
            <w:pPr>
              <w:spacing w:line="360" w:lineRule="auto"/>
              <w:ind w:firstLine="442" w:firstLineChars="200"/>
              <w:rPr>
                <w:rFonts w:ascii="Times New Roman" w:hAnsi="Times New Roman" w:eastAsia="宋体" w:cs="Times New Roman"/>
                <w:b/>
                <w:bCs/>
                <w:spacing w:val="-10"/>
                <w:sz w:val="24"/>
                <w:szCs w:val="24"/>
              </w:rPr>
            </w:pPr>
            <w:r>
              <w:rPr>
                <w:rFonts w:hint="eastAsia" w:ascii="Times New Roman" w:hAnsi="Times New Roman" w:eastAsia="宋体" w:cs="Times New Roman"/>
                <w:b/>
                <w:bCs/>
                <w:spacing w:val="-10"/>
                <w:sz w:val="24"/>
                <w:szCs w:val="24"/>
              </w:rPr>
              <w:t>1、运营期水环境影响分析</w:t>
            </w:r>
          </w:p>
          <w:p w14:paraId="5AC5471D">
            <w:pPr>
              <w:spacing w:line="360" w:lineRule="auto"/>
              <w:ind w:firstLine="480" w:firstLineChars="200"/>
              <w:jc w:val="left"/>
              <w:rPr>
                <w:rFonts w:hint="eastAsia" w:ascii="Times New Roman" w:hAnsi="Times New Roman" w:eastAsia="宋体" w:cs="Times New Roman"/>
                <w:b/>
                <w:color w:val="0000CC"/>
                <w:sz w:val="24"/>
                <w:szCs w:val="24"/>
                <w:lang w:eastAsia="zh-CN"/>
              </w:rPr>
            </w:pPr>
            <w:r>
              <w:rPr>
                <w:rFonts w:hint="eastAsia" w:ascii="Times New Roman" w:hAnsi="Times New Roman" w:eastAsia="宋体" w:cs="Times New Roman"/>
                <w:sz w:val="24"/>
              </w:rPr>
              <w:t>根据工艺过程分析，本项目</w:t>
            </w:r>
            <w:r>
              <w:rPr>
                <w:rFonts w:hint="eastAsia" w:ascii="Times New Roman" w:hAnsi="Times New Roman" w:eastAsia="宋体" w:cs="Times New Roman"/>
                <w:sz w:val="24"/>
                <w:lang w:val="en-US" w:eastAsia="zh-CN"/>
              </w:rPr>
              <w:t>废</w:t>
            </w:r>
            <w:r>
              <w:rPr>
                <w:rFonts w:hint="eastAsia" w:ascii="Times New Roman" w:hAnsi="Times New Roman" w:eastAsia="宋体" w:cs="Times New Roman"/>
                <w:sz w:val="24"/>
              </w:rPr>
              <w:t>水主要为员工日常的</w:t>
            </w:r>
            <w:r>
              <w:rPr>
                <w:rFonts w:hint="eastAsia" w:ascii="Times New Roman" w:hAnsi="Times New Roman" w:eastAsia="宋体" w:cs="Times New Roman"/>
                <w:sz w:val="24"/>
                <w:lang w:val="en-US" w:eastAsia="zh-CN"/>
              </w:rPr>
              <w:t>生活污</w:t>
            </w:r>
            <w:r>
              <w:rPr>
                <w:rFonts w:hint="eastAsia" w:ascii="Times New Roman" w:hAnsi="Times New Roman" w:eastAsia="宋体" w:cs="Times New Roman"/>
                <w:sz w:val="24"/>
              </w:rPr>
              <w:t>水。</w:t>
            </w:r>
          </w:p>
          <w:p w14:paraId="32314C4A">
            <w:pPr>
              <w:spacing w:line="360" w:lineRule="auto"/>
              <w:ind w:firstLine="480" w:firstLineChars="200"/>
              <w:rPr>
                <w:rFonts w:ascii="Times New Roman" w:hAnsi="Times New Roman" w:eastAsia="宋体" w:cs="Times New Roman"/>
                <w:color w:val="auto"/>
                <w:sz w:val="24"/>
                <w:szCs w:val="28"/>
              </w:rPr>
            </w:pPr>
            <w:r>
              <w:rPr>
                <w:rFonts w:ascii="Times New Roman" w:hAnsi="Times New Roman" w:eastAsia="宋体" w:cs="Times New Roman"/>
                <w:color w:val="auto"/>
                <w:sz w:val="24"/>
                <w:szCs w:val="28"/>
              </w:rPr>
              <w:t>根据建设单位提供资料，本项目投入生产后劳动定员</w:t>
            </w:r>
            <w:r>
              <w:rPr>
                <w:rFonts w:hint="eastAsia" w:ascii="Times New Roman" w:hAnsi="Times New Roman" w:eastAsia="宋体" w:cs="Times New Roman"/>
                <w:color w:val="auto"/>
                <w:sz w:val="24"/>
                <w:szCs w:val="28"/>
              </w:rPr>
              <w:t>60人</w:t>
            </w:r>
            <w:r>
              <w:rPr>
                <w:rFonts w:ascii="Times New Roman" w:hAnsi="Times New Roman" w:eastAsia="宋体" w:cs="Times New Roman"/>
                <w:color w:val="auto"/>
                <w:sz w:val="24"/>
                <w:szCs w:val="28"/>
              </w:rPr>
              <w:t>。根据《安徽省行业用水定额》（</w:t>
            </w:r>
            <w:r>
              <w:rPr>
                <w:rFonts w:hint="eastAsia" w:ascii="Times New Roman" w:hAnsi="Times New Roman" w:eastAsia="宋体" w:cs="Times New Roman"/>
                <w:color w:val="auto"/>
                <w:sz w:val="24"/>
                <w:szCs w:val="28"/>
              </w:rPr>
              <w:t>G</w:t>
            </w:r>
            <w:r>
              <w:rPr>
                <w:rFonts w:ascii="Times New Roman" w:hAnsi="Times New Roman" w:eastAsia="宋体" w:cs="Times New Roman"/>
                <w:color w:val="auto"/>
                <w:sz w:val="24"/>
                <w:szCs w:val="28"/>
              </w:rPr>
              <w:t>B34/T679-</w:t>
            </w:r>
            <w:r>
              <w:rPr>
                <w:rFonts w:hint="eastAsia" w:ascii="Times New Roman" w:hAnsi="Times New Roman" w:eastAsia="宋体" w:cs="Times New Roman"/>
                <w:color w:val="auto"/>
                <w:sz w:val="24"/>
                <w:szCs w:val="28"/>
              </w:rPr>
              <w:t>2025</w:t>
            </w:r>
            <w:r>
              <w:rPr>
                <w:rFonts w:ascii="Times New Roman" w:hAnsi="Times New Roman" w:eastAsia="宋体" w:cs="Times New Roman"/>
                <w:color w:val="auto"/>
                <w:sz w:val="24"/>
                <w:szCs w:val="28"/>
              </w:rPr>
              <w:t>），</w:t>
            </w:r>
            <w:r>
              <w:rPr>
                <w:rFonts w:hint="eastAsia" w:ascii="Times New Roman" w:hAnsi="Times New Roman" w:eastAsia="宋体" w:cs="Times New Roman"/>
                <w:color w:val="auto"/>
                <w:sz w:val="24"/>
                <w:szCs w:val="28"/>
              </w:rPr>
              <w:t>办公人员生活</w:t>
            </w:r>
            <w:r>
              <w:rPr>
                <w:rFonts w:ascii="Times New Roman" w:hAnsi="Times New Roman" w:eastAsia="宋体" w:cs="Times New Roman"/>
                <w:color w:val="auto"/>
                <w:sz w:val="24"/>
                <w:szCs w:val="28"/>
              </w:rPr>
              <w:t>用水量以</w:t>
            </w:r>
            <w:r>
              <w:rPr>
                <w:rFonts w:hint="eastAsia" w:ascii="Times New Roman" w:hAnsi="Times New Roman" w:eastAsia="宋体" w:cs="Times New Roman"/>
                <w:color w:val="auto"/>
                <w:sz w:val="24"/>
                <w:szCs w:val="28"/>
                <w:lang w:val="en-US" w:eastAsia="zh-CN"/>
              </w:rPr>
              <w:t>15m</w:t>
            </w:r>
            <w:r>
              <w:rPr>
                <w:rFonts w:hint="eastAsia" w:ascii="Times New Roman" w:hAnsi="Times New Roman" w:eastAsia="宋体" w:cs="Times New Roman"/>
                <w:color w:val="auto"/>
                <w:sz w:val="24"/>
                <w:szCs w:val="28"/>
                <w:vertAlign w:val="superscript"/>
                <w:lang w:val="en-US" w:eastAsia="zh-CN"/>
              </w:rPr>
              <w:t>3</w:t>
            </w:r>
            <w:r>
              <w:rPr>
                <w:rFonts w:ascii="Times New Roman" w:hAnsi="Times New Roman" w:eastAsia="宋体" w:cs="Times New Roman"/>
                <w:color w:val="auto"/>
                <w:sz w:val="24"/>
                <w:szCs w:val="28"/>
              </w:rPr>
              <w:t>/（人·</w:t>
            </w:r>
            <w:r>
              <w:rPr>
                <w:rFonts w:hint="eastAsia" w:ascii="Times New Roman" w:hAnsi="Times New Roman" w:eastAsia="宋体" w:cs="Times New Roman"/>
                <w:color w:val="auto"/>
                <w:sz w:val="24"/>
                <w:szCs w:val="28"/>
                <w:lang w:val="en-US" w:eastAsia="zh-CN"/>
              </w:rPr>
              <w:t>a</w:t>
            </w:r>
            <w:r>
              <w:rPr>
                <w:rFonts w:ascii="Times New Roman" w:hAnsi="Times New Roman" w:eastAsia="宋体" w:cs="Times New Roman"/>
                <w:color w:val="auto"/>
                <w:sz w:val="24"/>
                <w:szCs w:val="28"/>
              </w:rPr>
              <w:t>）计，则</w:t>
            </w:r>
            <w:r>
              <w:rPr>
                <w:rFonts w:hint="eastAsia" w:ascii="Times New Roman" w:hAnsi="Times New Roman" w:eastAsia="宋体" w:cs="Times New Roman"/>
                <w:color w:val="auto"/>
                <w:sz w:val="24"/>
                <w:szCs w:val="28"/>
              </w:rPr>
              <w:t>项目日</w:t>
            </w:r>
            <w:r>
              <w:rPr>
                <w:rFonts w:ascii="Times New Roman" w:hAnsi="Times New Roman" w:eastAsia="宋体" w:cs="Times New Roman"/>
                <w:color w:val="auto"/>
                <w:sz w:val="24"/>
                <w:szCs w:val="28"/>
              </w:rPr>
              <w:t>用水量为</w:t>
            </w:r>
            <w:r>
              <w:rPr>
                <w:rFonts w:hint="eastAsia" w:ascii="Times New Roman" w:hAnsi="Times New Roman" w:eastAsia="宋体" w:cs="Times New Roman"/>
                <w:color w:val="auto"/>
                <w:sz w:val="24"/>
                <w:szCs w:val="28"/>
              </w:rPr>
              <w:t>3</w:t>
            </w:r>
            <w:r>
              <w:rPr>
                <w:rFonts w:ascii="Times New Roman" w:hAnsi="Times New Roman" w:eastAsia="宋体" w:cs="Times New Roman"/>
                <w:color w:val="auto"/>
                <w:sz w:val="24"/>
                <w:szCs w:val="28"/>
              </w:rPr>
              <w:t>.0m</w:t>
            </w:r>
            <w:r>
              <w:rPr>
                <w:rFonts w:ascii="Times New Roman" w:hAnsi="Times New Roman" w:eastAsia="宋体" w:cs="Times New Roman"/>
                <w:color w:val="auto"/>
                <w:sz w:val="24"/>
                <w:szCs w:val="28"/>
                <w:vertAlign w:val="superscript"/>
              </w:rPr>
              <w:t>3</w:t>
            </w:r>
            <w:r>
              <w:rPr>
                <w:rFonts w:ascii="Times New Roman" w:hAnsi="Times New Roman" w:eastAsia="宋体" w:cs="Times New Roman"/>
                <w:color w:val="auto"/>
                <w:sz w:val="24"/>
                <w:szCs w:val="28"/>
              </w:rPr>
              <w:t>/d，合计年用水量为</w:t>
            </w:r>
            <w:r>
              <w:rPr>
                <w:rFonts w:hint="eastAsia" w:ascii="Times New Roman" w:hAnsi="Times New Roman" w:eastAsia="宋体" w:cs="Times New Roman"/>
                <w:color w:val="auto"/>
                <w:sz w:val="24"/>
                <w:szCs w:val="28"/>
              </w:rPr>
              <w:t>9</w:t>
            </w:r>
            <w:r>
              <w:rPr>
                <w:rFonts w:ascii="Times New Roman" w:hAnsi="Times New Roman" w:eastAsia="宋体" w:cs="Times New Roman"/>
                <w:color w:val="auto"/>
                <w:sz w:val="24"/>
                <w:szCs w:val="28"/>
              </w:rPr>
              <w:t>0</w:t>
            </w:r>
            <w:r>
              <w:rPr>
                <w:rFonts w:hint="eastAsia" w:ascii="Times New Roman" w:hAnsi="Times New Roman" w:eastAsia="宋体" w:cs="Times New Roman"/>
                <w:color w:val="auto"/>
                <w:sz w:val="24"/>
                <w:szCs w:val="28"/>
              </w:rPr>
              <w:t>0</w:t>
            </w:r>
            <w:r>
              <w:rPr>
                <w:rFonts w:ascii="Times New Roman" w:hAnsi="Times New Roman" w:eastAsia="宋体" w:cs="Times New Roman"/>
                <w:color w:val="auto"/>
                <w:sz w:val="24"/>
                <w:szCs w:val="28"/>
              </w:rPr>
              <w:t>m</w:t>
            </w:r>
            <w:r>
              <w:rPr>
                <w:rFonts w:ascii="Times New Roman" w:hAnsi="Times New Roman" w:eastAsia="宋体" w:cs="Times New Roman"/>
                <w:color w:val="auto"/>
                <w:sz w:val="24"/>
                <w:szCs w:val="28"/>
                <w:vertAlign w:val="superscript"/>
              </w:rPr>
              <w:t>3</w:t>
            </w:r>
            <w:r>
              <w:rPr>
                <w:rFonts w:ascii="Times New Roman" w:hAnsi="Times New Roman" w:eastAsia="宋体" w:cs="Times New Roman"/>
                <w:color w:val="auto"/>
                <w:sz w:val="24"/>
                <w:szCs w:val="28"/>
              </w:rPr>
              <w:t>/a。根据《</w:t>
            </w:r>
            <w:r>
              <w:rPr>
                <w:rFonts w:hint="eastAsia" w:ascii="Times New Roman" w:hAnsi="Times New Roman" w:eastAsia="宋体" w:cs="Times New Roman"/>
                <w:color w:val="auto"/>
                <w:sz w:val="24"/>
                <w:szCs w:val="28"/>
              </w:rPr>
              <w:t>排放源</w:t>
            </w:r>
            <w:r>
              <w:rPr>
                <w:rFonts w:ascii="Times New Roman" w:hAnsi="Times New Roman" w:eastAsia="宋体" w:cs="Times New Roman"/>
                <w:color w:val="auto"/>
                <w:sz w:val="24"/>
                <w:szCs w:val="28"/>
              </w:rPr>
              <w:t>统计调查产排污核算方法和系数手册》（公告</w:t>
            </w:r>
            <w:r>
              <w:rPr>
                <w:rFonts w:hint="eastAsia" w:ascii="Times New Roman" w:hAnsi="Times New Roman" w:eastAsia="宋体" w:cs="Times New Roman"/>
                <w:color w:val="auto"/>
                <w:sz w:val="24"/>
                <w:szCs w:val="28"/>
              </w:rPr>
              <w:t>2021年第24号</w:t>
            </w:r>
            <w:r>
              <w:rPr>
                <w:rFonts w:ascii="Times New Roman" w:hAnsi="Times New Roman" w:eastAsia="宋体" w:cs="Times New Roman"/>
                <w:color w:val="auto"/>
                <w:sz w:val="24"/>
                <w:szCs w:val="28"/>
              </w:rPr>
              <w:t>）中生活源产排污核算方法和系数手册，生活污水的产生量取用水量的8</w:t>
            </w:r>
            <w:r>
              <w:rPr>
                <w:rFonts w:hint="eastAsia" w:ascii="Times New Roman" w:hAnsi="Times New Roman" w:eastAsia="宋体" w:cs="Times New Roman"/>
                <w:color w:val="auto"/>
                <w:sz w:val="24"/>
                <w:szCs w:val="28"/>
              </w:rPr>
              <w:t>5</w:t>
            </w:r>
            <w:r>
              <w:rPr>
                <w:rFonts w:ascii="Times New Roman" w:hAnsi="Times New Roman" w:eastAsia="宋体" w:cs="Times New Roman"/>
                <w:color w:val="auto"/>
                <w:sz w:val="24"/>
                <w:szCs w:val="28"/>
              </w:rPr>
              <w:t>%，则生活污水产生量约为</w:t>
            </w:r>
            <w:r>
              <w:rPr>
                <w:rFonts w:hint="eastAsia" w:ascii="Times New Roman" w:hAnsi="Times New Roman" w:eastAsia="宋体" w:cs="Times New Roman"/>
                <w:color w:val="auto"/>
                <w:sz w:val="24"/>
                <w:szCs w:val="28"/>
              </w:rPr>
              <w:t>2.55</w:t>
            </w:r>
            <w:r>
              <w:rPr>
                <w:rFonts w:ascii="Times New Roman" w:hAnsi="Times New Roman" w:eastAsia="宋体" w:cs="Times New Roman"/>
                <w:color w:val="auto"/>
                <w:sz w:val="24"/>
                <w:szCs w:val="28"/>
              </w:rPr>
              <w:t>m</w:t>
            </w:r>
            <w:r>
              <w:rPr>
                <w:rFonts w:ascii="Times New Roman" w:hAnsi="Times New Roman" w:eastAsia="宋体" w:cs="Times New Roman"/>
                <w:color w:val="auto"/>
                <w:sz w:val="24"/>
                <w:szCs w:val="28"/>
                <w:vertAlign w:val="superscript"/>
              </w:rPr>
              <w:t>3</w:t>
            </w:r>
            <w:r>
              <w:rPr>
                <w:rFonts w:ascii="Times New Roman" w:hAnsi="Times New Roman" w:eastAsia="宋体" w:cs="Times New Roman"/>
                <w:color w:val="auto"/>
                <w:sz w:val="24"/>
                <w:szCs w:val="28"/>
              </w:rPr>
              <w:t>/d（</w:t>
            </w:r>
            <w:r>
              <w:rPr>
                <w:rFonts w:hint="eastAsia" w:ascii="Times New Roman" w:hAnsi="Times New Roman" w:eastAsia="宋体" w:cs="Times New Roman"/>
                <w:color w:val="auto"/>
                <w:sz w:val="24"/>
                <w:szCs w:val="28"/>
              </w:rPr>
              <w:t>765</w:t>
            </w:r>
            <w:r>
              <w:rPr>
                <w:rFonts w:ascii="Times New Roman" w:hAnsi="Times New Roman" w:eastAsia="宋体" w:cs="Times New Roman"/>
                <w:color w:val="auto"/>
                <w:sz w:val="24"/>
                <w:szCs w:val="28"/>
              </w:rPr>
              <w:t>m</w:t>
            </w:r>
            <w:r>
              <w:rPr>
                <w:rFonts w:ascii="Times New Roman" w:hAnsi="Times New Roman" w:eastAsia="宋体" w:cs="Times New Roman"/>
                <w:color w:val="auto"/>
                <w:sz w:val="24"/>
                <w:szCs w:val="28"/>
                <w:vertAlign w:val="superscript"/>
              </w:rPr>
              <w:t>3</w:t>
            </w:r>
            <w:r>
              <w:rPr>
                <w:rFonts w:ascii="Times New Roman" w:hAnsi="Times New Roman" w:eastAsia="宋体" w:cs="Times New Roman"/>
                <w:color w:val="auto"/>
                <w:sz w:val="24"/>
                <w:szCs w:val="28"/>
              </w:rPr>
              <w:t>/a）。</w:t>
            </w:r>
          </w:p>
          <w:p w14:paraId="688C87DA">
            <w:pPr>
              <w:pStyle w:val="48"/>
              <w:spacing w:line="360" w:lineRule="auto"/>
              <w:ind w:firstLine="480" w:firstLineChars="200"/>
              <w:jc w:val="both"/>
              <w:rPr>
                <w:rFonts w:ascii="Times New Roman" w:hAnsi="宋体" w:cs="Times New Roman"/>
                <w:color w:val="auto"/>
                <w:kern w:val="2"/>
              </w:rPr>
            </w:pPr>
          </w:p>
          <w:p w14:paraId="51839909">
            <w:pPr>
              <w:pStyle w:val="48"/>
              <w:spacing w:line="360" w:lineRule="auto"/>
              <w:ind w:firstLine="420" w:firstLineChars="200"/>
              <w:jc w:val="both"/>
              <w:rPr>
                <w:rStyle w:val="22"/>
                <w:rFonts w:asciiTheme="minorHAnsi" w:hAnsiTheme="minorHAnsi" w:eastAsiaTheme="minorEastAsia" w:cstheme="minorBidi"/>
                <w:color w:val="auto"/>
                <w:kern w:val="2"/>
              </w:rPr>
            </w:pPr>
          </w:p>
          <w:p w14:paraId="2B4B84B7">
            <w:pPr>
              <w:pStyle w:val="48"/>
              <w:spacing w:line="360" w:lineRule="auto"/>
              <w:ind w:firstLine="420" w:firstLineChars="200"/>
              <w:jc w:val="both"/>
              <w:rPr>
                <w:rStyle w:val="22"/>
                <w:rFonts w:asciiTheme="minorHAnsi" w:hAnsiTheme="minorHAnsi" w:eastAsiaTheme="minorEastAsia" w:cstheme="minorBidi"/>
                <w:color w:val="auto"/>
                <w:kern w:val="2"/>
              </w:rPr>
            </w:pPr>
          </w:p>
          <w:p w14:paraId="7601CFFD">
            <w:pPr>
              <w:pStyle w:val="48"/>
              <w:spacing w:line="360" w:lineRule="auto"/>
              <w:ind w:firstLine="420" w:firstLineChars="200"/>
              <w:jc w:val="both"/>
              <w:rPr>
                <w:rStyle w:val="22"/>
                <w:rFonts w:asciiTheme="minorHAnsi" w:hAnsiTheme="minorHAnsi" w:eastAsiaTheme="minorEastAsia" w:cstheme="minorBidi"/>
                <w:color w:val="auto"/>
                <w:kern w:val="2"/>
              </w:rPr>
            </w:pPr>
          </w:p>
          <w:p w14:paraId="592F08F2">
            <w:pPr>
              <w:pStyle w:val="48"/>
              <w:spacing w:line="360" w:lineRule="auto"/>
              <w:ind w:firstLine="420" w:firstLineChars="200"/>
              <w:jc w:val="both"/>
              <w:rPr>
                <w:rStyle w:val="22"/>
                <w:rFonts w:asciiTheme="minorHAnsi" w:hAnsiTheme="minorHAnsi" w:eastAsiaTheme="minorEastAsia" w:cstheme="minorBidi"/>
                <w:color w:val="auto"/>
                <w:kern w:val="2"/>
              </w:rPr>
            </w:pPr>
          </w:p>
          <w:p w14:paraId="135858AE">
            <w:pPr>
              <w:pStyle w:val="48"/>
              <w:spacing w:line="360" w:lineRule="auto"/>
              <w:ind w:firstLine="420" w:firstLineChars="200"/>
              <w:jc w:val="both"/>
              <w:rPr>
                <w:rStyle w:val="22"/>
                <w:rFonts w:asciiTheme="minorHAnsi" w:hAnsiTheme="minorHAnsi" w:eastAsiaTheme="minorEastAsia" w:cstheme="minorBidi"/>
                <w:color w:val="auto"/>
                <w:kern w:val="2"/>
              </w:rPr>
            </w:pPr>
          </w:p>
          <w:p w14:paraId="66802FEC">
            <w:pPr>
              <w:pStyle w:val="48"/>
              <w:spacing w:line="360" w:lineRule="auto"/>
              <w:ind w:firstLine="420" w:firstLineChars="200"/>
              <w:jc w:val="both"/>
              <w:rPr>
                <w:rStyle w:val="22"/>
                <w:rFonts w:asciiTheme="minorHAnsi" w:hAnsiTheme="minorHAnsi" w:eastAsiaTheme="minorEastAsia" w:cstheme="minorBidi"/>
                <w:color w:val="auto"/>
                <w:kern w:val="2"/>
              </w:rPr>
            </w:pPr>
          </w:p>
          <w:p w14:paraId="17119ADB">
            <w:pPr>
              <w:pStyle w:val="48"/>
              <w:spacing w:line="360" w:lineRule="auto"/>
              <w:ind w:firstLine="420" w:firstLineChars="200"/>
              <w:jc w:val="both"/>
              <w:rPr>
                <w:rStyle w:val="22"/>
                <w:rFonts w:asciiTheme="minorHAnsi" w:hAnsiTheme="minorHAnsi" w:eastAsiaTheme="minorEastAsia" w:cstheme="minorBidi"/>
                <w:color w:val="auto"/>
                <w:kern w:val="2"/>
              </w:rPr>
            </w:pPr>
          </w:p>
          <w:p w14:paraId="1EEC5464">
            <w:pPr>
              <w:pStyle w:val="48"/>
              <w:spacing w:line="360" w:lineRule="auto"/>
              <w:ind w:firstLine="420" w:firstLineChars="200"/>
              <w:jc w:val="both"/>
              <w:rPr>
                <w:rStyle w:val="22"/>
                <w:rFonts w:asciiTheme="minorHAnsi" w:hAnsiTheme="minorHAnsi" w:eastAsiaTheme="minorEastAsia" w:cstheme="minorBidi"/>
                <w:color w:val="auto"/>
                <w:kern w:val="2"/>
              </w:rPr>
            </w:pPr>
          </w:p>
          <w:p w14:paraId="537DD641">
            <w:pPr>
              <w:pStyle w:val="48"/>
              <w:spacing w:line="360" w:lineRule="auto"/>
              <w:ind w:firstLine="420" w:firstLineChars="200"/>
              <w:jc w:val="both"/>
              <w:rPr>
                <w:rStyle w:val="22"/>
                <w:rFonts w:asciiTheme="minorHAnsi" w:hAnsiTheme="minorHAnsi" w:eastAsiaTheme="minorEastAsia" w:cstheme="minorBidi"/>
                <w:color w:val="auto"/>
                <w:kern w:val="2"/>
              </w:rPr>
            </w:pPr>
          </w:p>
          <w:p w14:paraId="0152FC44">
            <w:pPr>
              <w:pStyle w:val="48"/>
              <w:spacing w:line="360" w:lineRule="auto"/>
              <w:ind w:firstLine="420" w:firstLineChars="200"/>
              <w:jc w:val="both"/>
              <w:rPr>
                <w:rStyle w:val="22"/>
                <w:rFonts w:asciiTheme="minorHAnsi" w:hAnsiTheme="minorHAnsi" w:eastAsiaTheme="minorEastAsia" w:cstheme="minorBidi"/>
                <w:color w:val="auto"/>
                <w:kern w:val="2"/>
              </w:rPr>
            </w:pPr>
          </w:p>
          <w:p w14:paraId="3B22A32C">
            <w:pPr>
              <w:pStyle w:val="48"/>
              <w:spacing w:line="360" w:lineRule="auto"/>
              <w:ind w:firstLine="420" w:firstLineChars="200"/>
              <w:jc w:val="both"/>
              <w:rPr>
                <w:rStyle w:val="22"/>
                <w:rFonts w:asciiTheme="minorHAnsi" w:hAnsiTheme="minorHAnsi" w:eastAsiaTheme="minorEastAsia" w:cstheme="minorBidi"/>
                <w:color w:val="auto"/>
                <w:kern w:val="2"/>
              </w:rPr>
            </w:pPr>
          </w:p>
          <w:p w14:paraId="15A40EA1">
            <w:pPr>
              <w:pStyle w:val="48"/>
              <w:spacing w:line="360" w:lineRule="auto"/>
              <w:ind w:firstLine="420" w:firstLineChars="200"/>
              <w:jc w:val="both"/>
              <w:rPr>
                <w:rStyle w:val="22"/>
                <w:rFonts w:asciiTheme="minorHAnsi" w:hAnsiTheme="minorHAnsi" w:eastAsiaTheme="minorEastAsia" w:cstheme="minorBidi"/>
                <w:color w:val="auto"/>
                <w:kern w:val="2"/>
              </w:rPr>
            </w:pPr>
          </w:p>
          <w:p w14:paraId="06E45EEA">
            <w:pPr>
              <w:pStyle w:val="48"/>
              <w:spacing w:line="360" w:lineRule="auto"/>
              <w:ind w:firstLine="420" w:firstLineChars="200"/>
              <w:jc w:val="both"/>
              <w:rPr>
                <w:rStyle w:val="22"/>
                <w:rFonts w:asciiTheme="minorHAnsi" w:hAnsiTheme="minorHAnsi" w:eastAsiaTheme="minorEastAsia" w:cstheme="minorBidi"/>
                <w:color w:val="auto"/>
                <w:kern w:val="2"/>
              </w:rPr>
            </w:pPr>
          </w:p>
          <w:p w14:paraId="210757F1">
            <w:pPr>
              <w:pStyle w:val="48"/>
              <w:spacing w:line="360" w:lineRule="auto"/>
              <w:ind w:firstLine="420" w:firstLineChars="200"/>
              <w:jc w:val="both"/>
              <w:rPr>
                <w:rStyle w:val="22"/>
                <w:rFonts w:asciiTheme="minorHAnsi" w:hAnsiTheme="minorHAnsi" w:eastAsiaTheme="minorEastAsia" w:cstheme="minorBidi"/>
                <w:color w:val="auto"/>
                <w:kern w:val="2"/>
              </w:rPr>
            </w:pPr>
          </w:p>
          <w:p w14:paraId="14EDDF78">
            <w:pPr>
              <w:pStyle w:val="48"/>
              <w:spacing w:line="360" w:lineRule="auto"/>
              <w:ind w:firstLine="420" w:firstLineChars="200"/>
              <w:jc w:val="both"/>
              <w:rPr>
                <w:rStyle w:val="22"/>
                <w:rFonts w:asciiTheme="minorHAnsi" w:hAnsiTheme="minorHAnsi" w:eastAsiaTheme="minorEastAsia" w:cstheme="minorBidi"/>
                <w:color w:val="auto"/>
                <w:kern w:val="2"/>
              </w:rPr>
            </w:pPr>
          </w:p>
          <w:p w14:paraId="3A1811C6">
            <w:pPr>
              <w:pStyle w:val="48"/>
              <w:spacing w:line="360" w:lineRule="auto"/>
              <w:ind w:firstLine="420" w:firstLineChars="200"/>
              <w:jc w:val="both"/>
              <w:rPr>
                <w:rStyle w:val="22"/>
                <w:rFonts w:asciiTheme="minorHAnsi" w:hAnsiTheme="minorHAnsi" w:eastAsiaTheme="minorEastAsia" w:cstheme="minorBidi"/>
                <w:color w:val="auto"/>
                <w:kern w:val="2"/>
              </w:rPr>
            </w:pPr>
          </w:p>
          <w:p w14:paraId="414131B6">
            <w:pPr>
              <w:pStyle w:val="48"/>
              <w:spacing w:line="360" w:lineRule="auto"/>
              <w:ind w:firstLine="420" w:firstLineChars="200"/>
              <w:jc w:val="both"/>
              <w:rPr>
                <w:rStyle w:val="22"/>
                <w:rFonts w:asciiTheme="minorHAnsi" w:hAnsiTheme="minorHAnsi" w:eastAsiaTheme="minorEastAsia" w:cstheme="minorBidi"/>
                <w:color w:val="auto"/>
                <w:kern w:val="2"/>
              </w:rPr>
            </w:pPr>
          </w:p>
          <w:p w14:paraId="1F9FC86A">
            <w:pPr>
              <w:pStyle w:val="48"/>
              <w:spacing w:line="360" w:lineRule="auto"/>
              <w:ind w:firstLine="420" w:firstLineChars="200"/>
              <w:jc w:val="both"/>
              <w:rPr>
                <w:rStyle w:val="22"/>
                <w:rFonts w:asciiTheme="minorHAnsi" w:hAnsiTheme="minorHAnsi" w:eastAsiaTheme="minorEastAsia" w:cstheme="minorBidi"/>
                <w:color w:val="auto"/>
                <w:kern w:val="2"/>
              </w:rPr>
            </w:pPr>
          </w:p>
          <w:p w14:paraId="026DD522">
            <w:pPr>
              <w:pStyle w:val="48"/>
              <w:spacing w:line="360" w:lineRule="auto"/>
              <w:jc w:val="both"/>
              <w:rPr>
                <w:rStyle w:val="22"/>
                <w:rFonts w:asciiTheme="minorHAnsi" w:hAnsiTheme="minorHAnsi" w:eastAsiaTheme="minorEastAsia" w:cstheme="minorBidi"/>
                <w:color w:val="auto"/>
                <w:kern w:val="2"/>
              </w:rPr>
            </w:pPr>
          </w:p>
        </w:tc>
      </w:tr>
    </w:tbl>
    <w:p w14:paraId="24EFF0AC">
      <w:pPr>
        <w:widowControl/>
        <w:spacing w:before="100" w:beforeAutospacing="1" w:after="100" w:afterAutospacing="1"/>
        <w:jc w:val="center"/>
        <w:outlineLvl w:val="0"/>
        <w:rPr>
          <w:rFonts w:ascii="Times New Roman" w:hAnsi="Times New Roman" w:eastAsia="黑体" w:cs="Times New Roman"/>
          <w:snapToGrid w:val="0"/>
          <w:kern w:val="0"/>
          <w:sz w:val="30"/>
          <w:szCs w:val="30"/>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7"/>
        <w:tblW w:w="5047" w:type="pct"/>
        <w:jc w:val="center"/>
        <w:tblBorders>
          <w:top w:val="single" w:color="auto" w:sz="4" w:space="0"/>
          <w:left w:val="single" w:color="auto" w:sz="8" w:space="0"/>
          <w:bottom w:val="single" w:color="auto" w:sz="4"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13463"/>
      </w:tblGrid>
      <w:tr w14:paraId="48F7083E">
        <w:tblPrEx>
          <w:tblBorders>
            <w:top w:val="single" w:color="auto" w:sz="4"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730" w:hRule="atLeast"/>
          <w:jc w:val="center"/>
        </w:trPr>
        <w:tc>
          <w:tcPr>
            <w:tcW w:w="268" w:type="pct"/>
            <w:tcMar>
              <w:left w:w="28" w:type="dxa"/>
              <w:right w:w="28" w:type="dxa"/>
            </w:tcMar>
            <w:vAlign w:val="center"/>
          </w:tcPr>
          <w:p w14:paraId="20865F55">
            <w:pPr>
              <w:spacing w:line="360" w:lineRule="auto"/>
              <w:jc w:val="center"/>
              <w:rPr>
                <w:rFonts w:ascii="Times New Roman" w:hAnsi="Times New Roman" w:eastAsia="宋体" w:cs="宋体"/>
                <w:kern w:val="0"/>
                <w:szCs w:val="21"/>
              </w:rPr>
            </w:pPr>
            <w:r>
              <w:rPr>
                <w:rFonts w:hint="eastAsia" w:ascii="Times New Roman" w:hAnsi="Times New Roman" w:eastAsia="宋体" w:cs="宋体"/>
                <w:bCs/>
                <w:sz w:val="24"/>
                <w:szCs w:val="24"/>
              </w:rPr>
              <w:t>运营期环境保护措施</w:t>
            </w:r>
          </w:p>
        </w:tc>
        <w:tc>
          <w:tcPr>
            <w:tcW w:w="4732" w:type="pct"/>
          </w:tcPr>
          <w:p w14:paraId="4D6CD5A1">
            <w:pPr>
              <w:spacing w:line="360" w:lineRule="auto"/>
              <w:ind w:firstLine="470" w:firstLineChars="196"/>
              <w:rPr>
                <w:rFonts w:ascii="Times New Roman" w:hAnsi="Times New Roman"/>
                <w:sz w:val="24"/>
              </w:rPr>
            </w:pPr>
            <w:r>
              <w:rPr>
                <w:rFonts w:hint="eastAsia" w:ascii="Times New Roman" w:hAnsi="Times New Roman"/>
                <w:sz w:val="24"/>
              </w:rPr>
              <w:t>本项目废水产生情况见下表：</w:t>
            </w:r>
          </w:p>
          <w:p w14:paraId="64DAC38E">
            <w:pPr>
              <w:widowControl/>
              <w:adjustRightInd w:val="0"/>
              <w:spacing w:line="360" w:lineRule="auto"/>
              <w:jc w:val="center"/>
              <w:rPr>
                <w:rFonts w:hint="default" w:ascii="Times New Roman" w:hAnsi="Times New Roman" w:eastAsia="黑体" w:cs="Times New Roman"/>
                <w:kern w:val="0"/>
                <w:sz w:val="24"/>
                <w:szCs w:val="24"/>
                <w:lang w:val="en-US" w:eastAsia="zh-CN"/>
              </w:rPr>
            </w:pPr>
            <w:r>
              <w:rPr>
                <w:rFonts w:ascii="Times New Roman" w:hAnsi="Times New Roman" w:eastAsia="黑体" w:cs="Times New Roman"/>
                <w:kern w:val="0"/>
                <w:sz w:val="24"/>
                <w:szCs w:val="24"/>
              </w:rPr>
              <w:t>表</w:t>
            </w:r>
            <w:r>
              <w:rPr>
                <w:rFonts w:hint="eastAsia" w:ascii="Times New Roman" w:hAnsi="Times New Roman" w:eastAsia="黑体" w:cs="Times New Roman"/>
                <w:kern w:val="0"/>
                <w:sz w:val="24"/>
                <w:szCs w:val="24"/>
              </w:rPr>
              <w:t xml:space="preserve">4-1  </w:t>
            </w:r>
            <w:r>
              <w:rPr>
                <w:rFonts w:ascii="Times New Roman" w:hAnsi="Times New Roman" w:eastAsia="黑体" w:cs="Times New Roman"/>
                <w:kern w:val="0"/>
                <w:sz w:val="24"/>
                <w:szCs w:val="24"/>
              </w:rPr>
              <w:t>项目废水处理及排放情况一览表</w:t>
            </w:r>
            <w:r>
              <w:rPr>
                <w:rFonts w:hint="eastAsia" w:ascii="Times New Roman" w:hAnsi="Times New Roman" w:eastAsia="黑体" w:cs="Times New Roman"/>
                <w:kern w:val="0"/>
                <w:sz w:val="24"/>
                <w:szCs w:val="24"/>
                <w:lang w:val="en-US" w:eastAsia="zh-CN"/>
              </w:rPr>
              <w:t xml:space="preserve">  pH无量纲</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61"/>
              <w:gridCol w:w="1012"/>
              <w:gridCol w:w="1487"/>
              <w:gridCol w:w="871"/>
              <w:gridCol w:w="705"/>
              <w:gridCol w:w="1075"/>
              <w:gridCol w:w="705"/>
              <w:gridCol w:w="1487"/>
              <w:gridCol w:w="1144"/>
              <w:gridCol w:w="705"/>
              <w:gridCol w:w="1995"/>
            </w:tblGrid>
            <w:tr w14:paraId="4B7C967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454D8EA8">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废水量</w:t>
                  </w:r>
                </w:p>
              </w:tc>
              <w:tc>
                <w:tcPr>
                  <w:tcW w:w="0" w:type="auto"/>
                  <w:vMerge w:val="restart"/>
                  <w:vAlign w:val="center"/>
                </w:tcPr>
                <w:p w14:paraId="6BF86A1D">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污染物名称</w:t>
                  </w:r>
                </w:p>
              </w:tc>
              <w:tc>
                <w:tcPr>
                  <w:tcW w:w="0" w:type="auto"/>
                  <w:gridSpan w:val="2"/>
                  <w:vAlign w:val="center"/>
                </w:tcPr>
                <w:p w14:paraId="35C07D92">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污染物产生情况</w:t>
                  </w:r>
                </w:p>
              </w:tc>
              <w:tc>
                <w:tcPr>
                  <w:tcW w:w="0" w:type="auto"/>
                  <w:gridSpan w:val="3"/>
                  <w:vAlign w:val="center"/>
                </w:tcPr>
                <w:p w14:paraId="4A5ABA63">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治理措施</w:t>
                  </w:r>
                </w:p>
              </w:tc>
              <w:tc>
                <w:tcPr>
                  <w:tcW w:w="0" w:type="auto"/>
                  <w:gridSpan w:val="2"/>
                  <w:vAlign w:val="center"/>
                </w:tcPr>
                <w:p w14:paraId="1C49AD32">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污染物排放情况</w:t>
                  </w:r>
                  <w:r>
                    <w:rPr>
                      <w:rFonts w:hint="eastAsia" w:ascii="Times New Roman" w:hAnsi="Times New Roman" w:eastAsia="宋体" w:cs="Times New Roman"/>
                      <w:b/>
                      <w:color w:val="auto"/>
                      <w:szCs w:val="21"/>
                    </w:rPr>
                    <w:t>（纳管量）</w:t>
                  </w:r>
                </w:p>
              </w:tc>
              <w:tc>
                <w:tcPr>
                  <w:tcW w:w="0" w:type="auto"/>
                  <w:vMerge w:val="restart"/>
                  <w:vAlign w:val="center"/>
                </w:tcPr>
                <w:p w14:paraId="4F994AB9">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排放方式</w:t>
                  </w:r>
                </w:p>
              </w:tc>
              <w:tc>
                <w:tcPr>
                  <w:tcW w:w="0" w:type="auto"/>
                  <w:vMerge w:val="restart"/>
                  <w:vAlign w:val="center"/>
                </w:tcPr>
                <w:p w14:paraId="5E8B6F59">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排放去向</w:t>
                  </w:r>
                </w:p>
              </w:tc>
            </w:tr>
            <w:tr w14:paraId="7CBEF96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32E957F">
                  <w:pPr>
                    <w:jc w:val="center"/>
                    <w:rPr>
                      <w:rFonts w:ascii="Times New Roman" w:hAnsi="Times New Roman" w:eastAsia="宋体" w:cs="Times New Roman"/>
                      <w:b/>
                      <w:color w:val="auto"/>
                      <w:szCs w:val="21"/>
                    </w:rPr>
                  </w:pPr>
                </w:p>
              </w:tc>
              <w:tc>
                <w:tcPr>
                  <w:tcW w:w="0" w:type="auto"/>
                  <w:vMerge w:val="continue"/>
                  <w:vAlign w:val="center"/>
                </w:tcPr>
                <w:p w14:paraId="1646F95E">
                  <w:pPr>
                    <w:jc w:val="center"/>
                    <w:rPr>
                      <w:rFonts w:ascii="Times New Roman" w:hAnsi="Times New Roman" w:eastAsia="宋体" w:cs="Times New Roman"/>
                      <w:b/>
                      <w:color w:val="auto"/>
                      <w:szCs w:val="21"/>
                    </w:rPr>
                  </w:pPr>
                </w:p>
              </w:tc>
              <w:tc>
                <w:tcPr>
                  <w:tcW w:w="0" w:type="auto"/>
                  <w:vAlign w:val="center"/>
                </w:tcPr>
                <w:p w14:paraId="751D5D3B">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产生浓度（mg/L）</w:t>
                  </w:r>
                </w:p>
              </w:tc>
              <w:tc>
                <w:tcPr>
                  <w:tcW w:w="0" w:type="auto"/>
                  <w:vAlign w:val="center"/>
                </w:tcPr>
                <w:p w14:paraId="1F021B28">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产生量</w:t>
                  </w:r>
                </w:p>
                <w:p w14:paraId="61BCA585">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（t/a）</w:t>
                  </w:r>
                </w:p>
              </w:tc>
              <w:tc>
                <w:tcPr>
                  <w:tcW w:w="0" w:type="auto"/>
                  <w:vAlign w:val="center"/>
                </w:tcPr>
                <w:p w14:paraId="5CF9F0CC">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治理措施</w:t>
                  </w:r>
                </w:p>
              </w:tc>
              <w:tc>
                <w:tcPr>
                  <w:tcW w:w="0" w:type="auto"/>
                  <w:vAlign w:val="center"/>
                </w:tcPr>
                <w:p w14:paraId="3A811243">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是否为可行性技术</w:t>
                  </w:r>
                </w:p>
              </w:tc>
              <w:tc>
                <w:tcPr>
                  <w:tcW w:w="0" w:type="auto"/>
                  <w:vAlign w:val="center"/>
                </w:tcPr>
                <w:p w14:paraId="365A294D">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处理效率</w:t>
                  </w:r>
                </w:p>
              </w:tc>
              <w:tc>
                <w:tcPr>
                  <w:tcW w:w="0" w:type="auto"/>
                  <w:vAlign w:val="center"/>
                </w:tcPr>
                <w:p w14:paraId="2C7ACB3E">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排放浓度（mg/L）</w:t>
                  </w:r>
                </w:p>
              </w:tc>
              <w:tc>
                <w:tcPr>
                  <w:tcW w:w="0" w:type="auto"/>
                  <w:vAlign w:val="center"/>
                </w:tcPr>
                <w:p w14:paraId="18014EDD">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排放量（t/a）</w:t>
                  </w:r>
                </w:p>
              </w:tc>
              <w:tc>
                <w:tcPr>
                  <w:tcW w:w="0" w:type="auto"/>
                  <w:vMerge w:val="continue"/>
                  <w:vAlign w:val="center"/>
                </w:tcPr>
                <w:p w14:paraId="1F14FE05">
                  <w:pPr>
                    <w:jc w:val="center"/>
                    <w:rPr>
                      <w:rFonts w:ascii="Times New Roman" w:hAnsi="Times New Roman" w:eastAsia="宋体" w:cs="Times New Roman"/>
                      <w:b/>
                      <w:color w:val="auto"/>
                      <w:szCs w:val="21"/>
                    </w:rPr>
                  </w:pPr>
                </w:p>
              </w:tc>
              <w:tc>
                <w:tcPr>
                  <w:tcW w:w="0" w:type="auto"/>
                  <w:vMerge w:val="continue"/>
                  <w:vAlign w:val="center"/>
                </w:tcPr>
                <w:p w14:paraId="1BC7AA33">
                  <w:pPr>
                    <w:jc w:val="center"/>
                    <w:rPr>
                      <w:rFonts w:ascii="Times New Roman" w:hAnsi="Times New Roman" w:eastAsia="宋体" w:cs="Times New Roman"/>
                      <w:b/>
                      <w:color w:val="auto"/>
                      <w:szCs w:val="21"/>
                    </w:rPr>
                  </w:pPr>
                </w:p>
              </w:tc>
            </w:tr>
            <w:tr w14:paraId="58A0930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61" w:type="dxa"/>
                  <w:vMerge w:val="restart"/>
                  <w:vAlign w:val="center"/>
                </w:tcPr>
                <w:p w14:paraId="6B64A8E3">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生活污水</w:t>
                  </w:r>
                  <w:r>
                    <w:rPr>
                      <w:rFonts w:hint="eastAsia" w:ascii="Times New Roman" w:hAnsi="Times New Roman" w:eastAsia="宋体" w:cs="Times New Roman"/>
                      <w:color w:val="auto"/>
                      <w:szCs w:val="21"/>
                    </w:rPr>
                    <w:t>2.55</w:t>
                  </w:r>
                  <w:r>
                    <w:rPr>
                      <w:rFonts w:ascii="Times New Roman" w:hAnsi="Times New Roman" w:eastAsia="宋体" w:cs="Times New Roman"/>
                      <w:color w:val="auto"/>
                      <w:szCs w:val="21"/>
                    </w:rPr>
                    <w:t>m</w:t>
                  </w:r>
                  <w:r>
                    <w:rPr>
                      <w:rFonts w:ascii="Times New Roman" w:hAnsi="Times New Roman" w:eastAsia="宋体" w:cs="Times New Roman"/>
                      <w:color w:val="auto"/>
                      <w:szCs w:val="21"/>
                      <w:vertAlign w:val="superscript"/>
                    </w:rPr>
                    <w:t>3</w:t>
                  </w:r>
                  <w:r>
                    <w:rPr>
                      <w:rFonts w:ascii="Times New Roman" w:hAnsi="Times New Roman" w:eastAsia="宋体" w:cs="Times New Roman"/>
                      <w:color w:val="auto"/>
                      <w:szCs w:val="21"/>
                    </w:rPr>
                    <w:t>/d（</w:t>
                  </w:r>
                  <w:r>
                    <w:rPr>
                      <w:rFonts w:hint="eastAsia" w:ascii="Times New Roman" w:hAnsi="Times New Roman" w:eastAsia="宋体" w:cs="Times New Roman"/>
                      <w:color w:val="auto"/>
                      <w:szCs w:val="21"/>
                    </w:rPr>
                    <w:t>765</w:t>
                  </w:r>
                  <w:r>
                    <w:rPr>
                      <w:rFonts w:ascii="Times New Roman" w:hAnsi="Times New Roman" w:eastAsia="宋体" w:cs="Times New Roman"/>
                      <w:color w:val="auto"/>
                      <w:szCs w:val="21"/>
                    </w:rPr>
                    <w:t>m</w:t>
                  </w:r>
                  <w:r>
                    <w:rPr>
                      <w:rFonts w:ascii="Times New Roman" w:hAnsi="Times New Roman" w:eastAsia="宋体" w:cs="Times New Roman"/>
                      <w:color w:val="auto"/>
                      <w:szCs w:val="21"/>
                      <w:vertAlign w:val="superscript"/>
                    </w:rPr>
                    <w:t>3</w:t>
                  </w:r>
                  <w:r>
                    <w:rPr>
                      <w:rFonts w:ascii="Times New Roman" w:hAnsi="Times New Roman" w:eastAsia="宋体" w:cs="Times New Roman"/>
                      <w:color w:val="auto"/>
                      <w:szCs w:val="21"/>
                    </w:rPr>
                    <w:t>/a）</w:t>
                  </w:r>
                </w:p>
              </w:tc>
              <w:tc>
                <w:tcPr>
                  <w:tcW w:w="0" w:type="auto"/>
                  <w:vAlign w:val="center"/>
                </w:tcPr>
                <w:p w14:paraId="725BB9E4">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highlight w:val="none"/>
                      <w:lang w:val="en-US" w:eastAsia="zh-CN"/>
                    </w:rPr>
                    <w:t>pH</w:t>
                  </w:r>
                </w:p>
              </w:tc>
              <w:tc>
                <w:tcPr>
                  <w:tcW w:w="0" w:type="auto"/>
                  <w:vAlign w:val="center"/>
                </w:tcPr>
                <w:p w14:paraId="0E0150E1">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6-9</w:t>
                  </w:r>
                </w:p>
              </w:tc>
              <w:tc>
                <w:tcPr>
                  <w:tcW w:w="0" w:type="auto"/>
                  <w:vAlign w:val="center"/>
                </w:tcPr>
                <w:p w14:paraId="5BD86425">
                  <w:pPr>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c>
                <w:tcPr>
                  <w:tcW w:w="705" w:type="dxa"/>
                  <w:vMerge w:val="restart"/>
                  <w:vAlign w:val="center"/>
                </w:tcPr>
                <w:p w14:paraId="747A5473">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化粪池</w:t>
                  </w:r>
                </w:p>
              </w:tc>
              <w:tc>
                <w:tcPr>
                  <w:tcW w:w="1075" w:type="dxa"/>
                  <w:vMerge w:val="restart"/>
                  <w:vAlign w:val="center"/>
                </w:tcPr>
                <w:p w14:paraId="72FD1A7D">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是</w:t>
                  </w:r>
                </w:p>
              </w:tc>
              <w:tc>
                <w:tcPr>
                  <w:tcW w:w="705" w:type="dxa"/>
                  <w:vMerge w:val="restart"/>
                  <w:vAlign w:val="center"/>
                </w:tcPr>
                <w:p w14:paraId="7544A09F">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w:t>
                  </w:r>
                </w:p>
              </w:tc>
              <w:tc>
                <w:tcPr>
                  <w:tcW w:w="0" w:type="auto"/>
                  <w:vAlign w:val="center"/>
                </w:tcPr>
                <w:p w14:paraId="0EDECCC5">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6-9</w:t>
                  </w:r>
                </w:p>
              </w:tc>
              <w:tc>
                <w:tcPr>
                  <w:tcW w:w="1144" w:type="dxa"/>
                  <w:vAlign w:val="center"/>
                </w:tcPr>
                <w:p w14:paraId="3BD574CE">
                  <w:pPr>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c>
                <w:tcPr>
                  <w:tcW w:w="705" w:type="dxa"/>
                  <w:vMerge w:val="restart"/>
                  <w:vAlign w:val="center"/>
                </w:tcPr>
                <w:p w14:paraId="34536542">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间接排放</w:t>
                  </w:r>
                </w:p>
              </w:tc>
              <w:tc>
                <w:tcPr>
                  <w:tcW w:w="1995" w:type="dxa"/>
                  <w:vMerge w:val="restart"/>
                  <w:vAlign w:val="center"/>
                </w:tcPr>
                <w:p w14:paraId="0630C3EC">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经化粪池</w:t>
                  </w:r>
                  <w:r>
                    <w:rPr>
                      <w:rFonts w:hint="eastAsia" w:ascii="Times New Roman" w:hAnsi="Times New Roman" w:eastAsia="宋体" w:cs="Times New Roman"/>
                      <w:color w:val="auto"/>
                      <w:szCs w:val="21"/>
                    </w:rPr>
                    <w:t>预处理</w:t>
                  </w:r>
                  <w:r>
                    <w:rPr>
                      <w:rFonts w:ascii="Times New Roman" w:hAnsi="Times New Roman" w:eastAsia="宋体" w:cs="Times New Roman"/>
                      <w:color w:val="auto"/>
                      <w:szCs w:val="21"/>
                    </w:rPr>
                    <w:t>后排入八公山污水处理厂</w:t>
                  </w:r>
                </w:p>
              </w:tc>
            </w:tr>
            <w:tr w14:paraId="783922D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61" w:type="dxa"/>
                  <w:vMerge w:val="continue"/>
                  <w:vAlign w:val="center"/>
                </w:tcPr>
                <w:p w14:paraId="29A90533">
                  <w:pPr>
                    <w:jc w:val="center"/>
                    <w:rPr>
                      <w:rFonts w:ascii="Times New Roman" w:hAnsi="Times New Roman" w:eastAsia="宋体" w:cs="Times New Roman"/>
                      <w:color w:val="auto"/>
                      <w:szCs w:val="21"/>
                    </w:rPr>
                  </w:pPr>
                </w:p>
              </w:tc>
              <w:tc>
                <w:tcPr>
                  <w:tcW w:w="0" w:type="auto"/>
                  <w:vAlign w:val="center"/>
                </w:tcPr>
                <w:p w14:paraId="2B227407">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COD</w:t>
                  </w:r>
                  <w:r>
                    <w:rPr>
                      <w:rFonts w:ascii="Times New Roman" w:hAnsi="Times New Roman" w:eastAsia="宋体" w:cs="Times New Roman"/>
                      <w:color w:val="auto"/>
                      <w:szCs w:val="21"/>
                      <w:vertAlign w:val="subscript"/>
                    </w:rPr>
                    <w:t>Cr</w:t>
                  </w:r>
                </w:p>
              </w:tc>
              <w:tc>
                <w:tcPr>
                  <w:tcW w:w="0" w:type="auto"/>
                  <w:vAlign w:val="center"/>
                </w:tcPr>
                <w:p w14:paraId="41363E8D">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300</w:t>
                  </w:r>
                </w:p>
              </w:tc>
              <w:tc>
                <w:tcPr>
                  <w:tcW w:w="0" w:type="auto"/>
                  <w:vAlign w:val="center"/>
                </w:tcPr>
                <w:p w14:paraId="20E8B3ED">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0.230</w:t>
                  </w:r>
                </w:p>
              </w:tc>
              <w:tc>
                <w:tcPr>
                  <w:tcW w:w="705" w:type="dxa"/>
                  <w:vMerge w:val="continue"/>
                  <w:vAlign w:val="center"/>
                </w:tcPr>
                <w:p w14:paraId="530CD92C">
                  <w:pPr>
                    <w:jc w:val="center"/>
                    <w:rPr>
                      <w:rFonts w:ascii="Times New Roman" w:hAnsi="Times New Roman" w:eastAsia="宋体" w:cs="Times New Roman"/>
                      <w:color w:val="auto"/>
                      <w:szCs w:val="21"/>
                    </w:rPr>
                  </w:pPr>
                </w:p>
              </w:tc>
              <w:tc>
                <w:tcPr>
                  <w:tcW w:w="1075" w:type="dxa"/>
                  <w:vMerge w:val="continue"/>
                  <w:vAlign w:val="center"/>
                </w:tcPr>
                <w:p w14:paraId="51053279">
                  <w:pPr>
                    <w:jc w:val="center"/>
                    <w:rPr>
                      <w:rFonts w:ascii="Times New Roman" w:hAnsi="Times New Roman" w:eastAsia="宋体" w:cs="Times New Roman"/>
                      <w:color w:val="auto"/>
                      <w:szCs w:val="21"/>
                    </w:rPr>
                  </w:pPr>
                </w:p>
              </w:tc>
              <w:tc>
                <w:tcPr>
                  <w:tcW w:w="705" w:type="dxa"/>
                  <w:vMerge w:val="continue"/>
                  <w:vAlign w:val="center"/>
                </w:tcPr>
                <w:p w14:paraId="27495AE6">
                  <w:pPr>
                    <w:jc w:val="center"/>
                    <w:rPr>
                      <w:rFonts w:ascii="Times New Roman" w:hAnsi="Times New Roman" w:eastAsia="宋体" w:cs="Times New Roman"/>
                      <w:color w:val="auto"/>
                      <w:szCs w:val="21"/>
                    </w:rPr>
                  </w:pPr>
                </w:p>
              </w:tc>
              <w:tc>
                <w:tcPr>
                  <w:tcW w:w="0" w:type="auto"/>
                  <w:vAlign w:val="center"/>
                </w:tcPr>
                <w:p w14:paraId="39B3AE66">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300</w:t>
                  </w:r>
                </w:p>
              </w:tc>
              <w:tc>
                <w:tcPr>
                  <w:tcW w:w="1144" w:type="dxa"/>
                  <w:vAlign w:val="center"/>
                </w:tcPr>
                <w:p w14:paraId="3B00063D">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0.230</w:t>
                  </w:r>
                </w:p>
              </w:tc>
              <w:tc>
                <w:tcPr>
                  <w:tcW w:w="705" w:type="dxa"/>
                  <w:vMerge w:val="continue"/>
                  <w:vAlign w:val="center"/>
                </w:tcPr>
                <w:p w14:paraId="62B561FE">
                  <w:pPr>
                    <w:jc w:val="center"/>
                    <w:rPr>
                      <w:rFonts w:ascii="Times New Roman" w:hAnsi="Times New Roman" w:eastAsia="宋体" w:cs="Times New Roman"/>
                      <w:color w:val="auto"/>
                      <w:szCs w:val="21"/>
                    </w:rPr>
                  </w:pPr>
                </w:p>
              </w:tc>
              <w:tc>
                <w:tcPr>
                  <w:tcW w:w="1995" w:type="dxa"/>
                  <w:vMerge w:val="continue"/>
                  <w:vAlign w:val="center"/>
                </w:tcPr>
                <w:p w14:paraId="64B794ED">
                  <w:pPr>
                    <w:jc w:val="center"/>
                    <w:rPr>
                      <w:rFonts w:ascii="Times New Roman" w:hAnsi="Times New Roman" w:eastAsia="宋体" w:cs="Times New Roman"/>
                      <w:color w:val="auto"/>
                      <w:szCs w:val="21"/>
                    </w:rPr>
                  </w:pPr>
                </w:p>
              </w:tc>
            </w:tr>
            <w:tr w14:paraId="595007E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61" w:type="dxa"/>
                  <w:vMerge w:val="continue"/>
                  <w:vAlign w:val="center"/>
                </w:tcPr>
                <w:p w14:paraId="0C7341C8">
                  <w:pPr>
                    <w:jc w:val="center"/>
                    <w:rPr>
                      <w:rFonts w:ascii="Times New Roman" w:hAnsi="Times New Roman" w:eastAsia="宋体" w:cs="Times New Roman"/>
                      <w:color w:val="auto"/>
                      <w:szCs w:val="21"/>
                    </w:rPr>
                  </w:pPr>
                </w:p>
              </w:tc>
              <w:tc>
                <w:tcPr>
                  <w:tcW w:w="0" w:type="auto"/>
                  <w:vAlign w:val="center"/>
                </w:tcPr>
                <w:p w14:paraId="192E5D66">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BOD</w:t>
                  </w:r>
                  <w:r>
                    <w:rPr>
                      <w:rFonts w:ascii="Times New Roman" w:hAnsi="Times New Roman" w:eastAsia="宋体" w:cs="Times New Roman"/>
                      <w:color w:val="auto"/>
                      <w:szCs w:val="21"/>
                      <w:vertAlign w:val="subscript"/>
                    </w:rPr>
                    <w:t>5</w:t>
                  </w:r>
                </w:p>
              </w:tc>
              <w:tc>
                <w:tcPr>
                  <w:tcW w:w="0" w:type="auto"/>
                  <w:vAlign w:val="center"/>
                </w:tcPr>
                <w:p w14:paraId="417E6025">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0</w:t>
                  </w:r>
                  <w:r>
                    <w:rPr>
                      <w:rFonts w:ascii="Times New Roman" w:hAnsi="Times New Roman" w:eastAsia="宋体" w:cs="Times New Roman"/>
                      <w:color w:val="auto"/>
                      <w:szCs w:val="21"/>
                    </w:rPr>
                    <w:t>0</w:t>
                  </w:r>
                </w:p>
              </w:tc>
              <w:tc>
                <w:tcPr>
                  <w:tcW w:w="0" w:type="auto"/>
                  <w:vAlign w:val="center"/>
                </w:tcPr>
                <w:p w14:paraId="4506D14D">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0.077</w:t>
                  </w:r>
                </w:p>
              </w:tc>
              <w:tc>
                <w:tcPr>
                  <w:tcW w:w="705" w:type="dxa"/>
                  <w:vMerge w:val="continue"/>
                  <w:vAlign w:val="center"/>
                </w:tcPr>
                <w:p w14:paraId="13EC3696">
                  <w:pPr>
                    <w:jc w:val="center"/>
                    <w:rPr>
                      <w:rFonts w:ascii="Times New Roman" w:hAnsi="Times New Roman" w:eastAsia="宋体" w:cs="Times New Roman"/>
                      <w:color w:val="auto"/>
                      <w:szCs w:val="21"/>
                      <w:highlight w:val="yellow"/>
                    </w:rPr>
                  </w:pPr>
                </w:p>
              </w:tc>
              <w:tc>
                <w:tcPr>
                  <w:tcW w:w="1075" w:type="dxa"/>
                  <w:vMerge w:val="continue"/>
                  <w:vAlign w:val="center"/>
                </w:tcPr>
                <w:p w14:paraId="4FB77B04">
                  <w:pPr>
                    <w:jc w:val="center"/>
                    <w:rPr>
                      <w:rFonts w:ascii="Times New Roman" w:hAnsi="Times New Roman" w:eastAsia="宋体" w:cs="Times New Roman"/>
                      <w:color w:val="auto"/>
                      <w:szCs w:val="21"/>
                      <w:highlight w:val="yellow"/>
                    </w:rPr>
                  </w:pPr>
                </w:p>
              </w:tc>
              <w:tc>
                <w:tcPr>
                  <w:tcW w:w="705" w:type="dxa"/>
                  <w:vMerge w:val="continue"/>
                  <w:vAlign w:val="center"/>
                </w:tcPr>
                <w:p w14:paraId="044418B9">
                  <w:pPr>
                    <w:jc w:val="center"/>
                    <w:rPr>
                      <w:rFonts w:ascii="Times New Roman" w:hAnsi="Times New Roman" w:eastAsia="宋体" w:cs="Times New Roman"/>
                      <w:color w:val="auto"/>
                      <w:szCs w:val="21"/>
                      <w:highlight w:val="yellow"/>
                    </w:rPr>
                  </w:pPr>
                </w:p>
              </w:tc>
              <w:tc>
                <w:tcPr>
                  <w:tcW w:w="0" w:type="auto"/>
                  <w:vAlign w:val="center"/>
                </w:tcPr>
                <w:p w14:paraId="07C94200">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0</w:t>
                  </w:r>
                  <w:r>
                    <w:rPr>
                      <w:rFonts w:ascii="Times New Roman" w:hAnsi="Times New Roman" w:eastAsia="宋体" w:cs="Times New Roman"/>
                      <w:color w:val="auto"/>
                      <w:szCs w:val="21"/>
                    </w:rPr>
                    <w:t>0</w:t>
                  </w:r>
                </w:p>
              </w:tc>
              <w:tc>
                <w:tcPr>
                  <w:tcW w:w="1144" w:type="dxa"/>
                  <w:vAlign w:val="center"/>
                </w:tcPr>
                <w:p w14:paraId="1AC01FC2">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0.077</w:t>
                  </w:r>
                </w:p>
              </w:tc>
              <w:tc>
                <w:tcPr>
                  <w:tcW w:w="705" w:type="dxa"/>
                  <w:vMerge w:val="continue"/>
                  <w:vAlign w:val="center"/>
                </w:tcPr>
                <w:p w14:paraId="461083E6">
                  <w:pPr>
                    <w:jc w:val="center"/>
                    <w:rPr>
                      <w:rFonts w:ascii="Times New Roman" w:hAnsi="Times New Roman" w:eastAsia="宋体" w:cs="Times New Roman"/>
                      <w:color w:val="auto"/>
                      <w:szCs w:val="21"/>
                    </w:rPr>
                  </w:pPr>
                </w:p>
              </w:tc>
              <w:tc>
                <w:tcPr>
                  <w:tcW w:w="1995" w:type="dxa"/>
                  <w:vMerge w:val="continue"/>
                  <w:vAlign w:val="center"/>
                </w:tcPr>
                <w:p w14:paraId="79EFBF9D">
                  <w:pPr>
                    <w:jc w:val="center"/>
                    <w:rPr>
                      <w:rFonts w:ascii="Times New Roman" w:hAnsi="Times New Roman" w:eastAsia="宋体" w:cs="Times New Roman"/>
                      <w:color w:val="auto"/>
                      <w:szCs w:val="21"/>
                    </w:rPr>
                  </w:pPr>
                </w:p>
              </w:tc>
            </w:tr>
            <w:tr w14:paraId="7E08B0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061" w:type="dxa"/>
                  <w:vMerge w:val="continue"/>
                  <w:vAlign w:val="center"/>
                </w:tcPr>
                <w:p w14:paraId="473CA186">
                  <w:pPr>
                    <w:jc w:val="center"/>
                    <w:rPr>
                      <w:rFonts w:ascii="Times New Roman" w:hAnsi="Times New Roman" w:eastAsia="宋体" w:cs="Times New Roman"/>
                      <w:color w:val="auto"/>
                      <w:szCs w:val="21"/>
                    </w:rPr>
                  </w:pPr>
                </w:p>
              </w:tc>
              <w:tc>
                <w:tcPr>
                  <w:tcW w:w="0" w:type="auto"/>
                  <w:vAlign w:val="center"/>
                </w:tcPr>
                <w:p w14:paraId="10998828">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SS</w:t>
                  </w:r>
                </w:p>
              </w:tc>
              <w:tc>
                <w:tcPr>
                  <w:tcW w:w="0" w:type="auto"/>
                  <w:vAlign w:val="center"/>
                </w:tcPr>
                <w:p w14:paraId="0AE1DD36">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150</w:t>
                  </w:r>
                </w:p>
              </w:tc>
              <w:tc>
                <w:tcPr>
                  <w:tcW w:w="0" w:type="auto"/>
                  <w:vAlign w:val="center"/>
                </w:tcPr>
                <w:p w14:paraId="1869A66D">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0.115</w:t>
                  </w:r>
                </w:p>
              </w:tc>
              <w:tc>
                <w:tcPr>
                  <w:tcW w:w="705" w:type="dxa"/>
                  <w:vMerge w:val="continue"/>
                  <w:vAlign w:val="center"/>
                </w:tcPr>
                <w:p w14:paraId="491575AB">
                  <w:pPr>
                    <w:jc w:val="center"/>
                    <w:rPr>
                      <w:rFonts w:ascii="Times New Roman" w:hAnsi="Times New Roman" w:eastAsia="宋体" w:cs="Times New Roman"/>
                      <w:color w:val="auto"/>
                      <w:szCs w:val="21"/>
                      <w:highlight w:val="yellow"/>
                    </w:rPr>
                  </w:pPr>
                </w:p>
              </w:tc>
              <w:tc>
                <w:tcPr>
                  <w:tcW w:w="1075" w:type="dxa"/>
                  <w:vMerge w:val="continue"/>
                  <w:vAlign w:val="center"/>
                </w:tcPr>
                <w:p w14:paraId="569A112D">
                  <w:pPr>
                    <w:jc w:val="center"/>
                    <w:rPr>
                      <w:rFonts w:ascii="Times New Roman" w:hAnsi="Times New Roman" w:eastAsia="宋体" w:cs="Times New Roman"/>
                      <w:color w:val="auto"/>
                      <w:szCs w:val="21"/>
                      <w:highlight w:val="yellow"/>
                    </w:rPr>
                  </w:pPr>
                </w:p>
              </w:tc>
              <w:tc>
                <w:tcPr>
                  <w:tcW w:w="705" w:type="dxa"/>
                  <w:vMerge w:val="continue"/>
                  <w:vAlign w:val="center"/>
                </w:tcPr>
                <w:p w14:paraId="7DC7D4EF">
                  <w:pPr>
                    <w:jc w:val="center"/>
                    <w:rPr>
                      <w:rFonts w:ascii="Times New Roman" w:hAnsi="Times New Roman" w:eastAsia="宋体" w:cs="Times New Roman"/>
                      <w:color w:val="auto"/>
                      <w:szCs w:val="21"/>
                      <w:highlight w:val="yellow"/>
                    </w:rPr>
                  </w:pPr>
                </w:p>
              </w:tc>
              <w:tc>
                <w:tcPr>
                  <w:tcW w:w="0" w:type="auto"/>
                  <w:vAlign w:val="center"/>
                </w:tcPr>
                <w:p w14:paraId="0DAEEC86">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150</w:t>
                  </w:r>
                </w:p>
              </w:tc>
              <w:tc>
                <w:tcPr>
                  <w:tcW w:w="1144" w:type="dxa"/>
                  <w:vAlign w:val="center"/>
                </w:tcPr>
                <w:p w14:paraId="3F8E8C19">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0.115</w:t>
                  </w:r>
                </w:p>
              </w:tc>
              <w:tc>
                <w:tcPr>
                  <w:tcW w:w="705" w:type="dxa"/>
                  <w:vMerge w:val="continue"/>
                  <w:vAlign w:val="center"/>
                </w:tcPr>
                <w:p w14:paraId="4E990097">
                  <w:pPr>
                    <w:jc w:val="center"/>
                    <w:rPr>
                      <w:rFonts w:ascii="Times New Roman" w:hAnsi="Times New Roman" w:eastAsia="宋体" w:cs="Times New Roman"/>
                      <w:color w:val="auto"/>
                      <w:szCs w:val="21"/>
                    </w:rPr>
                  </w:pPr>
                </w:p>
              </w:tc>
              <w:tc>
                <w:tcPr>
                  <w:tcW w:w="1995" w:type="dxa"/>
                  <w:vMerge w:val="continue"/>
                  <w:vAlign w:val="center"/>
                </w:tcPr>
                <w:p w14:paraId="71615D08">
                  <w:pPr>
                    <w:jc w:val="center"/>
                    <w:rPr>
                      <w:rFonts w:ascii="Times New Roman" w:hAnsi="Times New Roman" w:eastAsia="宋体" w:cs="Times New Roman"/>
                      <w:color w:val="auto"/>
                      <w:szCs w:val="21"/>
                    </w:rPr>
                  </w:pPr>
                </w:p>
              </w:tc>
            </w:tr>
            <w:tr w14:paraId="09E84AF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2061" w:type="dxa"/>
                  <w:vMerge w:val="continue"/>
                  <w:vAlign w:val="center"/>
                </w:tcPr>
                <w:p w14:paraId="1F494636">
                  <w:pPr>
                    <w:jc w:val="center"/>
                    <w:rPr>
                      <w:rFonts w:ascii="Times New Roman" w:hAnsi="Times New Roman" w:eastAsia="宋体" w:cs="Times New Roman"/>
                      <w:color w:val="auto"/>
                      <w:szCs w:val="21"/>
                    </w:rPr>
                  </w:pPr>
                </w:p>
              </w:tc>
              <w:tc>
                <w:tcPr>
                  <w:tcW w:w="0" w:type="auto"/>
                  <w:vAlign w:val="center"/>
                </w:tcPr>
                <w:p w14:paraId="20083265">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NH</w:t>
                  </w:r>
                  <w:r>
                    <w:rPr>
                      <w:rFonts w:ascii="Times New Roman" w:hAnsi="Times New Roman" w:eastAsia="宋体" w:cs="Times New Roman"/>
                      <w:color w:val="auto"/>
                      <w:szCs w:val="21"/>
                      <w:vertAlign w:val="subscript"/>
                    </w:rPr>
                    <w:t>3</w:t>
                  </w:r>
                  <w:r>
                    <w:rPr>
                      <w:rFonts w:ascii="Times New Roman" w:hAnsi="Times New Roman" w:eastAsia="宋体" w:cs="Times New Roman"/>
                      <w:color w:val="auto"/>
                      <w:szCs w:val="21"/>
                    </w:rPr>
                    <w:t>-N</w:t>
                  </w:r>
                </w:p>
              </w:tc>
              <w:tc>
                <w:tcPr>
                  <w:tcW w:w="0" w:type="auto"/>
                  <w:vAlign w:val="center"/>
                </w:tcPr>
                <w:p w14:paraId="088A55C3">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25</w:t>
                  </w:r>
                </w:p>
              </w:tc>
              <w:tc>
                <w:tcPr>
                  <w:tcW w:w="0" w:type="auto"/>
                  <w:vAlign w:val="center"/>
                </w:tcPr>
                <w:p w14:paraId="64E4DB92">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0.019</w:t>
                  </w:r>
                </w:p>
              </w:tc>
              <w:tc>
                <w:tcPr>
                  <w:tcW w:w="705" w:type="dxa"/>
                  <w:vMerge w:val="continue"/>
                  <w:vAlign w:val="center"/>
                </w:tcPr>
                <w:p w14:paraId="5908ED9C">
                  <w:pPr>
                    <w:jc w:val="center"/>
                    <w:rPr>
                      <w:rFonts w:ascii="Times New Roman" w:hAnsi="Times New Roman" w:eastAsia="宋体" w:cs="Times New Roman"/>
                      <w:color w:val="auto"/>
                      <w:szCs w:val="21"/>
                      <w:highlight w:val="yellow"/>
                    </w:rPr>
                  </w:pPr>
                </w:p>
              </w:tc>
              <w:tc>
                <w:tcPr>
                  <w:tcW w:w="1075" w:type="dxa"/>
                  <w:vMerge w:val="continue"/>
                  <w:vAlign w:val="center"/>
                </w:tcPr>
                <w:p w14:paraId="40083D78">
                  <w:pPr>
                    <w:jc w:val="center"/>
                    <w:rPr>
                      <w:rFonts w:ascii="Times New Roman" w:hAnsi="Times New Roman" w:eastAsia="宋体" w:cs="Times New Roman"/>
                      <w:color w:val="auto"/>
                      <w:szCs w:val="21"/>
                      <w:highlight w:val="yellow"/>
                    </w:rPr>
                  </w:pPr>
                </w:p>
              </w:tc>
              <w:tc>
                <w:tcPr>
                  <w:tcW w:w="705" w:type="dxa"/>
                  <w:vMerge w:val="continue"/>
                  <w:vAlign w:val="center"/>
                </w:tcPr>
                <w:p w14:paraId="6BC81EE5">
                  <w:pPr>
                    <w:jc w:val="center"/>
                    <w:rPr>
                      <w:rFonts w:ascii="Times New Roman" w:hAnsi="Times New Roman" w:eastAsia="宋体" w:cs="Times New Roman"/>
                      <w:color w:val="auto"/>
                      <w:szCs w:val="21"/>
                      <w:highlight w:val="yellow"/>
                    </w:rPr>
                  </w:pPr>
                </w:p>
              </w:tc>
              <w:tc>
                <w:tcPr>
                  <w:tcW w:w="0" w:type="auto"/>
                  <w:vAlign w:val="center"/>
                </w:tcPr>
                <w:p w14:paraId="7C1E3749">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25</w:t>
                  </w:r>
                </w:p>
              </w:tc>
              <w:tc>
                <w:tcPr>
                  <w:tcW w:w="1144" w:type="dxa"/>
                  <w:vAlign w:val="center"/>
                </w:tcPr>
                <w:p w14:paraId="5F7ECFD4">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0.019</w:t>
                  </w:r>
                </w:p>
              </w:tc>
              <w:tc>
                <w:tcPr>
                  <w:tcW w:w="705" w:type="dxa"/>
                  <w:vMerge w:val="continue"/>
                  <w:vAlign w:val="center"/>
                </w:tcPr>
                <w:p w14:paraId="49B031CD">
                  <w:pPr>
                    <w:jc w:val="center"/>
                    <w:rPr>
                      <w:rFonts w:ascii="Times New Roman" w:hAnsi="Times New Roman" w:eastAsia="宋体" w:cs="Times New Roman"/>
                      <w:color w:val="auto"/>
                      <w:szCs w:val="21"/>
                    </w:rPr>
                  </w:pPr>
                </w:p>
              </w:tc>
              <w:tc>
                <w:tcPr>
                  <w:tcW w:w="1995" w:type="dxa"/>
                  <w:vMerge w:val="continue"/>
                  <w:vAlign w:val="center"/>
                </w:tcPr>
                <w:p w14:paraId="672ADD5A">
                  <w:pPr>
                    <w:jc w:val="center"/>
                    <w:rPr>
                      <w:rFonts w:ascii="Times New Roman" w:hAnsi="Times New Roman" w:eastAsia="宋体" w:cs="Times New Roman"/>
                      <w:color w:val="auto"/>
                      <w:szCs w:val="21"/>
                    </w:rPr>
                  </w:pPr>
                </w:p>
              </w:tc>
            </w:tr>
            <w:tr w14:paraId="53D0337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2061" w:type="dxa"/>
                  <w:vMerge w:val="continue"/>
                  <w:vAlign w:val="center"/>
                </w:tcPr>
                <w:p w14:paraId="61B29C74">
                  <w:pPr>
                    <w:jc w:val="center"/>
                    <w:rPr>
                      <w:rFonts w:ascii="Times New Roman" w:hAnsi="Times New Roman" w:eastAsia="宋体" w:cs="Times New Roman"/>
                      <w:color w:val="auto"/>
                      <w:szCs w:val="21"/>
                    </w:rPr>
                  </w:pPr>
                </w:p>
              </w:tc>
              <w:tc>
                <w:tcPr>
                  <w:tcW w:w="0" w:type="auto"/>
                  <w:vAlign w:val="center"/>
                </w:tcPr>
                <w:p w14:paraId="0DEF391D">
                  <w:pPr>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TP</w:t>
                  </w:r>
                </w:p>
              </w:tc>
              <w:tc>
                <w:tcPr>
                  <w:tcW w:w="0" w:type="auto"/>
                  <w:vAlign w:val="center"/>
                </w:tcPr>
                <w:p w14:paraId="7272A166">
                  <w:pPr>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8</w:t>
                  </w:r>
                </w:p>
              </w:tc>
              <w:tc>
                <w:tcPr>
                  <w:tcW w:w="0" w:type="auto"/>
                  <w:vAlign w:val="center"/>
                </w:tcPr>
                <w:p w14:paraId="44D52BE8">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0.006</w:t>
                  </w:r>
                </w:p>
              </w:tc>
              <w:tc>
                <w:tcPr>
                  <w:tcW w:w="705" w:type="dxa"/>
                  <w:vMerge w:val="continue"/>
                  <w:vAlign w:val="center"/>
                </w:tcPr>
                <w:p w14:paraId="2049EBC2">
                  <w:pPr>
                    <w:jc w:val="center"/>
                    <w:rPr>
                      <w:rFonts w:ascii="Times New Roman" w:hAnsi="Times New Roman" w:eastAsia="宋体" w:cs="Times New Roman"/>
                      <w:color w:val="auto"/>
                      <w:szCs w:val="21"/>
                      <w:highlight w:val="yellow"/>
                    </w:rPr>
                  </w:pPr>
                </w:p>
              </w:tc>
              <w:tc>
                <w:tcPr>
                  <w:tcW w:w="1075" w:type="dxa"/>
                  <w:vMerge w:val="continue"/>
                  <w:vAlign w:val="center"/>
                </w:tcPr>
                <w:p w14:paraId="7642CE00">
                  <w:pPr>
                    <w:jc w:val="center"/>
                    <w:rPr>
                      <w:rFonts w:ascii="Times New Roman" w:hAnsi="Times New Roman" w:eastAsia="宋体" w:cs="Times New Roman"/>
                      <w:color w:val="auto"/>
                      <w:szCs w:val="21"/>
                      <w:highlight w:val="yellow"/>
                    </w:rPr>
                  </w:pPr>
                </w:p>
              </w:tc>
              <w:tc>
                <w:tcPr>
                  <w:tcW w:w="705" w:type="dxa"/>
                  <w:vMerge w:val="continue"/>
                  <w:vAlign w:val="center"/>
                </w:tcPr>
                <w:p w14:paraId="3F739CF4">
                  <w:pPr>
                    <w:jc w:val="center"/>
                    <w:rPr>
                      <w:rFonts w:ascii="Times New Roman" w:hAnsi="Times New Roman" w:eastAsia="宋体" w:cs="Times New Roman"/>
                      <w:color w:val="auto"/>
                      <w:szCs w:val="21"/>
                      <w:highlight w:val="yellow"/>
                    </w:rPr>
                  </w:pPr>
                </w:p>
              </w:tc>
              <w:tc>
                <w:tcPr>
                  <w:tcW w:w="0" w:type="auto"/>
                  <w:vAlign w:val="center"/>
                </w:tcPr>
                <w:p w14:paraId="1F53029F">
                  <w:pPr>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8</w:t>
                  </w:r>
                </w:p>
              </w:tc>
              <w:tc>
                <w:tcPr>
                  <w:tcW w:w="1144" w:type="dxa"/>
                  <w:vAlign w:val="center"/>
                </w:tcPr>
                <w:p w14:paraId="54627530">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0.006</w:t>
                  </w:r>
                </w:p>
              </w:tc>
              <w:tc>
                <w:tcPr>
                  <w:tcW w:w="705" w:type="dxa"/>
                  <w:vMerge w:val="continue"/>
                  <w:vAlign w:val="center"/>
                </w:tcPr>
                <w:p w14:paraId="12C09B0B">
                  <w:pPr>
                    <w:jc w:val="center"/>
                    <w:rPr>
                      <w:rFonts w:ascii="Times New Roman" w:hAnsi="Times New Roman" w:eastAsia="宋体" w:cs="Times New Roman"/>
                      <w:color w:val="auto"/>
                      <w:szCs w:val="21"/>
                    </w:rPr>
                  </w:pPr>
                </w:p>
              </w:tc>
              <w:tc>
                <w:tcPr>
                  <w:tcW w:w="1995" w:type="dxa"/>
                  <w:vMerge w:val="continue"/>
                  <w:vAlign w:val="center"/>
                </w:tcPr>
                <w:p w14:paraId="23A5D8CC">
                  <w:pPr>
                    <w:jc w:val="center"/>
                    <w:rPr>
                      <w:rFonts w:ascii="Times New Roman" w:hAnsi="Times New Roman" w:eastAsia="宋体" w:cs="Times New Roman"/>
                      <w:color w:val="auto"/>
                      <w:szCs w:val="21"/>
                    </w:rPr>
                  </w:pPr>
                </w:p>
              </w:tc>
            </w:tr>
          </w:tbl>
          <w:p w14:paraId="3436B655">
            <w:pPr>
              <w:spacing w:line="360" w:lineRule="auto"/>
              <w:jc w:val="left"/>
              <w:rPr>
                <w:rFonts w:ascii="Times New Roman" w:hAnsi="Times New Roman" w:cs="Times New Roman"/>
                <w:snapToGrid w:val="0"/>
                <w:kern w:val="0"/>
                <w:sz w:val="24"/>
              </w:rPr>
            </w:pPr>
          </w:p>
          <w:p w14:paraId="4BC11E2A">
            <w:pPr>
              <w:spacing w:line="360" w:lineRule="auto"/>
              <w:jc w:val="left"/>
              <w:rPr>
                <w:rFonts w:ascii="Times New Roman" w:hAnsi="Times New Roman" w:cs="Times New Roman"/>
                <w:snapToGrid w:val="0"/>
                <w:kern w:val="0"/>
                <w:sz w:val="24"/>
              </w:rPr>
            </w:pPr>
          </w:p>
          <w:p w14:paraId="25305DC6">
            <w:pPr>
              <w:spacing w:line="360" w:lineRule="auto"/>
              <w:jc w:val="left"/>
              <w:rPr>
                <w:rFonts w:ascii="Times New Roman" w:hAnsi="Times New Roman" w:cs="Times New Roman"/>
                <w:snapToGrid w:val="0"/>
                <w:kern w:val="0"/>
                <w:sz w:val="24"/>
              </w:rPr>
            </w:pPr>
          </w:p>
          <w:p w14:paraId="36A78F80">
            <w:pPr>
              <w:spacing w:line="360" w:lineRule="auto"/>
              <w:jc w:val="left"/>
              <w:rPr>
                <w:rFonts w:ascii="Times New Roman" w:hAnsi="Times New Roman" w:cs="Times New Roman"/>
                <w:snapToGrid w:val="0"/>
                <w:kern w:val="0"/>
                <w:sz w:val="24"/>
              </w:rPr>
            </w:pPr>
          </w:p>
        </w:tc>
      </w:tr>
    </w:tbl>
    <w:p w14:paraId="00B0129F">
      <w:pPr>
        <w:widowControl/>
        <w:spacing w:before="100" w:beforeAutospacing="1" w:after="100" w:afterAutospacing="1"/>
        <w:outlineLvl w:val="0"/>
        <w:rPr>
          <w:rFonts w:ascii="Times New Roman" w:hAnsi="Times New Roman" w:eastAsia="黑体" w:cs="Times New Roman"/>
          <w:snapToGrid w:val="0"/>
          <w:kern w:val="0"/>
          <w:sz w:val="30"/>
          <w:szCs w:val="30"/>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7"/>
        <w:tblpPr w:leftFromText="180" w:rightFromText="180" w:vertAnchor="text" w:tblpXSpec="center" w:tblpY="1"/>
        <w:tblOverlap w:val="never"/>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7866"/>
      </w:tblGrid>
      <w:tr w14:paraId="51937C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315" w:hRule="atLeast"/>
        </w:trPr>
        <w:tc>
          <w:tcPr>
            <w:tcW w:w="352" w:type="pct"/>
            <w:tcMar>
              <w:left w:w="28" w:type="dxa"/>
              <w:right w:w="28" w:type="dxa"/>
            </w:tcMar>
            <w:vAlign w:val="center"/>
          </w:tcPr>
          <w:p w14:paraId="3C3A122F">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运营</w:t>
            </w:r>
          </w:p>
          <w:p w14:paraId="5803026F">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期环</w:t>
            </w:r>
          </w:p>
          <w:p w14:paraId="4C65BBEA">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境影</w:t>
            </w:r>
          </w:p>
          <w:p w14:paraId="6AC8982B">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响和</w:t>
            </w:r>
          </w:p>
          <w:p w14:paraId="65E77068">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保护</w:t>
            </w:r>
          </w:p>
          <w:p w14:paraId="4D7E11B3">
            <w:pPr>
              <w:widowControl/>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措施</w:t>
            </w:r>
          </w:p>
        </w:tc>
        <w:tc>
          <w:tcPr>
            <w:tcW w:w="4648" w:type="pct"/>
          </w:tcPr>
          <w:p w14:paraId="45506ABD">
            <w:pPr>
              <w:spacing w:line="360" w:lineRule="auto"/>
              <w:ind w:firstLine="482" w:firstLineChars="200"/>
              <w:rPr>
                <w:rFonts w:ascii="Times New Roman" w:hAnsi="Times New Roman" w:eastAsia="宋体" w:cs="Times New Roman"/>
                <w:b/>
                <w:bCs/>
                <w:color w:val="auto"/>
                <w:sz w:val="24"/>
                <w:szCs w:val="24"/>
              </w:rPr>
            </w:pPr>
            <w:r>
              <w:rPr>
                <w:rFonts w:ascii="Times New Roman" w:hAnsi="Times New Roman" w:eastAsia="宋体" w:cs="Times New Roman"/>
                <w:b/>
                <w:bCs/>
                <w:color w:val="auto"/>
                <w:sz w:val="24"/>
                <w:szCs w:val="24"/>
              </w:rPr>
              <w:t>2、运营期水环境保护措施</w:t>
            </w:r>
          </w:p>
          <w:p w14:paraId="7B6B6DC2">
            <w:pPr>
              <w:spacing w:line="360" w:lineRule="auto"/>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根据《建设项目环境影响报告表编制技术指南（污染影响类）（试行）》要求，本项目污水经</w:t>
            </w:r>
            <w:r>
              <w:rPr>
                <w:rFonts w:hint="eastAsia" w:ascii="Times New Roman" w:hAnsi="Times New Roman"/>
                <w:color w:val="auto"/>
                <w:sz w:val="24"/>
                <w:szCs w:val="24"/>
              </w:rPr>
              <w:t>化粪池</w:t>
            </w:r>
            <w:r>
              <w:rPr>
                <w:rFonts w:ascii="Times New Roman" w:hAnsi="Times New Roman"/>
                <w:color w:val="auto"/>
                <w:sz w:val="24"/>
                <w:szCs w:val="24"/>
              </w:rPr>
              <w:t>处理后接市政污水管网，排到八公山污水处理厂处理</w:t>
            </w:r>
            <w:r>
              <w:rPr>
                <w:rFonts w:hint="eastAsia" w:ascii="Times New Roman" w:hAnsi="Times New Roman" w:eastAsia="宋体" w:cs="Times New Roman"/>
                <w:bCs/>
                <w:color w:val="auto"/>
                <w:sz w:val="24"/>
                <w:szCs w:val="24"/>
              </w:rPr>
              <w:t>，属于间接排放，主要调查水污染控制和水环境影响减缓措施及对依托污水处理设施的环境可行性进行调查。</w:t>
            </w:r>
          </w:p>
          <w:p w14:paraId="7A10AFAE">
            <w:pPr>
              <w:spacing w:line="360" w:lineRule="auto"/>
              <w:ind w:firstLine="482" w:firstLineChars="200"/>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（1）废水处理措施可行性分析</w:t>
            </w:r>
          </w:p>
          <w:p w14:paraId="03DF02A1">
            <w:pPr>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bCs/>
                <w:color w:val="auto"/>
                <w:sz w:val="24"/>
                <w:szCs w:val="24"/>
              </w:rPr>
              <w:t>项目废水主要为生活废水，废水产生量约为2.55</w:t>
            </w:r>
            <w:r>
              <w:rPr>
                <w:rFonts w:hint="eastAsia" w:ascii="Times New Roman" w:hAnsi="Times New Roman" w:eastAsia="宋体" w:cs="Times New Roman"/>
                <w:color w:val="auto"/>
                <w:sz w:val="24"/>
                <w:szCs w:val="24"/>
              </w:rPr>
              <w:t>m</w:t>
            </w:r>
            <w:r>
              <w:rPr>
                <w:rFonts w:hint="eastAsia" w:ascii="Times New Roman" w:hAnsi="Times New Roman" w:eastAsia="宋体" w:cs="Times New Roman"/>
                <w:color w:val="auto"/>
                <w:sz w:val="24"/>
                <w:szCs w:val="24"/>
                <w:vertAlign w:val="superscript"/>
              </w:rPr>
              <w:t>3</w:t>
            </w:r>
            <w:r>
              <w:rPr>
                <w:rFonts w:hint="eastAsia" w:ascii="Times New Roman" w:hAnsi="Times New Roman" w:eastAsia="宋体" w:cs="Times New Roman"/>
                <w:color w:val="auto"/>
                <w:sz w:val="24"/>
                <w:szCs w:val="24"/>
              </w:rPr>
              <w:t>/d（765m</w:t>
            </w:r>
            <w:r>
              <w:rPr>
                <w:rFonts w:hint="eastAsia" w:ascii="Times New Roman" w:hAnsi="Times New Roman" w:eastAsia="宋体" w:cs="Times New Roman"/>
                <w:color w:val="auto"/>
                <w:sz w:val="24"/>
                <w:szCs w:val="24"/>
                <w:vertAlign w:val="superscript"/>
              </w:rPr>
              <w:t>3</w:t>
            </w:r>
            <w:r>
              <w:rPr>
                <w:rFonts w:hint="eastAsia" w:ascii="Times New Roman" w:hAnsi="Times New Roman" w:eastAsia="宋体" w:cs="Times New Roman"/>
                <w:color w:val="auto"/>
                <w:sz w:val="24"/>
                <w:szCs w:val="24"/>
              </w:rPr>
              <w:t>/a）。</w:t>
            </w:r>
          </w:p>
          <w:p w14:paraId="471738F8">
            <w:pPr>
              <w:spacing w:line="360" w:lineRule="auto"/>
              <w:ind w:firstLine="480" w:firstLineChars="200"/>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生活污水经</w:t>
            </w:r>
            <w:r>
              <w:rPr>
                <w:rFonts w:ascii="Times New Roman" w:hAnsi="Times New Roman" w:eastAsia="宋体" w:cs="Times New Roman"/>
                <w:color w:val="auto"/>
                <w:sz w:val="24"/>
                <w:szCs w:val="24"/>
              </w:rPr>
              <w:t>化粪池预处理后</w:t>
            </w:r>
            <w:r>
              <w:rPr>
                <w:rFonts w:hint="eastAsia" w:ascii="Times New Roman" w:hAnsi="Times New Roman" w:eastAsia="宋体" w:cs="Times New Roman"/>
                <w:color w:val="auto"/>
                <w:sz w:val="24"/>
                <w:szCs w:val="24"/>
              </w:rPr>
              <w:t>流入八公山污水处理厂处理达到《城镇污水处理厂污染物排放标准》（GB18918-2002）一级A排放标准后排入淮河。</w:t>
            </w:r>
          </w:p>
          <w:p w14:paraId="4DB23938">
            <w:pPr>
              <w:spacing w:line="360" w:lineRule="auto"/>
              <w:ind w:firstLine="480" w:firstLineChars="200"/>
              <w:rPr>
                <w:rFonts w:hint="eastAsia"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本项目</w:t>
            </w:r>
            <w:r>
              <w:rPr>
                <w:rFonts w:hint="eastAsia" w:ascii="Times New Roman" w:hAnsi="Times New Roman" w:eastAsia="宋体" w:cs="Times New Roman"/>
                <w:color w:val="auto"/>
                <w:sz w:val="24"/>
                <w:szCs w:val="24"/>
                <w:lang w:val="en-US" w:eastAsia="zh-CN"/>
              </w:rPr>
              <w:t>产品为汽车零部件</w:t>
            </w:r>
            <w:r>
              <w:rPr>
                <w:rFonts w:hint="eastAsia" w:ascii="Times New Roman" w:hAnsi="Times New Roman" w:eastAsia="宋体" w:cs="Times New Roman"/>
                <w:color w:val="auto"/>
                <w:sz w:val="24"/>
                <w:szCs w:val="24"/>
              </w:rPr>
              <w:t>，属于C</w:t>
            </w:r>
            <w:r>
              <w:rPr>
                <w:rFonts w:hint="eastAsia" w:ascii="Times New Roman" w:hAnsi="Times New Roman" w:eastAsia="宋体" w:cs="Times New Roman"/>
                <w:color w:val="auto"/>
                <w:sz w:val="24"/>
                <w:szCs w:val="24"/>
                <w:lang w:val="en-US" w:eastAsia="zh-CN"/>
              </w:rPr>
              <w:t>3670汽车零部件及配件制造，</w:t>
            </w:r>
            <w:r>
              <w:rPr>
                <w:rFonts w:hint="eastAsia" w:ascii="Times New Roman" w:hAnsi="Times New Roman" w:eastAsia="宋体" w:cs="Times New Roman"/>
                <w:color w:val="auto"/>
                <w:sz w:val="24"/>
                <w:szCs w:val="24"/>
              </w:rPr>
              <w:t xml:space="preserve">根据《排污许可证申请与核发技术规范 </w:t>
            </w:r>
            <w:r>
              <w:rPr>
                <w:rFonts w:hint="eastAsia" w:ascii="Times New Roman" w:hAnsi="Times New Roman" w:eastAsia="宋体" w:cs="Times New Roman"/>
                <w:color w:val="auto"/>
                <w:sz w:val="24"/>
                <w:szCs w:val="24"/>
                <w:lang w:val="en-US" w:eastAsia="zh-CN"/>
              </w:rPr>
              <w:t>汽车制造</w:t>
            </w:r>
            <w:r>
              <w:rPr>
                <w:rFonts w:hint="eastAsia" w:ascii="Times New Roman" w:hAnsi="Times New Roman" w:eastAsia="宋体" w:cs="Times New Roman"/>
                <w:color w:val="auto"/>
                <w:sz w:val="24"/>
                <w:szCs w:val="24"/>
              </w:rPr>
              <w:t xml:space="preserve">业》（HJ </w:t>
            </w:r>
            <w:r>
              <w:rPr>
                <w:rFonts w:hint="eastAsia" w:ascii="Times New Roman" w:hAnsi="Times New Roman" w:eastAsia="宋体" w:cs="Times New Roman"/>
                <w:color w:val="auto"/>
                <w:sz w:val="24"/>
                <w:szCs w:val="24"/>
                <w:lang w:val="en-US" w:eastAsia="zh-CN"/>
              </w:rPr>
              <w:t>971</w:t>
            </w:r>
            <w:r>
              <w:rPr>
                <w:rFonts w:hint="eastAsia" w:ascii="Times New Roman" w:hAnsi="Times New Roman" w:eastAsia="宋体" w:cs="Times New Roman"/>
                <w:color w:val="auto"/>
                <w:sz w:val="24"/>
                <w:szCs w:val="24"/>
              </w:rPr>
              <w:t>—201</w:t>
            </w:r>
            <w:r>
              <w:rPr>
                <w:rFonts w:hint="eastAsia" w:ascii="Times New Roman" w:hAnsi="Times New Roman" w:eastAsia="宋体" w:cs="Times New Roman"/>
                <w:color w:val="auto"/>
                <w:sz w:val="24"/>
                <w:szCs w:val="24"/>
                <w:lang w:val="en-US" w:eastAsia="zh-CN"/>
              </w:rPr>
              <w:t>8</w:t>
            </w:r>
            <w:r>
              <w:rPr>
                <w:rFonts w:hint="eastAsia" w:ascii="Times New Roman" w:hAnsi="Times New Roman" w:eastAsia="宋体" w:cs="Times New Roman"/>
                <w:color w:val="auto"/>
                <w:sz w:val="24"/>
                <w:szCs w:val="24"/>
              </w:rPr>
              <w:t>）中相关废水污染防治可行技术，本项目生活污水治理措施</w:t>
            </w:r>
            <w:r>
              <w:rPr>
                <w:rFonts w:hint="eastAsia" w:ascii="Times New Roman" w:hAnsi="Times New Roman" w:eastAsia="宋体" w:cs="Times New Roman"/>
                <w:color w:val="auto"/>
                <w:sz w:val="24"/>
                <w:szCs w:val="24"/>
                <w:lang w:val="en-US" w:eastAsia="zh-CN"/>
              </w:rPr>
              <w:t>为</w:t>
            </w:r>
            <w:r>
              <w:rPr>
                <w:rFonts w:hint="eastAsia" w:ascii="Times New Roman" w:hAnsi="Times New Roman" w:eastAsia="宋体" w:cs="Times New Roman"/>
                <w:color w:val="auto"/>
                <w:sz w:val="24"/>
                <w:szCs w:val="24"/>
              </w:rPr>
              <w:t>可行性技术，分析见下表。</w:t>
            </w:r>
          </w:p>
          <w:p w14:paraId="26DF3BAF">
            <w:pPr>
              <w:spacing w:line="360" w:lineRule="auto"/>
              <w:jc w:val="center"/>
              <w:textAlignment w:val="baseline"/>
              <w:rPr>
                <w:rFonts w:ascii="Times New Roman" w:hAnsi="Times New Roman" w:eastAsia="黑体" w:cs="Times New Roman"/>
                <w:color w:val="auto"/>
                <w:kern w:val="24"/>
                <w:sz w:val="24"/>
                <w:szCs w:val="24"/>
              </w:rPr>
            </w:pPr>
            <w:r>
              <w:rPr>
                <w:rFonts w:ascii="Times New Roman" w:hAnsi="黑体" w:eastAsia="黑体" w:cs="Times New Roman"/>
                <w:snapToGrid w:val="0"/>
                <w:color w:val="auto"/>
                <w:sz w:val="24"/>
                <w:szCs w:val="24"/>
              </w:rPr>
              <w:t>表</w:t>
            </w:r>
            <w:r>
              <w:rPr>
                <w:rFonts w:hint="eastAsia" w:ascii="Times New Roman" w:hAnsi="黑体" w:eastAsia="黑体" w:cs="Times New Roman"/>
                <w:snapToGrid w:val="0"/>
                <w:color w:val="auto"/>
                <w:sz w:val="24"/>
                <w:szCs w:val="24"/>
              </w:rPr>
              <w:t>4-</w:t>
            </w:r>
            <w:r>
              <w:rPr>
                <w:rFonts w:hint="eastAsia" w:ascii="Times New Roman" w:hAnsi="黑体" w:eastAsia="黑体" w:cs="Times New Roman"/>
                <w:snapToGrid w:val="0"/>
                <w:color w:val="auto"/>
                <w:sz w:val="24"/>
                <w:szCs w:val="24"/>
                <w:lang w:val="en-US" w:eastAsia="zh-CN"/>
              </w:rPr>
              <w:t>2</w:t>
            </w:r>
            <w:r>
              <w:rPr>
                <w:rFonts w:hint="eastAsia" w:ascii="Times New Roman" w:hAnsi="黑体" w:eastAsia="黑体" w:cs="Times New Roman"/>
                <w:snapToGrid w:val="0"/>
                <w:color w:val="auto"/>
                <w:sz w:val="24"/>
                <w:szCs w:val="24"/>
              </w:rPr>
              <w:t xml:space="preserve">  </w:t>
            </w:r>
            <w:r>
              <w:rPr>
                <w:rFonts w:ascii="Times New Roman" w:hAnsi="黑体" w:eastAsia="黑体" w:cs="Times New Roman"/>
                <w:snapToGrid w:val="0"/>
                <w:color w:val="auto"/>
                <w:sz w:val="24"/>
                <w:szCs w:val="24"/>
              </w:rPr>
              <w:t>本项目污水治理设施可行性分析</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69"/>
              <w:gridCol w:w="1969"/>
              <w:gridCol w:w="2058"/>
              <w:gridCol w:w="822"/>
              <w:gridCol w:w="956"/>
              <w:gridCol w:w="1276"/>
            </w:tblGrid>
            <w:tr w14:paraId="73853F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Align w:val="center"/>
                </w:tcPr>
                <w:p w14:paraId="196CBD98">
                  <w:pPr>
                    <w:spacing w:line="276" w:lineRule="auto"/>
                    <w:jc w:val="center"/>
                    <w:rPr>
                      <w:rFonts w:ascii="Times New Roman" w:hAnsi="Times New Roman" w:cs="Times New Roman"/>
                      <w:b/>
                      <w:color w:val="auto"/>
                      <w:sz w:val="21"/>
                      <w:szCs w:val="21"/>
                    </w:rPr>
                  </w:pPr>
                  <w:r>
                    <w:rPr>
                      <w:rFonts w:ascii="Times New Roman" w:hAnsi="Times New Roman" w:cs="Times New Roman"/>
                      <w:b/>
                      <w:color w:val="auto"/>
                      <w:sz w:val="21"/>
                      <w:szCs w:val="21"/>
                    </w:rPr>
                    <w:t>废水类别</w:t>
                  </w:r>
                </w:p>
              </w:tc>
              <w:tc>
                <w:tcPr>
                  <w:tcW w:w="1287" w:type="pct"/>
                  <w:vAlign w:val="center"/>
                </w:tcPr>
                <w:p w14:paraId="009DE846">
                  <w:pPr>
                    <w:spacing w:line="276" w:lineRule="auto"/>
                    <w:jc w:val="center"/>
                    <w:rPr>
                      <w:rFonts w:ascii="Times New Roman" w:hAnsi="Times New Roman" w:cs="Times New Roman"/>
                      <w:b/>
                      <w:color w:val="auto"/>
                      <w:sz w:val="21"/>
                      <w:szCs w:val="21"/>
                    </w:rPr>
                  </w:pPr>
                  <w:r>
                    <w:rPr>
                      <w:rFonts w:ascii="Times New Roman" w:hAnsi="Times New Roman" w:cs="Times New Roman"/>
                      <w:b/>
                      <w:color w:val="auto"/>
                      <w:sz w:val="21"/>
                      <w:szCs w:val="21"/>
                    </w:rPr>
                    <w:t>污染物项目</w:t>
                  </w:r>
                </w:p>
              </w:tc>
              <w:tc>
                <w:tcPr>
                  <w:tcW w:w="1345" w:type="pct"/>
                  <w:vAlign w:val="center"/>
                </w:tcPr>
                <w:p w14:paraId="3654E11C">
                  <w:pPr>
                    <w:spacing w:line="276" w:lineRule="auto"/>
                    <w:jc w:val="center"/>
                    <w:rPr>
                      <w:rFonts w:ascii="Times New Roman" w:hAnsi="Times New Roman" w:cs="Times New Roman"/>
                      <w:b/>
                      <w:color w:val="auto"/>
                      <w:sz w:val="21"/>
                      <w:szCs w:val="21"/>
                    </w:rPr>
                  </w:pPr>
                  <w:r>
                    <w:rPr>
                      <w:rFonts w:ascii="Times New Roman" w:hAnsi="Times New Roman" w:cs="Times New Roman"/>
                      <w:b/>
                      <w:color w:val="auto"/>
                      <w:sz w:val="21"/>
                      <w:szCs w:val="21"/>
                    </w:rPr>
                    <w:t>污染治理设施名称</w:t>
                  </w:r>
                </w:p>
              </w:tc>
              <w:tc>
                <w:tcPr>
                  <w:tcW w:w="537" w:type="pct"/>
                  <w:vAlign w:val="center"/>
                </w:tcPr>
                <w:p w14:paraId="2E9D16F8">
                  <w:pPr>
                    <w:spacing w:line="276" w:lineRule="auto"/>
                    <w:jc w:val="center"/>
                    <w:rPr>
                      <w:rFonts w:ascii="Times New Roman" w:hAnsi="Times New Roman" w:cs="Times New Roman"/>
                      <w:b/>
                      <w:color w:val="auto"/>
                      <w:sz w:val="21"/>
                      <w:szCs w:val="21"/>
                    </w:rPr>
                  </w:pPr>
                  <w:r>
                    <w:rPr>
                      <w:rFonts w:ascii="Times New Roman" w:hAnsi="Times New Roman" w:cs="Times New Roman"/>
                      <w:b/>
                      <w:color w:val="auto"/>
                      <w:sz w:val="21"/>
                      <w:szCs w:val="21"/>
                    </w:rPr>
                    <w:t>本项目</w:t>
                  </w:r>
                  <w:r>
                    <w:rPr>
                      <w:rFonts w:hint="eastAsia" w:ascii="Times New Roman" w:hAnsi="Times New Roman" w:cs="Times New Roman"/>
                      <w:b/>
                      <w:color w:val="auto"/>
                      <w:sz w:val="21"/>
                      <w:szCs w:val="21"/>
                    </w:rPr>
                    <w:t>情况</w:t>
                  </w:r>
                </w:p>
              </w:tc>
              <w:tc>
                <w:tcPr>
                  <w:tcW w:w="625" w:type="pct"/>
                  <w:vAlign w:val="center"/>
                </w:tcPr>
                <w:p w14:paraId="6B124C74">
                  <w:pPr>
                    <w:spacing w:line="276" w:lineRule="auto"/>
                    <w:jc w:val="center"/>
                    <w:rPr>
                      <w:rFonts w:ascii="Times New Roman" w:hAnsi="Times New Roman" w:cs="Times New Roman"/>
                      <w:b/>
                      <w:color w:val="auto"/>
                      <w:sz w:val="21"/>
                      <w:szCs w:val="21"/>
                    </w:rPr>
                  </w:pPr>
                  <w:r>
                    <w:rPr>
                      <w:rFonts w:ascii="Times New Roman" w:hAnsi="Times New Roman" w:cs="Times New Roman"/>
                      <w:b/>
                      <w:color w:val="auto"/>
                      <w:sz w:val="21"/>
                      <w:szCs w:val="21"/>
                    </w:rPr>
                    <w:t>是否为可行性技术</w:t>
                  </w:r>
                </w:p>
              </w:tc>
              <w:tc>
                <w:tcPr>
                  <w:tcW w:w="835" w:type="pct"/>
                  <w:vAlign w:val="center"/>
                </w:tcPr>
                <w:p w14:paraId="24C16922">
                  <w:pPr>
                    <w:spacing w:line="276" w:lineRule="auto"/>
                    <w:jc w:val="center"/>
                    <w:rPr>
                      <w:rFonts w:ascii="Times New Roman" w:hAnsi="Times New Roman" w:cs="Times New Roman"/>
                      <w:b/>
                      <w:color w:val="auto"/>
                      <w:sz w:val="21"/>
                      <w:szCs w:val="21"/>
                    </w:rPr>
                  </w:pPr>
                  <w:r>
                    <w:rPr>
                      <w:rFonts w:ascii="Times New Roman" w:hAnsi="Times New Roman" w:cs="Times New Roman"/>
                      <w:b/>
                      <w:color w:val="auto"/>
                      <w:sz w:val="21"/>
                      <w:szCs w:val="21"/>
                    </w:rPr>
                    <w:t>排放去向</w:t>
                  </w:r>
                </w:p>
              </w:tc>
            </w:tr>
            <w:tr w14:paraId="3C422C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vAlign w:val="center"/>
                </w:tcPr>
                <w:p w14:paraId="5A934D63">
                  <w:pPr>
                    <w:spacing w:line="276" w:lineRule="auto"/>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生活污水</w:t>
                  </w:r>
                </w:p>
              </w:tc>
              <w:tc>
                <w:tcPr>
                  <w:tcW w:w="1287" w:type="pct"/>
                  <w:vAlign w:val="center"/>
                </w:tcPr>
                <w:p w14:paraId="50897CE5">
                  <w:pPr>
                    <w:spacing w:line="276"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pH值、</w:t>
                  </w:r>
                  <w:r>
                    <w:rPr>
                      <w:rFonts w:hint="eastAsia" w:ascii="Times New Roman" w:hAnsi="Times New Roman" w:cs="Times New Roman"/>
                      <w:color w:val="auto"/>
                      <w:sz w:val="21"/>
                      <w:szCs w:val="21"/>
                    </w:rPr>
                    <w:t>化学需氧量、悬浮物、五日生化需氧量、氨氮</w:t>
                  </w:r>
                </w:p>
              </w:tc>
              <w:tc>
                <w:tcPr>
                  <w:tcW w:w="1345" w:type="pct"/>
                  <w:vAlign w:val="center"/>
                </w:tcPr>
                <w:p w14:paraId="5619C43F">
                  <w:pPr>
                    <w:spacing w:line="276" w:lineRule="auto"/>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生活污水处理设施：</w:t>
                  </w:r>
                  <w:r>
                    <w:rPr>
                      <w:rFonts w:ascii="Times New Roman" w:hAnsi="Times New Roman" w:cs="Times New Roman"/>
                      <w:color w:val="auto"/>
                      <w:sz w:val="21"/>
                      <w:szCs w:val="21"/>
                    </w:rPr>
                    <w:t>调节池、好氧生物处理、消毒、其他</w:t>
                  </w:r>
                </w:p>
              </w:tc>
              <w:tc>
                <w:tcPr>
                  <w:tcW w:w="537" w:type="pct"/>
                  <w:vAlign w:val="center"/>
                </w:tcPr>
                <w:p w14:paraId="15230A30">
                  <w:pPr>
                    <w:spacing w:line="276"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化粪池</w:t>
                  </w:r>
                </w:p>
              </w:tc>
              <w:tc>
                <w:tcPr>
                  <w:tcW w:w="625" w:type="pct"/>
                  <w:vAlign w:val="center"/>
                </w:tcPr>
                <w:p w14:paraId="5940BCC6">
                  <w:pPr>
                    <w:spacing w:line="276"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是</w:t>
                  </w:r>
                </w:p>
              </w:tc>
              <w:tc>
                <w:tcPr>
                  <w:tcW w:w="835" w:type="pct"/>
                  <w:vAlign w:val="center"/>
                </w:tcPr>
                <w:p w14:paraId="6B9ADB12">
                  <w:pPr>
                    <w:spacing w:line="276" w:lineRule="auto"/>
                    <w:jc w:val="center"/>
                    <w:rPr>
                      <w:rFonts w:ascii="Times New Roman" w:hAnsi="Times New Roman" w:cs="Times New Roman"/>
                      <w:color w:val="auto"/>
                      <w:sz w:val="21"/>
                      <w:szCs w:val="21"/>
                    </w:rPr>
                  </w:pPr>
                  <w:r>
                    <w:rPr>
                      <w:rFonts w:ascii="Times New Roman" w:hAnsi="Times New Roman" w:cs="Times New Roman"/>
                      <w:color w:val="auto"/>
                      <w:sz w:val="21"/>
                      <w:szCs w:val="21"/>
                    </w:rPr>
                    <w:t>市政污水处理厂</w:t>
                  </w:r>
                </w:p>
              </w:tc>
            </w:tr>
          </w:tbl>
          <w:p w14:paraId="1DD3D729">
            <w:pPr>
              <w:spacing w:line="360" w:lineRule="auto"/>
              <w:ind w:firstLine="482" w:firstLineChars="200"/>
              <w:jc w:val="left"/>
              <w:rPr>
                <w:rFonts w:ascii="Times New Roman" w:hAnsi="Times New Roman"/>
                <w:b/>
                <w:color w:val="auto"/>
                <w:sz w:val="24"/>
                <w:szCs w:val="24"/>
              </w:rPr>
            </w:pPr>
            <w:r>
              <w:rPr>
                <w:rFonts w:hint="eastAsia" w:ascii="Times New Roman" w:hAnsi="Times New Roman"/>
                <w:b/>
                <w:color w:val="auto"/>
                <w:sz w:val="24"/>
                <w:szCs w:val="24"/>
              </w:rPr>
              <w:t>（2）污水依托</w:t>
            </w:r>
            <w:r>
              <w:rPr>
                <w:rFonts w:ascii="Times New Roman" w:hAnsi="Times New Roman"/>
                <w:b/>
                <w:color w:val="auto"/>
                <w:sz w:val="24"/>
                <w:szCs w:val="24"/>
              </w:rPr>
              <w:t>八公山污水处理站</w:t>
            </w:r>
            <w:r>
              <w:rPr>
                <w:rFonts w:hint="eastAsia" w:ascii="Times New Roman" w:hAnsi="Times New Roman"/>
                <w:b/>
                <w:color w:val="auto"/>
                <w:sz w:val="24"/>
                <w:szCs w:val="24"/>
              </w:rPr>
              <w:t>处理可行性分析</w:t>
            </w:r>
          </w:p>
          <w:p w14:paraId="48C78EAC">
            <w:pPr>
              <w:spacing w:line="360" w:lineRule="auto"/>
              <w:ind w:firstLine="480" w:firstLineChars="200"/>
              <w:jc w:val="left"/>
              <w:rPr>
                <w:rFonts w:ascii="Times New Roman" w:hAnsi="Times New Roman" w:eastAsia="宋体" w:cs="Times New Roman"/>
                <w:bCs/>
                <w:color w:val="auto"/>
                <w:sz w:val="24"/>
                <w:szCs w:val="24"/>
              </w:rPr>
            </w:pPr>
            <w:r>
              <w:rPr>
                <w:rFonts w:hint="eastAsia" w:ascii="Times New Roman" w:hAnsi="Times New Roman" w:eastAsia="宋体" w:cs="宋体"/>
                <w:bCs/>
                <w:color w:val="auto"/>
                <w:sz w:val="24"/>
                <w:szCs w:val="24"/>
              </w:rPr>
              <w:t>①</w:t>
            </w:r>
            <w:r>
              <w:rPr>
                <w:rFonts w:ascii="Times New Roman" w:hAnsi="Times New Roman" w:eastAsia="宋体" w:cs="Times New Roman"/>
                <w:bCs/>
                <w:color w:val="auto"/>
                <w:sz w:val="24"/>
                <w:szCs w:val="24"/>
              </w:rPr>
              <w:t>污水接管可行性分析</w:t>
            </w:r>
          </w:p>
          <w:p w14:paraId="4FC6E51D">
            <w:pPr>
              <w:spacing w:line="360" w:lineRule="auto"/>
              <w:ind w:firstLine="480" w:firstLineChars="200"/>
              <w:rPr>
                <w:rFonts w:ascii="Times New Roman" w:hAnsi="Times New Roman" w:cs="Times New Roman"/>
                <w:color w:val="auto"/>
                <w:sz w:val="24"/>
                <w:szCs w:val="24"/>
              </w:rPr>
            </w:pPr>
            <w:r>
              <w:rPr>
                <w:rFonts w:ascii="Times New Roman" w:hAnsi="Times New Roman" w:cs="Times New Roman" w:eastAsiaTheme="majorEastAsia"/>
                <w:color w:val="auto"/>
                <w:sz w:val="24"/>
                <w:szCs w:val="24"/>
              </w:rPr>
              <w:t>八公山污水处理厂位于淮南市八公山区北郊，厂区东临蔡新路，北临皖淮机械厂铁路专用线，占地约8.36hm</w:t>
            </w:r>
            <w:r>
              <w:rPr>
                <w:rFonts w:ascii="Times New Roman" w:hAnsi="Times New Roman" w:cs="Times New Roman" w:eastAsiaTheme="majorEastAsia"/>
                <w:color w:val="auto"/>
                <w:sz w:val="24"/>
                <w:szCs w:val="24"/>
                <w:vertAlign w:val="superscript"/>
              </w:rPr>
              <w:t>2</w:t>
            </w:r>
            <w:r>
              <w:rPr>
                <w:rFonts w:ascii="Times New Roman" w:hAnsi="Times New Roman" w:cs="Times New Roman" w:eastAsiaTheme="majorEastAsia"/>
                <w:color w:val="auto"/>
                <w:sz w:val="24"/>
                <w:szCs w:val="24"/>
              </w:rPr>
              <w:t>。负责淮南市西部地区的污水处理，即谢家集区和八公山区，区域土地面积378.7km</w:t>
            </w:r>
            <w:r>
              <w:rPr>
                <w:rFonts w:ascii="Times New Roman" w:hAnsi="Times New Roman" w:cs="Times New Roman" w:eastAsiaTheme="majorEastAsia"/>
                <w:color w:val="auto"/>
                <w:sz w:val="24"/>
                <w:szCs w:val="24"/>
                <w:vertAlign w:val="superscript"/>
              </w:rPr>
              <w:t>2</w:t>
            </w:r>
            <w:r>
              <w:rPr>
                <w:rFonts w:ascii="Times New Roman" w:hAnsi="Times New Roman" w:cs="Times New Roman" w:eastAsiaTheme="majorEastAsia"/>
                <w:color w:val="auto"/>
                <w:sz w:val="24"/>
                <w:szCs w:val="24"/>
              </w:rPr>
              <w:t>，建成区面积约30.4km</w:t>
            </w:r>
            <w:r>
              <w:rPr>
                <w:rFonts w:ascii="Times New Roman" w:hAnsi="Times New Roman" w:cs="Times New Roman" w:eastAsiaTheme="majorEastAsia"/>
                <w:color w:val="auto"/>
                <w:sz w:val="24"/>
                <w:szCs w:val="24"/>
                <w:vertAlign w:val="superscript"/>
              </w:rPr>
              <w:t>2</w:t>
            </w:r>
            <w:r>
              <w:rPr>
                <w:rFonts w:ascii="Times New Roman" w:hAnsi="Times New Roman" w:cs="Times New Roman" w:eastAsiaTheme="majorEastAsia"/>
                <w:color w:val="auto"/>
                <w:sz w:val="24"/>
                <w:szCs w:val="24"/>
              </w:rPr>
              <w:t>，服务人口约50万人，该厂污水日处理设计能力为10万m</w:t>
            </w:r>
            <w:r>
              <w:rPr>
                <w:rFonts w:ascii="Times New Roman" w:hAnsi="Times New Roman" w:cs="Times New Roman" w:eastAsiaTheme="majorEastAsia"/>
                <w:color w:val="auto"/>
                <w:sz w:val="24"/>
                <w:szCs w:val="24"/>
                <w:vertAlign w:val="superscript"/>
              </w:rPr>
              <w:t>3</w:t>
            </w:r>
            <w:r>
              <w:rPr>
                <w:rFonts w:ascii="Times New Roman" w:hAnsi="Times New Roman" w:cs="Times New Roman" w:eastAsiaTheme="majorEastAsia"/>
                <w:color w:val="auto"/>
                <w:sz w:val="24"/>
                <w:szCs w:val="24"/>
              </w:rPr>
              <w:t>/d，于2009年11月建成并投入试运行，2010年6月转让给淮南首创水务公司，目前实际处理污水规模6-7万m</w:t>
            </w:r>
            <w:r>
              <w:rPr>
                <w:rFonts w:ascii="Times New Roman" w:hAnsi="Times New Roman" w:cs="Times New Roman" w:eastAsiaTheme="majorEastAsia"/>
                <w:color w:val="auto"/>
                <w:sz w:val="24"/>
                <w:szCs w:val="24"/>
                <w:vertAlign w:val="superscript"/>
              </w:rPr>
              <w:t>3</w:t>
            </w:r>
            <w:r>
              <w:rPr>
                <w:rFonts w:ascii="Times New Roman" w:hAnsi="Times New Roman" w:cs="Times New Roman" w:eastAsiaTheme="majorEastAsia"/>
                <w:color w:val="auto"/>
                <w:sz w:val="24"/>
                <w:szCs w:val="24"/>
              </w:rPr>
              <w:t>/d，设计出水按《城镇污水处理厂污染物排放标准》(GB18918-2002)一级A标准。处理工艺是氧化沟工艺，现有工艺单元包括：粗格栅、提升泵站、细格栅、沉砂池、配水井、选择厌氧池和氧化沟、终沉池、污泥泵房和脱水机房等组成。</w:t>
            </w:r>
            <w:r>
              <w:rPr>
                <w:rFonts w:ascii="Times New Roman" w:hAnsi="Times New Roman" w:cs="Times New Roman" w:eastAsiaTheme="majorEastAsia"/>
                <w:color w:val="auto"/>
                <w:sz w:val="24"/>
                <w:szCs w:val="24"/>
                <w:shd w:val="clear" w:color="auto" w:fill="FFFFFF"/>
              </w:rPr>
              <w:t>本项目位于安徽省淮南市</w:t>
            </w:r>
            <w:r>
              <w:rPr>
                <w:rFonts w:hint="eastAsia" w:ascii="Times New Roman" w:hAnsi="Times New Roman" w:cs="Times New Roman" w:eastAsiaTheme="majorEastAsia"/>
                <w:color w:val="auto"/>
                <w:sz w:val="24"/>
                <w:szCs w:val="24"/>
                <w:shd w:val="clear" w:color="auto" w:fill="FFFFFF"/>
              </w:rPr>
              <w:t>谢家集</w:t>
            </w:r>
            <w:r>
              <w:rPr>
                <w:rFonts w:ascii="Times New Roman" w:hAnsi="Times New Roman" w:cs="Times New Roman" w:eastAsiaTheme="majorEastAsia"/>
                <w:color w:val="auto"/>
                <w:sz w:val="24"/>
                <w:szCs w:val="24"/>
                <w:shd w:val="clear" w:color="auto" w:fill="FFFFFF"/>
              </w:rPr>
              <w:t>区，属于八公山污水处理厂纳水范围内，</w:t>
            </w:r>
            <w:r>
              <w:rPr>
                <w:rFonts w:ascii="Times New Roman" w:hAnsi="Times New Roman" w:cs="Times New Roman"/>
                <w:color w:val="auto"/>
                <w:sz w:val="24"/>
                <w:szCs w:val="24"/>
              </w:rPr>
              <w:t>污水水质成分简单，且污水管网已经接通至项目厂区，因此从收水范围角度，本项目污水可以接管</w:t>
            </w:r>
            <w:r>
              <w:rPr>
                <w:rFonts w:hint="eastAsia" w:ascii="Times New Roman" w:hAnsi="Times New Roman" w:cs="Times New Roman"/>
                <w:color w:val="auto"/>
                <w:sz w:val="24"/>
                <w:szCs w:val="24"/>
              </w:rPr>
              <w:t>。</w:t>
            </w:r>
          </w:p>
          <w:p w14:paraId="59F838E0">
            <w:pPr>
              <w:spacing w:line="360" w:lineRule="auto"/>
              <w:ind w:firstLine="480" w:firstLineChars="200"/>
              <w:rPr>
                <w:rFonts w:ascii="Times New Roman" w:hAnsi="Times New Roman" w:cs="Times New Roman"/>
                <w:color w:val="auto"/>
                <w:sz w:val="24"/>
                <w:szCs w:val="24"/>
              </w:rPr>
            </w:pPr>
            <w:r>
              <w:rPr>
                <w:rFonts w:hint="eastAsia" w:ascii="Times New Roman" w:hAnsi="Times New Roman" w:eastAsia="宋体" w:cs="宋体"/>
                <w:color w:val="auto"/>
                <w:sz w:val="24"/>
                <w:szCs w:val="24"/>
              </w:rPr>
              <w:t>②</w:t>
            </w:r>
            <w:r>
              <w:rPr>
                <w:rFonts w:ascii="Times New Roman" w:hAnsi="Times New Roman" w:cs="Times New Roman"/>
                <w:color w:val="auto"/>
                <w:sz w:val="24"/>
                <w:szCs w:val="24"/>
              </w:rPr>
              <w:t>八公山污水处理</w:t>
            </w:r>
            <w:r>
              <w:rPr>
                <w:rFonts w:hint="eastAsia" w:ascii="Times New Roman" w:hAnsi="Times New Roman" w:cs="Times New Roman"/>
                <w:color w:val="auto"/>
                <w:sz w:val="24"/>
                <w:szCs w:val="24"/>
              </w:rPr>
              <w:t>厂</w:t>
            </w:r>
            <w:r>
              <w:rPr>
                <w:rFonts w:ascii="Times New Roman" w:hAnsi="Times New Roman" w:cs="Times New Roman"/>
                <w:color w:val="auto"/>
                <w:sz w:val="24"/>
                <w:szCs w:val="24"/>
              </w:rPr>
              <w:t>污水处理能力可行性分析</w:t>
            </w:r>
          </w:p>
          <w:p w14:paraId="11D3D237">
            <w:pPr>
              <w:spacing w:line="360" w:lineRule="auto"/>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本项目排入八公山污水处理</w:t>
            </w:r>
            <w:r>
              <w:rPr>
                <w:rFonts w:hint="eastAsia" w:ascii="Times New Roman" w:hAnsi="Times New Roman" w:cs="Times New Roman"/>
                <w:color w:val="auto"/>
                <w:sz w:val="24"/>
                <w:szCs w:val="24"/>
              </w:rPr>
              <w:t>厂</w:t>
            </w:r>
            <w:r>
              <w:rPr>
                <w:rFonts w:ascii="Times New Roman" w:hAnsi="Times New Roman" w:cs="Times New Roman"/>
                <w:color w:val="auto"/>
                <w:sz w:val="24"/>
                <w:szCs w:val="24"/>
              </w:rPr>
              <w:t>的废水总量约</w:t>
            </w:r>
            <w:r>
              <w:rPr>
                <w:rFonts w:hint="eastAsia" w:ascii="Times New Roman" w:hAnsi="Times New Roman" w:cs="Times New Roman"/>
                <w:color w:val="auto"/>
                <w:sz w:val="24"/>
                <w:szCs w:val="24"/>
              </w:rPr>
              <w:t>2.55</w:t>
            </w:r>
            <w:r>
              <w:rPr>
                <w:rFonts w:ascii="Times New Roman" w:hAnsi="Times New Roman" w:cs="Times New Roman"/>
                <w:color w:val="auto"/>
                <w:sz w:val="24"/>
                <w:szCs w:val="24"/>
              </w:rPr>
              <w:t>m</w:t>
            </w:r>
            <w:r>
              <w:rPr>
                <w:rFonts w:ascii="Times New Roman" w:hAnsi="Times New Roman" w:cs="Times New Roman"/>
                <w:color w:val="auto"/>
                <w:sz w:val="24"/>
                <w:szCs w:val="24"/>
                <w:vertAlign w:val="superscript"/>
              </w:rPr>
              <w:t>3</w:t>
            </w:r>
            <w:r>
              <w:rPr>
                <w:rFonts w:ascii="Times New Roman" w:hAnsi="Times New Roman" w:cs="Times New Roman"/>
                <w:color w:val="auto"/>
                <w:sz w:val="24"/>
                <w:szCs w:val="24"/>
              </w:rPr>
              <w:t>/d，</w:t>
            </w:r>
            <w:r>
              <w:rPr>
                <w:rFonts w:hint="eastAsia" w:ascii="Times New Roman" w:hAnsi="Times New Roman" w:cs="Times New Roman"/>
                <w:color w:val="auto"/>
                <w:sz w:val="24"/>
                <w:szCs w:val="24"/>
              </w:rPr>
              <w:t>根据调查，污水处理厂有足够的余量，</w:t>
            </w:r>
            <w:r>
              <w:rPr>
                <w:rFonts w:ascii="Times New Roman" w:hAnsi="Times New Roman" w:cs="Times New Roman"/>
                <w:color w:val="auto"/>
                <w:sz w:val="24"/>
                <w:szCs w:val="24"/>
              </w:rPr>
              <w:t>八公山污水处理</w:t>
            </w:r>
            <w:r>
              <w:rPr>
                <w:rFonts w:hint="eastAsia" w:ascii="Times New Roman" w:hAnsi="Times New Roman" w:cs="Times New Roman"/>
                <w:color w:val="auto"/>
                <w:sz w:val="24"/>
                <w:szCs w:val="24"/>
              </w:rPr>
              <w:t>厂</w:t>
            </w:r>
            <w:r>
              <w:rPr>
                <w:rFonts w:ascii="Times New Roman" w:hAnsi="Times New Roman" w:cs="Times New Roman"/>
                <w:color w:val="auto"/>
                <w:sz w:val="24"/>
                <w:szCs w:val="24"/>
              </w:rPr>
              <w:t>在设计规模上可以接纳本项目产生的废水。</w:t>
            </w:r>
          </w:p>
          <w:p w14:paraId="499CC879">
            <w:pPr>
              <w:spacing w:line="360" w:lineRule="auto"/>
              <w:ind w:firstLine="480" w:firstLineChars="200"/>
              <w:rPr>
                <w:rFonts w:ascii="Times New Roman" w:hAnsi="Times New Roman" w:eastAsia="宋体" w:cs="Times New Roman"/>
                <w:bCs/>
                <w:color w:val="auto"/>
                <w:sz w:val="24"/>
                <w:szCs w:val="24"/>
              </w:rPr>
            </w:pPr>
            <w:r>
              <w:rPr>
                <w:rFonts w:ascii="Times New Roman" w:hAnsi="Times New Roman" w:cs="Times New Roman"/>
                <w:color w:val="auto"/>
                <w:sz w:val="24"/>
                <w:szCs w:val="24"/>
              </w:rPr>
              <w:t>八公山污水处理</w:t>
            </w:r>
            <w:r>
              <w:rPr>
                <w:rFonts w:hint="eastAsia" w:ascii="Times New Roman" w:hAnsi="Times New Roman" w:cs="Times New Roman"/>
                <w:color w:val="auto"/>
                <w:sz w:val="24"/>
                <w:szCs w:val="24"/>
              </w:rPr>
              <w:t>厂</w:t>
            </w:r>
            <w:r>
              <w:rPr>
                <w:rFonts w:ascii="Times New Roman" w:hAnsi="Times New Roman" w:cs="Times New Roman"/>
                <w:color w:val="auto"/>
                <w:sz w:val="24"/>
                <w:szCs w:val="24"/>
              </w:rPr>
              <w:t>处理</w:t>
            </w:r>
            <w:r>
              <w:rPr>
                <w:rFonts w:ascii="Times New Roman" w:hAnsi="Times New Roman" w:eastAsia="宋体" w:cs="Times New Roman"/>
                <w:bCs/>
                <w:color w:val="auto"/>
                <w:sz w:val="24"/>
                <w:szCs w:val="24"/>
              </w:rPr>
              <w:t>工艺流程详见下图：</w:t>
            </w:r>
          </w:p>
          <w:p w14:paraId="003D9B45">
            <w:pPr>
              <w:spacing w:line="360" w:lineRule="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drawing>
                <wp:inline distT="0" distB="0" distL="0" distR="0">
                  <wp:extent cx="4832985" cy="948055"/>
                  <wp:effectExtent l="19050" t="0" r="5663" b="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noChangeArrowheads="1"/>
                          </pic:cNvPicPr>
                        </pic:nvPicPr>
                        <pic:blipFill>
                          <a:blip r:embed="rId11" cstate="print"/>
                          <a:srcRect/>
                          <a:stretch>
                            <a:fillRect/>
                          </a:stretch>
                        </pic:blipFill>
                        <pic:spPr>
                          <a:xfrm>
                            <a:off x="0" y="0"/>
                            <a:ext cx="4833570" cy="948666"/>
                          </a:xfrm>
                          <a:prstGeom prst="rect">
                            <a:avLst/>
                          </a:prstGeom>
                          <a:noFill/>
                          <a:ln w="9525">
                            <a:noFill/>
                            <a:miter lim="800000"/>
                            <a:headEnd/>
                            <a:tailEnd/>
                          </a:ln>
                        </pic:spPr>
                      </pic:pic>
                    </a:graphicData>
                  </a:graphic>
                </wp:inline>
              </w:drawing>
            </w:r>
          </w:p>
          <w:p w14:paraId="1771FFEC">
            <w:pPr>
              <w:spacing w:line="360" w:lineRule="auto"/>
              <w:jc w:val="center"/>
              <w:rPr>
                <w:rFonts w:ascii="Times New Roman" w:hAnsi="Times New Roman" w:eastAsia="黑体" w:cs="Times New Roman"/>
                <w:bCs/>
                <w:color w:val="auto"/>
                <w:sz w:val="24"/>
                <w:szCs w:val="24"/>
              </w:rPr>
            </w:pPr>
            <w:r>
              <w:rPr>
                <w:rFonts w:ascii="Times New Roman" w:hAnsi="Times New Roman" w:eastAsia="黑体" w:cs="Times New Roman"/>
                <w:bCs/>
                <w:color w:val="auto"/>
                <w:sz w:val="24"/>
                <w:szCs w:val="24"/>
              </w:rPr>
              <w:t>图4-</w:t>
            </w:r>
            <w:r>
              <w:rPr>
                <w:rFonts w:hint="eastAsia" w:ascii="Times New Roman" w:hAnsi="Times New Roman" w:eastAsia="黑体" w:cs="Times New Roman"/>
                <w:bCs/>
                <w:color w:val="auto"/>
                <w:sz w:val="24"/>
                <w:szCs w:val="24"/>
              </w:rPr>
              <w:t xml:space="preserve">1  </w:t>
            </w:r>
            <w:r>
              <w:rPr>
                <w:rFonts w:ascii="Times New Roman" w:hAnsi="Times New Roman" w:eastAsia="黑体" w:cs="Times New Roman"/>
                <w:bCs/>
                <w:color w:val="auto"/>
                <w:sz w:val="24"/>
                <w:szCs w:val="24"/>
              </w:rPr>
              <w:t>八公山污水处理</w:t>
            </w:r>
            <w:r>
              <w:rPr>
                <w:rFonts w:hint="eastAsia" w:ascii="Times New Roman" w:hAnsi="Times New Roman" w:eastAsia="黑体" w:cs="Times New Roman"/>
                <w:bCs/>
                <w:color w:val="auto"/>
                <w:sz w:val="24"/>
                <w:szCs w:val="24"/>
              </w:rPr>
              <w:t>厂工艺</w:t>
            </w:r>
            <w:r>
              <w:rPr>
                <w:rFonts w:ascii="Times New Roman" w:hAnsi="Times New Roman" w:eastAsia="黑体" w:cs="Times New Roman"/>
                <w:bCs/>
                <w:color w:val="auto"/>
                <w:sz w:val="24"/>
                <w:szCs w:val="24"/>
              </w:rPr>
              <w:t>流程图</w:t>
            </w:r>
          </w:p>
          <w:p w14:paraId="551011AE">
            <w:pPr>
              <w:spacing w:line="360" w:lineRule="auto"/>
              <w:ind w:firstLine="480" w:firstLineChars="200"/>
              <w:jc w:val="lef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八公山污水处理</w:t>
            </w:r>
            <w:r>
              <w:rPr>
                <w:rFonts w:hint="eastAsia" w:ascii="Times New Roman" w:hAnsi="Times New Roman" w:eastAsia="宋体" w:cs="Times New Roman"/>
                <w:bCs/>
                <w:color w:val="auto"/>
                <w:sz w:val="24"/>
                <w:szCs w:val="24"/>
              </w:rPr>
              <w:t>厂</w:t>
            </w:r>
            <w:r>
              <w:rPr>
                <w:rFonts w:ascii="Times New Roman" w:hAnsi="Times New Roman" w:eastAsia="宋体" w:cs="Times New Roman"/>
                <w:bCs/>
                <w:color w:val="auto"/>
                <w:sz w:val="24"/>
                <w:szCs w:val="24"/>
              </w:rPr>
              <w:t>工艺流程简述</w:t>
            </w:r>
            <w:r>
              <w:rPr>
                <w:rFonts w:hint="eastAsia" w:ascii="Times New Roman" w:hAnsi="Times New Roman" w:eastAsia="宋体" w:cs="Times New Roman"/>
                <w:bCs/>
                <w:color w:val="auto"/>
                <w:sz w:val="24"/>
                <w:szCs w:val="24"/>
              </w:rPr>
              <w:t>：污水处理厂污水分别经粗格栅、细格栅、沉砂池预处理后由厌氧池、氧化沟进行生化处理，污水经厌氧池、氧化沟和二沉池处理后排放，二沉池污泥一部分回流至厌氧沟，剩余污泥经浓缩脱水一体化设备浓缩脱水为泥饼后外运。</w:t>
            </w:r>
          </w:p>
          <w:p w14:paraId="79C76ACC">
            <w:pPr>
              <w:spacing w:line="360" w:lineRule="auto"/>
              <w:ind w:firstLine="480" w:firstLineChars="200"/>
              <w:jc w:val="left"/>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（3）</w:t>
            </w:r>
            <w:r>
              <w:rPr>
                <w:rFonts w:hint="eastAsia" w:ascii="Times New Roman" w:hAnsi="Times New Roman" w:eastAsia="宋体" w:cs="Times New Roman"/>
                <w:bCs/>
                <w:color w:val="auto"/>
                <w:sz w:val="24"/>
                <w:szCs w:val="24"/>
                <w:lang w:val="en-US" w:eastAsia="zh-CN"/>
              </w:rPr>
              <w:t>水帘漆雾废水回用</w:t>
            </w:r>
            <w:r>
              <w:rPr>
                <w:rFonts w:hint="eastAsia" w:ascii="Times New Roman" w:hAnsi="Times New Roman" w:eastAsia="宋体" w:cs="Times New Roman"/>
                <w:bCs/>
                <w:color w:val="auto"/>
                <w:sz w:val="24"/>
                <w:szCs w:val="24"/>
              </w:rPr>
              <w:t>可行性分析</w:t>
            </w:r>
          </w:p>
          <w:p w14:paraId="68B84CAF">
            <w:pPr>
              <w:spacing w:line="360" w:lineRule="auto"/>
              <w:ind w:firstLine="480" w:firstLineChars="200"/>
              <w:jc w:val="left"/>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①水帘漆雾废水处理工艺可行性分析</w:t>
            </w:r>
          </w:p>
          <w:p w14:paraId="55D53AF6">
            <w:pPr>
              <w:spacing w:line="360" w:lineRule="auto"/>
              <w:ind w:firstLine="480" w:firstLineChars="200"/>
              <w:jc w:val="left"/>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本项目喷漆水帘柜水幕吸收漆雾，项目每天喷漆工作结束后，喷漆水帘柜循环水池内喷漆废水进入厂区内一体化设备，水帘漆雾废水经采取“絮凝+沉淀”工艺处理后的净水由循环水泵送回水帘柜循环水池循环使用。漆雾凝聚剂可使废水中的油漆悬浮物凝聚成大的絮体并浮于水面，然后将其从水面打捞或刮除与废水分离，从而去除废水中的漆渣。</w:t>
            </w:r>
          </w:p>
          <w:p w14:paraId="5EFD0BD7">
            <w:pPr>
              <w:spacing w:line="360" w:lineRule="auto"/>
              <w:ind w:firstLine="480" w:firstLineChars="200"/>
              <w:jc w:val="left"/>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②水帘漆雾废水水质循环回用的可行性分析</w:t>
            </w:r>
          </w:p>
          <w:p w14:paraId="111FD4D0">
            <w:pPr>
              <w:spacing w:line="360" w:lineRule="auto"/>
              <w:ind w:firstLine="480" w:firstLineChars="200"/>
              <w:jc w:val="left"/>
              <w:rPr>
                <w:rFonts w:hint="eastAsia"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水帘漆雾废水排放量较小，废水里面的主要污染物是非甲烷总烃，水帘漆雾废水科学有效的处理方法是通过特定的设备与针对性的水处理化学品使废水中的污染物不断分离出来，控制水质（包括透视度、浊度、杂质含量、臭味、COD等）在一定的范围之内，达到一定的平衡状态，适合回用于喷淋水幕吸收漆雾。本项目在水帘漆雾废水中加入漆雾凝聚剂，漆雾凝聚剂可使废水中的油漆悬浮物凝聚成大的絮体并浮于水面，然后将其从水面打捞或刮除与油漆废水分离，从而去除水帘漆雾废水中的漆渣，处理后的水质能够满足本项目水幕吸收用水水质要求，从而做到循环回用。</w:t>
            </w:r>
          </w:p>
          <w:p w14:paraId="697096D1">
            <w:pPr>
              <w:spacing w:line="360" w:lineRule="auto"/>
              <w:ind w:firstLine="480" w:firstLineChars="200"/>
              <w:jc w:val="left"/>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③水帘漆雾废水水量循环回用的可行性分析</w:t>
            </w:r>
          </w:p>
          <w:p w14:paraId="4047ED91">
            <w:pPr>
              <w:spacing w:line="360" w:lineRule="auto"/>
              <w:ind w:firstLine="480" w:firstLineChars="200"/>
              <w:jc w:val="left"/>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项目设3个喷漆水帘柜，单个水帘柜循环水池水量为2m</w:t>
            </w:r>
            <w:r>
              <w:rPr>
                <w:rFonts w:hint="eastAsia" w:ascii="Times New Roman" w:hAnsi="Times New Roman" w:eastAsia="宋体" w:cs="Times New Roman"/>
                <w:bCs/>
                <w:color w:val="auto"/>
                <w:sz w:val="24"/>
                <w:szCs w:val="24"/>
                <w:vertAlign w:val="superscript"/>
                <w:lang w:val="en-US" w:eastAsia="zh-CN"/>
              </w:rPr>
              <w:t>3</w:t>
            </w:r>
            <w:r>
              <w:rPr>
                <w:rFonts w:hint="eastAsia" w:ascii="Times New Roman" w:hAnsi="Times New Roman" w:eastAsia="宋体" w:cs="Times New Roman"/>
                <w:bCs/>
                <w:color w:val="auto"/>
                <w:sz w:val="24"/>
                <w:szCs w:val="24"/>
                <w:lang w:val="en-US" w:eastAsia="zh-CN"/>
              </w:rPr>
              <w:t>，3个喷漆水帘柜喷漆废水量共计6m</w:t>
            </w:r>
            <w:r>
              <w:rPr>
                <w:rFonts w:hint="eastAsia" w:ascii="Times New Roman" w:hAnsi="Times New Roman" w:eastAsia="宋体" w:cs="Times New Roman"/>
                <w:bCs/>
                <w:color w:val="auto"/>
                <w:sz w:val="24"/>
                <w:szCs w:val="24"/>
                <w:vertAlign w:val="superscript"/>
                <w:lang w:val="en-US" w:eastAsia="zh-CN"/>
              </w:rPr>
              <w:t>3</w:t>
            </w:r>
            <w:r>
              <w:rPr>
                <w:rFonts w:hint="eastAsia" w:ascii="Times New Roman" w:hAnsi="Times New Roman" w:eastAsia="宋体" w:cs="Times New Roman"/>
                <w:bCs/>
                <w:color w:val="auto"/>
                <w:sz w:val="24"/>
                <w:szCs w:val="24"/>
                <w:lang w:val="en-US" w:eastAsia="zh-CN"/>
              </w:rPr>
              <w:t>/d，废水每天处理一次，项目喷漆废水一体化处理设备设计处理量为8t/d，废水处理量能够满足要求。</w:t>
            </w:r>
          </w:p>
          <w:p w14:paraId="4098D1B2">
            <w:pPr>
              <w:adjustRightInd w:val="0"/>
              <w:snapToGrid w:val="0"/>
              <w:spacing w:before="24" w:line="360" w:lineRule="auto"/>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综上所述，水帘漆雾废水</w:t>
            </w:r>
            <w:r>
              <w:rPr>
                <w:rFonts w:hint="eastAsia" w:ascii="Times New Roman" w:hAnsi="Times New Roman" w:eastAsia="宋体" w:cs="Times New Roman"/>
                <w:bCs/>
                <w:color w:val="auto"/>
                <w:sz w:val="24"/>
                <w:szCs w:val="24"/>
              </w:rPr>
              <w:t>经过絮凝沉淀预处理技术可行。</w:t>
            </w:r>
          </w:p>
          <w:p w14:paraId="75CFC4A3">
            <w:pPr>
              <w:adjustRightInd w:val="0"/>
              <w:snapToGrid w:val="0"/>
              <w:spacing w:before="24" w:line="360" w:lineRule="auto"/>
              <w:ind w:firstLine="482" w:firstLineChars="200"/>
              <w:rPr>
                <w:rFonts w:ascii="Times New Roman" w:hAnsi="Times New Roman" w:cs="Times New Roman"/>
                <w:color w:val="auto"/>
                <w:sz w:val="24"/>
              </w:rPr>
            </w:pPr>
            <w:r>
              <w:rPr>
                <w:rFonts w:hint="eastAsia" w:ascii="Times New Roman" w:hAnsi="Times New Roman"/>
                <w:b/>
                <w:color w:val="auto"/>
                <w:sz w:val="24"/>
                <w:szCs w:val="24"/>
              </w:rPr>
              <w:t>3、监测要求</w:t>
            </w:r>
          </w:p>
          <w:p w14:paraId="4A6FCCC8">
            <w:pPr>
              <w:spacing w:line="360" w:lineRule="auto"/>
              <w:ind w:firstLine="480" w:firstLineChars="200"/>
              <w:rPr>
                <w:rFonts w:ascii="Times New Roman" w:hAnsi="Times New Roman" w:cs="Times New Roman"/>
                <w:color w:val="auto"/>
                <w:sz w:val="24"/>
              </w:rPr>
            </w:pPr>
            <w:r>
              <w:rPr>
                <w:rFonts w:hint="eastAsia" w:ascii="Times New Roman" w:hAnsi="Times New Roman" w:cs="Times New Roman"/>
                <w:color w:val="auto"/>
                <w:sz w:val="24"/>
              </w:rPr>
              <w:t>本项目</w:t>
            </w:r>
            <w:r>
              <w:rPr>
                <w:rFonts w:hint="eastAsia" w:ascii="Times New Roman" w:hAnsi="Times New Roman" w:cs="Times New Roman"/>
                <w:color w:val="auto"/>
                <w:sz w:val="24"/>
                <w:lang w:val="en-US" w:eastAsia="zh-CN"/>
              </w:rPr>
              <w:t>产品为汽车零部件</w:t>
            </w:r>
            <w:r>
              <w:rPr>
                <w:rFonts w:hint="eastAsia" w:ascii="Times New Roman" w:hAnsi="Times New Roman" w:cs="Times New Roman"/>
                <w:color w:val="auto"/>
                <w:sz w:val="24"/>
              </w:rPr>
              <w:t>，根据《国民经济行业分类》（GB/T4754—2017），属于C</w:t>
            </w:r>
            <w:r>
              <w:rPr>
                <w:rFonts w:hint="eastAsia" w:ascii="Times New Roman" w:hAnsi="Times New Roman" w:cs="Times New Roman"/>
                <w:color w:val="auto"/>
                <w:sz w:val="24"/>
                <w:lang w:val="en-US" w:eastAsia="zh-CN"/>
              </w:rPr>
              <w:t>3670汽车零部件及配件制造</w:t>
            </w:r>
            <w:r>
              <w:rPr>
                <w:rFonts w:ascii="Times New Roman" w:hAnsi="Times New Roman" w:cs="Times New Roman"/>
                <w:color w:val="auto"/>
                <w:sz w:val="24"/>
              </w:rPr>
              <w:t>，根据《固定污染源排污许可分类管理名录》（2019年版）规定，企业属于</w:t>
            </w:r>
            <w:r>
              <w:rPr>
                <w:rFonts w:hint="eastAsia" w:ascii="Times New Roman" w:hAnsi="Times New Roman" w:cs="Times New Roman"/>
                <w:color w:val="auto"/>
                <w:sz w:val="24"/>
              </w:rPr>
              <w:t>简化</w:t>
            </w:r>
            <w:r>
              <w:rPr>
                <w:rFonts w:ascii="Times New Roman" w:hAnsi="Times New Roman" w:cs="Times New Roman"/>
                <w:color w:val="auto"/>
                <w:sz w:val="24"/>
              </w:rPr>
              <w:t>管理，根据《排污单位自行监测技术指南</w:t>
            </w:r>
            <w:r>
              <w:rPr>
                <w:rFonts w:hint="eastAsia" w:ascii="Times New Roman" w:hAnsi="Times New Roman" w:cs="Times New Roman"/>
                <w:color w:val="auto"/>
                <w:sz w:val="24"/>
              </w:rPr>
              <w:t>涂装</w:t>
            </w:r>
            <w:r>
              <w:rPr>
                <w:rFonts w:ascii="Times New Roman" w:hAnsi="Times New Roman" w:cs="Times New Roman"/>
                <w:color w:val="auto"/>
                <w:sz w:val="24"/>
              </w:rPr>
              <w:t>》（HJ</w:t>
            </w:r>
            <w:r>
              <w:rPr>
                <w:rFonts w:hint="eastAsia" w:ascii="Times New Roman" w:hAnsi="Times New Roman" w:cs="Times New Roman"/>
                <w:color w:val="auto"/>
                <w:sz w:val="24"/>
              </w:rPr>
              <w:t>1086-2020</w:t>
            </w:r>
            <w:r>
              <w:rPr>
                <w:rFonts w:ascii="Times New Roman" w:hAnsi="Times New Roman" w:cs="Times New Roman"/>
                <w:color w:val="auto"/>
                <w:sz w:val="24"/>
              </w:rPr>
              <w:t>）、</w:t>
            </w:r>
            <w:r>
              <w:rPr>
                <w:rFonts w:hint="eastAsia" w:ascii="Times New Roman" w:hAnsi="Times New Roman" w:cs="Times New Roman"/>
                <w:color w:val="auto"/>
                <w:sz w:val="24"/>
              </w:rPr>
              <w:t>《排污许可证申请与核发技术规范 汽车制造业》（HJ 942-2018）中相关规定，单独排放生活污水的排口，仅说明去向即可，无需进行监测。</w:t>
            </w:r>
          </w:p>
          <w:p w14:paraId="5F99993D">
            <w:pPr>
              <w:spacing w:line="360" w:lineRule="auto"/>
              <w:ind w:firstLine="482" w:firstLineChars="200"/>
              <w:jc w:val="left"/>
              <w:rPr>
                <w:rFonts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二、运营期大气污染物环境影响和保护措施</w:t>
            </w:r>
          </w:p>
          <w:p w14:paraId="514DC0FD">
            <w:pPr>
              <w:spacing w:line="360" w:lineRule="auto"/>
              <w:ind w:firstLine="482" w:firstLineChars="200"/>
              <w:jc w:val="left"/>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1</w:t>
            </w:r>
            <w:r>
              <w:rPr>
                <w:rFonts w:ascii="Times New Roman" w:hAnsi="Times New Roman" w:eastAsia="宋体" w:cs="Times New Roman"/>
                <w:b/>
                <w:bCs/>
                <w:color w:val="auto"/>
                <w:sz w:val="24"/>
                <w:szCs w:val="24"/>
              </w:rPr>
              <w:t>、</w:t>
            </w:r>
            <w:r>
              <w:rPr>
                <w:rFonts w:hint="eastAsia" w:ascii="Times New Roman" w:hAnsi="Times New Roman" w:eastAsia="宋体" w:cs="Times New Roman"/>
                <w:b/>
                <w:bCs/>
                <w:color w:val="auto"/>
                <w:sz w:val="24"/>
                <w:szCs w:val="24"/>
              </w:rPr>
              <w:t>运营期大气污染物环境影响分析</w:t>
            </w:r>
          </w:p>
          <w:p w14:paraId="48055C3B">
            <w:pPr>
              <w:spacing w:line="360" w:lineRule="auto"/>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根据工程分析可知，本项目产生的废气主要为：调底漆废气（G</w:t>
            </w:r>
            <w:r>
              <w:rPr>
                <w:rFonts w:hint="eastAsia" w:ascii="Times New Roman" w:hAnsi="Times New Roman" w:eastAsia="宋体" w:cs="Times New Roman"/>
                <w:bCs/>
                <w:color w:val="auto"/>
                <w:sz w:val="24"/>
                <w:szCs w:val="24"/>
                <w:vertAlign w:val="subscript"/>
              </w:rPr>
              <w:t>1</w:t>
            </w:r>
            <w:r>
              <w:rPr>
                <w:rFonts w:hint="eastAsia" w:ascii="Times New Roman" w:hAnsi="Times New Roman" w:eastAsia="宋体" w:cs="Times New Roman"/>
                <w:bCs/>
                <w:color w:val="auto"/>
                <w:sz w:val="24"/>
                <w:szCs w:val="24"/>
              </w:rPr>
              <w:t>）、喷底漆废气（G</w:t>
            </w:r>
            <w:r>
              <w:rPr>
                <w:rFonts w:hint="eastAsia" w:ascii="Times New Roman" w:hAnsi="Times New Roman" w:eastAsia="宋体" w:cs="Times New Roman"/>
                <w:bCs/>
                <w:color w:val="auto"/>
                <w:sz w:val="24"/>
                <w:szCs w:val="24"/>
                <w:vertAlign w:val="subscript"/>
              </w:rPr>
              <w:t>2</w:t>
            </w:r>
            <w:r>
              <w:rPr>
                <w:rFonts w:hint="eastAsia" w:ascii="Times New Roman" w:hAnsi="Times New Roman" w:eastAsia="宋体" w:cs="Times New Roman"/>
                <w:bCs/>
                <w:color w:val="auto"/>
                <w:sz w:val="24"/>
                <w:szCs w:val="24"/>
              </w:rPr>
              <w:t>）、烘干废气（G</w:t>
            </w:r>
            <w:r>
              <w:rPr>
                <w:rFonts w:hint="eastAsia" w:ascii="Times New Roman" w:hAnsi="Times New Roman" w:eastAsia="宋体" w:cs="Times New Roman"/>
                <w:bCs/>
                <w:color w:val="auto"/>
                <w:sz w:val="24"/>
                <w:szCs w:val="24"/>
                <w:vertAlign w:val="subscript"/>
              </w:rPr>
              <w:t>3</w:t>
            </w:r>
            <w:r>
              <w:rPr>
                <w:rFonts w:hint="eastAsia" w:ascii="Times New Roman" w:hAnsi="Times New Roman" w:eastAsia="宋体" w:cs="Times New Roman"/>
                <w:bCs/>
                <w:color w:val="auto"/>
                <w:sz w:val="24"/>
                <w:szCs w:val="24"/>
              </w:rPr>
              <w:t>）、调面漆废气（G</w:t>
            </w:r>
            <w:r>
              <w:rPr>
                <w:rFonts w:hint="eastAsia" w:ascii="Times New Roman" w:hAnsi="Times New Roman" w:eastAsia="宋体" w:cs="Times New Roman"/>
                <w:bCs/>
                <w:color w:val="auto"/>
                <w:sz w:val="24"/>
                <w:szCs w:val="24"/>
                <w:vertAlign w:val="subscript"/>
              </w:rPr>
              <w:t>4</w:t>
            </w:r>
            <w:r>
              <w:rPr>
                <w:rFonts w:hint="eastAsia" w:ascii="Times New Roman" w:hAnsi="Times New Roman" w:eastAsia="宋体" w:cs="Times New Roman"/>
                <w:bCs/>
                <w:color w:val="auto"/>
                <w:sz w:val="24"/>
                <w:szCs w:val="24"/>
              </w:rPr>
              <w:t>）、喷面漆废气（G</w:t>
            </w:r>
            <w:r>
              <w:rPr>
                <w:rFonts w:hint="eastAsia" w:ascii="Times New Roman" w:hAnsi="Times New Roman" w:eastAsia="宋体" w:cs="Times New Roman"/>
                <w:bCs/>
                <w:color w:val="auto"/>
                <w:sz w:val="24"/>
                <w:szCs w:val="24"/>
                <w:vertAlign w:val="subscript"/>
              </w:rPr>
              <w:t>5</w:t>
            </w:r>
            <w:r>
              <w:rPr>
                <w:rFonts w:hint="eastAsia" w:ascii="Times New Roman" w:hAnsi="Times New Roman" w:eastAsia="宋体" w:cs="Times New Roman"/>
                <w:bCs/>
                <w:color w:val="auto"/>
                <w:sz w:val="24"/>
                <w:szCs w:val="24"/>
              </w:rPr>
              <w:t>）和危险废物暂存库废气。</w:t>
            </w:r>
          </w:p>
          <w:p w14:paraId="7BC47AFB">
            <w:pPr>
              <w:spacing w:line="358" w:lineRule="auto"/>
              <w:ind w:firstLine="482" w:firstLineChars="200"/>
              <w:rPr>
                <w:rFonts w:ascii="Times New Roman" w:hAnsi="Times New Roman" w:cs="Times New Roman"/>
                <w:b/>
                <w:bCs/>
                <w:color w:val="auto"/>
                <w:kern w:val="0"/>
                <w:sz w:val="24"/>
                <w:szCs w:val="24"/>
              </w:rPr>
            </w:pPr>
            <w:r>
              <w:rPr>
                <w:rFonts w:hint="eastAsia" w:ascii="Times New Roman" w:hAnsi="Times New Roman" w:cs="Times New Roman"/>
                <w:b/>
                <w:bCs/>
                <w:color w:val="auto"/>
                <w:kern w:val="0"/>
                <w:sz w:val="24"/>
                <w:szCs w:val="24"/>
              </w:rPr>
              <w:t>（1）源强分析</w:t>
            </w:r>
          </w:p>
          <w:p w14:paraId="2BBCD91D">
            <w:pPr>
              <w:spacing w:line="358" w:lineRule="auto"/>
              <w:ind w:firstLine="482" w:firstLineChars="200"/>
              <w:rPr>
                <w:rFonts w:ascii="Times New Roman" w:hAnsi="Times New Roman" w:cs="Times New Roman"/>
                <w:b/>
                <w:bCs/>
                <w:color w:val="auto"/>
                <w:kern w:val="0"/>
                <w:sz w:val="24"/>
                <w:szCs w:val="24"/>
              </w:rPr>
            </w:pPr>
            <w:r>
              <w:rPr>
                <w:rFonts w:hint="eastAsia" w:ascii="Times New Roman" w:hAnsi="Times New Roman" w:cs="Times New Roman"/>
                <w:b/>
                <w:bCs/>
                <w:color w:val="auto"/>
                <w:kern w:val="0"/>
                <w:sz w:val="24"/>
                <w:szCs w:val="24"/>
              </w:rPr>
              <w:t>①颗粒物</w:t>
            </w:r>
          </w:p>
          <w:p w14:paraId="06E96183">
            <w:pPr>
              <w:spacing w:line="360" w:lineRule="auto"/>
              <w:ind w:firstLine="482" w:firstLineChars="200"/>
              <w:jc w:val="left"/>
              <w:rPr>
                <w:rFonts w:ascii="Times New Roman" w:hAnsi="Times New Roman" w:eastAsia="宋体" w:cs="Times New Roman"/>
                <w:b/>
                <w:bCs/>
                <w:color w:val="auto"/>
                <w:sz w:val="24"/>
                <w:szCs w:val="24"/>
              </w:rPr>
            </w:pPr>
            <w:r>
              <w:rPr>
                <w:rFonts w:hint="eastAsia" w:ascii="Times New Roman" w:hAnsi="Times New Roman" w:cs="Times New Roman"/>
                <w:b/>
                <w:bCs/>
                <w:color w:val="auto"/>
                <w:kern w:val="0"/>
                <w:sz w:val="24"/>
                <w:szCs w:val="24"/>
              </w:rPr>
              <w:t>1）</w:t>
            </w:r>
            <w:r>
              <w:rPr>
                <w:rFonts w:hint="eastAsia" w:ascii="Times New Roman" w:hAnsi="Times New Roman" w:eastAsia="宋体" w:cs="Times New Roman"/>
                <w:b/>
                <w:bCs/>
                <w:color w:val="auto"/>
                <w:sz w:val="24"/>
                <w:szCs w:val="24"/>
              </w:rPr>
              <w:t>喷底漆废气（G</w:t>
            </w:r>
            <w:r>
              <w:rPr>
                <w:rFonts w:hint="eastAsia" w:ascii="Times New Roman" w:hAnsi="Times New Roman" w:eastAsia="宋体" w:cs="Times New Roman"/>
                <w:b/>
                <w:bCs/>
                <w:color w:val="auto"/>
                <w:sz w:val="24"/>
                <w:szCs w:val="24"/>
                <w:vertAlign w:val="subscript"/>
              </w:rPr>
              <w:t>2</w:t>
            </w:r>
            <w:r>
              <w:rPr>
                <w:rFonts w:hint="eastAsia" w:ascii="Times New Roman" w:hAnsi="Times New Roman" w:eastAsia="宋体" w:cs="Times New Roman"/>
                <w:b/>
                <w:bCs/>
                <w:color w:val="auto"/>
                <w:sz w:val="24"/>
                <w:szCs w:val="24"/>
              </w:rPr>
              <w:t>）</w:t>
            </w:r>
          </w:p>
          <w:p w14:paraId="28FE38AE">
            <w:pPr>
              <w:spacing w:line="360" w:lineRule="auto"/>
              <w:ind w:firstLine="480" w:firstLineChars="200"/>
              <w:rPr>
                <w:rFonts w:ascii="Times New Roman" w:hAnsi="Times New Roman" w:eastAsia="宋体" w:cs="Times New Roman"/>
                <w:bCs/>
                <w:color w:val="auto"/>
                <w:sz w:val="24"/>
                <w:szCs w:val="24"/>
                <w:highlight w:val="none"/>
              </w:rPr>
            </w:pPr>
            <w:r>
              <w:rPr>
                <w:rFonts w:hint="eastAsia" w:ascii="Times New Roman" w:hAnsi="Times New Roman" w:eastAsia="宋体" w:cs="Times New Roman"/>
                <w:bCs/>
                <w:color w:val="auto"/>
                <w:sz w:val="24"/>
                <w:szCs w:val="24"/>
              </w:rPr>
              <w:t>本项目汽车零部件喷底漆在喷底漆房内进行，</w:t>
            </w:r>
            <w:r>
              <w:rPr>
                <w:rFonts w:hint="eastAsia" w:ascii="Times New Roman" w:hAnsi="Times New Roman" w:eastAsia="宋体" w:cs="Times New Roman"/>
                <w:color w:val="auto"/>
                <w:sz w:val="24"/>
                <w:szCs w:val="24"/>
              </w:rPr>
              <w:t>喷底漆废气（G</w:t>
            </w:r>
            <w:r>
              <w:rPr>
                <w:rFonts w:hint="eastAsia" w:ascii="Times New Roman" w:hAnsi="Times New Roman" w:eastAsia="宋体" w:cs="Times New Roman"/>
                <w:color w:val="auto"/>
                <w:sz w:val="24"/>
                <w:szCs w:val="24"/>
                <w:vertAlign w:val="subscript"/>
              </w:rPr>
              <w:t>2</w:t>
            </w:r>
            <w:r>
              <w:rPr>
                <w:rFonts w:hint="eastAsia" w:ascii="Times New Roman" w:hAnsi="Times New Roman" w:eastAsia="宋体" w:cs="Times New Roman"/>
                <w:color w:val="auto"/>
                <w:sz w:val="24"/>
                <w:szCs w:val="24"/>
              </w:rPr>
              <w:t>）</w:t>
            </w:r>
            <w:r>
              <w:rPr>
                <w:rFonts w:ascii="Times New Roman" w:hAnsi="Times New Roman" w:cs="Times New Roman"/>
                <w:color w:val="auto"/>
                <w:sz w:val="24"/>
                <w:szCs w:val="28"/>
              </w:rPr>
              <w:t>经</w:t>
            </w:r>
            <w:r>
              <w:rPr>
                <w:rFonts w:hint="eastAsia" w:ascii="Times New Roman" w:hAnsi="Times New Roman" w:cs="Times New Roman"/>
                <w:color w:val="auto"/>
                <w:sz w:val="24"/>
                <w:szCs w:val="28"/>
                <w:lang w:val="en-US" w:eastAsia="zh-CN"/>
              </w:rPr>
              <w:t>负压</w:t>
            </w:r>
            <w:r>
              <w:rPr>
                <w:rFonts w:hint="eastAsia" w:ascii="Times New Roman" w:hAnsi="Times New Roman" w:cs="Times New Roman"/>
                <w:color w:val="auto"/>
                <w:sz w:val="24"/>
                <w:szCs w:val="28"/>
              </w:rPr>
              <w:t>收集</w:t>
            </w:r>
            <w:r>
              <w:rPr>
                <w:rFonts w:ascii="Times New Roman" w:hAnsi="Times New Roman" w:cs="Times New Roman"/>
                <w:color w:val="auto"/>
                <w:sz w:val="24"/>
                <w:szCs w:val="28"/>
              </w:rPr>
              <w:t>，经过</w:t>
            </w:r>
            <w:r>
              <w:rPr>
                <w:rFonts w:hint="eastAsia" w:ascii="Times New Roman" w:hAnsi="Times New Roman" w:cs="Times New Roman"/>
                <w:color w:val="auto"/>
                <w:sz w:val="24"/>
                <w:szCs w:val="28"/>
              </w:rPr>
              <w:t>“水帘+两级过滤棉”</w:t>
            </w:r>
            <w:r>
              <w:rPr>
                <w:rFonts w:ascii="Times New Roman" w:hAnsi="Times New Roman" w:cs="Times New Roman"/>
                <w:color w:val="auto"/>
                <w:sz w:val="24"/>
                <w:szCs w:val="28"/>
              </w:rPr>
              <w:t>处理后通过排气筒DA00</w:t>
            </w:r>
            <w:r>
              <w:rPr>
                <w:rFonts w:hint="eastAsia" w:ascii="Times New Roman" w:hAnsi="Times New Roman" w:cs="Times New Roman"/>
                <w:color w:val="auto"/>
                <w:sz w:val="24"/>
                <w:szCs w:val="28"/>
              </w:rPr>
              <w:t>1</w:t>
            </w:r>
            <w:r>
              <w:rPr>
                <w:rFonts w:ascii="Times New Roman" w:hAnsi="Times New Roman" w:cs="Times New Roman"/>
                <w:color w:val="auto"/>
                <w:sz w:val="24"/>
                <w:szCs w:val="28"/>
              </w:rPr>
              <w:t>排放。收集效率以9</w:t>
            </w:r>
            <w:r>
              <w:rPr>
                <w:rFonts w:hint="eastAsia" w:ascii="Times New Roman" w:hAnsi="Times New Roman" w:cs="Times New Roman"/>
                <w:color w:val="auto"/>
                <w:sz w:val="24"/>
                <w:szCs w:val="28"/>
              </w:rPr>
              <w:t>5</w:t>
            </w:r>
            <w:r>
              <w:rPr>
                <w:rFonts w:ascii="Times New Roman" w:hAnsi="Times New Roman" w:cs="Times New Roman"/>
                <w:color w:val="auto"/>
                <w:sz w:val="24"/>
                <w:szCs w:val="28"/>
              </w:rPr>
              <w:t>%计，</w:t>
            </w:r>
            <w:r>
              <w:rPr>
                <w:rFonts w:hint="eastAsia" w:ascii="Times New Roman" w:hAnsi="Times New Roman" w:cs="Times New Roman"/>
                <w:color w:val="auto"/>
                <w:sz w:val="24"/>
                <w:szCs w:val="28"/>
              </w:rPr>
              <w:t>“水帘+两级过滤棉”</w:t>
            </w:r>
            <w:r>
              <w:rPr>
                <w:rFonts w:ascii="Times New Roman" w:hAnsi="Times New Roman" w:cs="Times New Roman"/>
                <w:color w:val="auto"/>
                <w:sz w:val="24"/>
                <w:szCs w:val="28"/>
              </w:rPr>
              <w:t>对颗粒物处理效率以9</w:t>
            </w:r>
            <w:r>
              <w:rPr>
                <w:rFonts w:hint="eastAsia" w:ascii="Times New Roman" w:hAnsi="Times New Roman" w:cs="Times New Roman"/>
                <w:color w:val="auto"/>
                <w:sz w:val="24"/>
                <w:szCs w:val="28"/>
              </w:rPr>
              <w:t>9.4</w:t>
            </w:r>
            <w:r>
              <w:rPr>
                <w:rFonts w:ascii="Times New Roman" w:hAnsi="Times New Roman" w:cs="Times New Roman"/>
                <w:color w:val="auto"/>
                <w:sz w:val="24"/>
                <w:szCs w:val="28"/>
              </w:rPr>
              <w:t>%计</w:t>
            </w:r>
            <w:r>
              <w:rPr>
                <w:rFonts w:hint="eastAsia" w:ascii="Times New Roman" w:hAnsi="Times New Roman" w:cs="Times New Roman"/>
                <w:color w:val="auto"/>
                <w:sz w:val="24"/>
                <w:szCs w:val="28"/>
              </w:rPr>
              <w:t>，</w:t>
            </w:r>
            <w:r>
              <w:rPr>
                <w:rFonts w:hint="eastAsia" w:ascii="Times New Roman" w:hAnsi="Times New Roman" w:cs="Times New Roman"/>
                <w:color w:val="auto"/>
                <w:sz w:val="24"/>
                <w:szCs w:val="28"/>
                <w:lang w:val="en-US" w:eastAsia="zh-CN"/>
              </w:rPr>
              <w:t>喷底漆房</w:t>
            </w:r>
            <w:r>
              <w:rPr>
                <w:rFonts w:hint="eastAsia" w:ascii="Times New Roman" w:hAnsi="Times New Roman" w:cs="Times New Roman"/>
                <w:color w:val="auto"/>
                <w:sz w:val="24"/>
                <w:szCs w:val="28"/>
              </w:rPr>
              <w:t>风量</w:t>
            </w:r>
            <w:r>
              <w:rPr>
                <w:rFonts w:hint="eastAsia" w:ascii="Times New Roman" w:hAnsi="Times New Roman"/>
                <w:color w:val="auto"/>
                <w:sz w:val="24"/>
                <w:lang w:val="en-US" w:eastAsia="zh-CN"/>
              </w:rPr>
              <w:t>100</w:t>
            </w:r>
            <w:r>
              <w:rPr>
                <w:rFonts w:hint="eastAsia" w:ascii="Times New Roman" w:hAnsi="Times New Roman"/>
                <w:color w:val="auto"/>
                <w:sz w:val="24"/>
              </w:rPr>
              <w:t>00</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/h</w:t>
            </w:r>
            <w:r>
              <w:rPr>
                <w:rFonts w:ascii="Times New Roman" w:hAnsi="Times New Roman" w:cs="Times New Roman"/>
                <w:color w:val="auto"/>
                <w:sz w:val="24"/>
                <w:szCs w:val="28"/>
              </w:rPr>
              <w:t>。</w:t>
            </w:r>
            <w:r>
              <w:rPr>
                <w:rFonts w:hint="eastAsia" w:ascii="Times New Roman" w:hAnsi="Times New Roman" w:eastAsia="宋体" w:cs="Times New Roman"/>
                <w:bCs/>
                <w:color w:val="auto"/>
                <w:sz w:val="24"/>
                <w:szCs w:val="24"/>
                <w:highlight w:val="none"/>
              </w:rPr>
              <w:t>喷底漆房废气颗粒物产生量为</w:t>
            </w:r>
            <w:r>
              <w:rPr>
                <w:rFonts w:hint="eastAsia" w:ascii="Times New Roman" w:hAnsi="Times New Roman" w:eastAsia="宋体" w:cs="Times New Roman"/>
                <w:bCs/>
                <w:color w:val="auto"/>
                <w:sz w:val="24"/>
                <w:szCs w:val="24"/>
                <w:highlight w:val="none"/>
                <w:lang w:val="en-US" w:eastAsia="zh-CN"/>
              </w:rPr>
              <w:t>5.13</w:t>
            </w:r>
            <w:r>
              <w:rPr>
                <w:rFonts w:hint="eastAsia" w:ascii="Times New Roman" w:hAnsi="Times New Roman" w:eastAsia="宋体" w:cs="Times New Roman"/>
                <w:bCs/>
                <w:color w:val="auto"/>
                <w:sz w:val="24"/>
                <w:szCs w:val="24"/>
                <w:highlight w:val="none"/>
              </w:rPr>
              <w:t>t/a，有组织排放量为0.02</w:t>
            </w:r>
            <w:r>
              <w:rPr>
                <w:rFonts w:hint="eastAsia" w:ascii="Times New Roman" w:hAnsi="Times New Roman" w:eastAsia="宋体" w:cs="Times New Roman"/>
                <w:bCs/>
                <w:color w:val="auto"/>
                <w:sz w:val="24"/>
                <w:szCs w:val="24"/>
                <w:highlight w:val="none"/>
                <w:lang w:val="en-US" w:eastAsia="zh-CN"/>
              </w:rPr>
              <w:t>9</w:t>
            </w:r>
            <w:r>
              <w:rPr>
                <w:rFonts w:hint="eastAsia" w:ascii="Times New Roman" w:hAnsi="Times New Roman" w:eastAsia="宋体" w:cs="Times New Roman"/>
                <w:bCs/>
                <w:color w:val="auto"/>
                <w:sz w:val="24"/>
                <w:szCs w:val="24"/>
                <w:highlight w:val="none"/>
              </w:rPr>
              <w:t>t/a，无组织排放量为0.2</w:t>
            </w:r>
            <w:r>
              <w:rPr>
                <w:rFonts w:hint="eastAsia" w:ascii="Times New Roman" w:hAnsi="Times New Roman" w:eastAsia="宋体" w:cs="Times New Roman"/>
                <w:bCs/>
                <w:color w:val="auto"/>
                <w:sz w:val="24"/>
                <w:szCs w:val="24"/>
                <w:highlight w:val="none"/>
                <w:lang w:val="en-US" w:eastAsia="zh-CN"/>
              </w:rPr>
              <w:t>57</w:t>
            </w:r>
            <w:r>
              <w:rPr>
                <w:rFonts w:hint="eastAsia" w:ascii="Times New Roman" w:hAnsi="Times New Roman" w:eastAsia="宋体" w:cs="Times New Roman"/>
                <w:bCs/>
                <w:color w:val="auto"/>
                <w:sz w:val="24"/>
                <w:szCs w:val="24"/>
                <w:highlight w:val="none"/>
              </w:rPr>
              <w:t>t/a，</w:t>
            </w:r>
            <w:r>
              <w:rPr>
                <w:rFonts w:hint="eastAsia" w:ascii="Times New Roman" w:hAnsi="Times New Roman" w:cs="Times New Roman"/>
                <w:color w:val="auto"/>
                <w:sz w:val="24"/>
                <w:szCs w:val="28"/>
                <w:highlight w:val="none"/>
              </w:rPr>
              <w:t>年喷漆时间约为2400小时。</w:t>
            </w:r>
          </w:p>
          <w:p w14:paraId="7B3DD225">
            <w:pPr>
              <w:spacing w:line="360" w:lineRule="auto"/>
              <w:ind w:firstLine="482" w:firstLineChars="200"/>
              <w:jc w:val="left"/>
              <w:rPr>
                <w:rFonts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rPr>
              <w:t>2）喷面漆废气（G</w:t>
            </w:r>
            <w:r>
              <w:rPr>
                <w:rFonts w:hint="eastAsia" w:ascii="Times New Roman" w:hAnsi="Times New Roman" w:eastAsia="宋体" w:cs="Times New Roman"/>
                <w:b/>
                <w:bCs/>
                <w:color w:val="auto"/>
                <w:sz w:val="24"/>
                <w:szCs w:val="24"/>
                <w:highlight w:val="none"/>
                <w:vertAlign w:val="subscript"/>
              </w:rPr>
              <w:t>5</w:t>
            </w:r>
            <w:r>
              <w:rPr>
                <w:rFonts w:hint="eastAsia" w:ascii="Times New Roman" w:hAnsi="Times New Roman" w:eastAsia="宋体" w:cs="Times New Roman"/>
                <w:b/>
                <w:bCs/>
                <w:color w:val="auto"/>
                <w:sz w:val="24"/>
                <w:szCs w:val="24"/>
                <w:highlight w:val="none"/>
              </w:rPr>
              <w:t>）</w:t>
            </w:r>
          </w:p>
          <w:p w14:paraId="73E9DE97">
            <w:pPr>
              <w:spacing w:line="360" w:lineRule="auto"/>
              <w:ind w:firstLine="480" w:firstLineChars="200"/>
              <w:rPr>
                <w:rFonts w:ascii="Times New Roman" w:hAnsi="Times New Roman" w:cs="Times New Roman"/>
                <w:color w:val="auto"/>
                <w:sz w:val="24"/>
                <w:szCs w:val="28"/>
                <w:highlight w:val="none"/>
              </w:rPr>
            </w:pPr>
            <w:r>
              <w:rPr>
                <w:rFonts w:hint="eastAsia" w:ascii="Times New Roman" w:hAnsi="Times New Roman" w:eastAsia="宋体" w:cs="Times New Roman"/>
                <w:bCs/>
                <w:color w:val="auto"/>
                <w:sz w:val="24"/>
                <w:szCs w:val="24"/>
                <w:highlight w:val="none"/>
              </w:rPr>
              <w:t>本项目汽车零部件喷面漆在喷面漆房内进行，喷面漆废气（G</w:t>
            </w:r>
            <w:r>
              <w:rPr>
                <w:rFonts w:hint="eastAsia" w:ascii="Times New Roman" w:hAnsi="Times New Roman" w:eastAsia="宋体" w:cs="Times New Roman"/>
                <w:bCs/>
                <w:color w:val="auto"/>
                <w:sz w:val="24"/>
                <w:szCs w:val="24"/>
                <w:highlight w:val="none"/>
                <w:vertAlign w:val="subscript"/>
              </w:rPr>
              <w:t>5</w:t>
            </w:r>
            <w:r>
              <w:rPr>
                <w:rFonts w:hint="eastAsia" w:ascii="Times New Roman" w:hAnsi="Times New Roman" w:eastAsia="宋体" w:cs="Times New Roman"/>
                <w:bCs/>
                <w:color w:val="auto"/>
                <w:sz w:val="24"/>
                <w:szCs w:val="24"/>
                <w:highlight w:val="none"/>
              </w:rPr>
              <w:t>）</w:t>
            </w:r>
            <w:r>
              <w:rPr>
                <w:rFonts w:ascii="Times New Roman" w:hAnsi="Times New Roman" w:cs="Times New Roman"/>
                <w:bCs/>
                <w:color w:val="auto"/>
                <w:sz w:val="24"/>
                <w:szCs w:val="28"/>
                <w:highlight w:val="none"/>
              </w:rPr>
              <w:t>经</w:t>
            </w:r>
            <w:r>
              <w:rPr>
                <w:rFonts w:hint="eastAsia" w:ascii="Times New Roman" w:hAnsi="Times New Roman" w:cs="Times New Roman"/>
                <w:bCs/>
                <w:color w:val="auto"/>
                <w:sz w:val="24"/>
                <w:szCs w:val="28"/>
                <w:highlight w:val="none"/>
                <w:lang w:val="en-US" w:eastAsia="zh-CN"/>
              </w:rPr>
              <w:t>负压</w:t>
            </w:r>
            <w:r>
              <w:rPr>
                <w:rFonts w:hint="eastAsia" w:ascii="Times New Roman" w:hAnsi="Times New Roman" w:cs="Times New Roman"/>
                <w:color w:val="auto"/>
                <w:sz w:val="24"/>
                <w:szCs w:val="28"/>
                <w:highlight w:val="none"/>
              </w:rPr>
              <w:t>收集</w:t>
            </w:r>
            <w:r>
              <w:rPr>
                <w:rFonts w:ascii="Times New Roman" w:hAnsi="Times New Roman" w:cs="Times New Roman"/>
                <w:color w:val="auto"/>
                <w:sz w:val="24"/>
                <w:szCs w:val="28"/>
                <w:highlight w:val="none"/>
              </w:rPr>
              <w:t>，经过</w:t>
            </w:r>
            <w:r>
              <w:rPr>
                <w:rFonts w:hint="eastAsia" w:ascii="Times New Roman" w:hAnsi="Times New Roman" w:cs="Times New Roman"/>
                <w:color w:val="auto"/>
                <w:sz w:val="24"/>
                <w:szCs w:val="28"/>
                <w:highlight w:val="none"/>
              </w:rPr>
              <w:t>“水帘+两级过滤棉”</w:t>
            </w:r>
            <w:r>
              <w:rPr>
                <w:rFonts w:ascii="Times New Roman" w:hAnsi="Times New Roman" w:cs="Times New Roman"/>
                <w:color w:val="auto"/>
                <w:sz w:val="24"/>
                <w:szCs w:val="28"/>
                <w:highlight w:val="none"/>
              </w:rPr>
              <w:t>处理后通过排气筒</w:t>
            </w:r>
            <w:r>
              <w:rPr>
                <w:rFonts w:hint="eastAsia" w:ascii="Times New Roman" w:hAnsi="Times New Roman" w:cs="Times New Roman"/>
                <w:color w:val="auto"/>
                <w:sz w:val="24"/>
                <w:szCs w:val="28"/>
                <w:highlight w:val="none"/>
              </w:rPr>
              <w:t>DA001</w:t>
            </w:r>
            <w:r>
              <w:rPr>
                <w:rFonts w:ascii="Times New Roman" w:hAnsi="Times New Roman" w:cs="Times New Roman"/>
                <w:color w:val="auto"/>
                <w:sz w:val="24"/>
                <w:szCs w:val="28"/>
                <w:highlight w:val="none"/>
              </w:rPr>
              <w:t>排放。收集效率以9</w:t>
            </w:r>
            <w:r>
              <w:rPr>
                <w:rFonts w:hint="eastAsia" w:ascii="Times New Roman" w:hAnsi="Times New Roman" w:cs="Times New Roman"/>
                <w:color w:val="auto"/>
                <w:sz w:val="24"/>
                <w:szCs w:val="28"/>
                <w:highlight w:val="none"/>
              </w:rPr>
              <w:t>5</w:t>
            </w:r>
            <w:r>
              <w:rPr>
                <w:rFonts w:ascii="Times New Roman" w:hAnsi="Times New Roman" w:cs="Times New Roman"/>
                <w:color w:val="auto"/>
                <w:sz w:val="24"/>
                <w:szCs w:val="28"/>
                <w:highlight w:val="none"/>
              </w:rPr>
              <w:t>%计，</w:t>
            </w:r>
            <w:r>
              <w:rPr>
                <w:rFonts w:hint="eastAsia" w:ascii="Times New Roman" w:hAnsi="Times New Roman" w:cs="Times New Roman"/>
                <w:color w:val="auto"/>
                <w:sz w:val="24"/>
                <w:szCs w:val="28"/>
                <w:highlight w:val="none"/>
              </w:rPr>
              <w:t>“水帘+两级过滤棉”</w:t>
            </w:r>
            <w:r>
              <w:rPr>
                <w:rFonts w:ascii="Times New Roman" w:hAnsi="Times New Roman" w:cs="Times New Roman"/>
                <w:color w:val="auto"/>
                <w:sz w:val="24"/>
                <w:szCs w:val="28"/>
                <w:highlight w:val="none"/>
              </w:rPr>
              <w:t>对颗粒物处理效率以</w:t>
            </w:r>
            <w:r>
              <w:rPr>
                <w:rFonts w:hint="eastAsia" w:ascii="Times New Roman" w:hAnsi="Times New Roman" w:cs="Times New Roman"/>
                <w:color w:val="auto"/>
                <w:sz w:val="24"/>
                <w:szCs w:val="28"/>
                <w:highlight w:val="none"/>
              </w:rPr>
              <w:t>99.4</w:t>
            </w:r>
            <w:r>
              <w:rPr>
                <w:rFonts w:ascii="Times New Roman" w:hAnsi="Times New Roman" w:cs="Times New Roman"/>
                <w:color w:val="auto"/>
                <w:sz w:val="24"/>
                <w:szCs w:val="28"/>
                <w:highlight w:val="none"/>
              </w:rPr>
              <w:t>%计</w:t>
            </w:r>
            <w:r>
              <w:rPr>
                <w:rFonts w:hint="eastAsia" w:ascii="Times New Roman" w:hAnsi="Times New Roman" w:cs="Times New Roman"/>
                <w:color w:val="auto"/>
                <w:sz w:val="24"/>
                <w:szCs w:val="28"/>
                <w:highlight w:val="none"/>
              </w:rPr>
              <w:t>，</w:t>
            </w:r>
            <w:r>
              <w:rPr>
                <w:rFonts w:hint="eastAsia" w:ascii="Times New Roman" w:hAnsi="Times New Roman" w:cs="Times New Roman"/>
                <w:color w:val="auto"/>
                <w:sz w:val="24"/>
                <w:szCs w:val="28"/>
                <w:highlight w:val="none"/>
                <w:lang w:val="en-US" w:eastAsia="zh-CN"/>
              </w:rPr>
              <w:t>喷面漆房</w:t>
            </w:r>
            <w:r>
              <w:rPr>
                <w:rFonts w:hint="eastAsia" w:ascii="Times New Roman" w:hAnsi="Times New Roman" w:cs="Times New Roman"/>
                <w:color w:val="auto"/>
                <w:sz w:val="24"/>
                <w:szCs w:val="28"/>
                <w:highlight w:val="none"/>
              </w:rPr>
              <w:t>风量</w:t>
            </w:r>
            <w:r>
              <w:rPr>
                <w:rFonts w:hint="eastAsia" w:ascii="Times New Roman" w:hAnsi="Times New Roman"/>
                <w:color w:val="auto"/>
                <w:sz w:val="24"/>
                <w:highlight w:val="none"/>
                <w:lang w:val="en-US" w:eastAsia="zh-CN"/>
              </w:rPr>
              <w:t>10000</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/h</w:t>
            </w:r>
            <w:r>
              <w:rPr>
                <w:rFonts w:ascii="Times New Roman" w:hAnsi="Times New Roman" w:cs="Times New Roman"/>
                <w:color w:val="auto"/>
                <w:sz w:val="24"/>
                <w:szCs w:val="28"/>
                <w:highlight w:val="none"/>
              </w:rPr>
              <w:t>。</w:t>
            </w:r>
            <w:r>
              <w:rPr>
                <w:rFonts w:hint="eastAsia" w:ascii="Times New Roman" w:hAnsi="Times New Roman" w:eastAsia="宋体" w:cs="Times New Roman"/>
                <w:bCs/>
                <w:color w:val="auto"/>
                <w:sz w:val="24"/>
                <w:szCs w:val="24"/>
                <w:highlight w:val="none"/>
              </w:rPr>
              <w:t>喷面漆房废气颗粒物产生量为4.</w:t>
            </w:r>
            <w:r>
              <w:rPr>
                <w:rFonts w:hint="eastAsia" w:ascii="Times New Roman" w:hAnsi="Times New Roman" w:eastAsia="宋体" w:cs="Times New Roman"/>
                <w:bCs/>
                <w:color w:val="auto"/>
                <w:sz w:val="24"/>
                <w:szCs w:val="24"/>
                <w:highlight w:val="none"/>
                <w:lang w:val="en-US" w:eastAsia="zh-CN"/>
              </w:rPr>
              <w:t>185</w:t>
            </w:r>
            <w:r>
              <w:rPr>
                <w:rFonts w:hint="eastAsia" w:ascii="Times New Roman" w:hAnsi="Times New Roman" w:eastAsia="宋体" w:cs="Times New Roman"/>
                <w:bCs/>
                <w:color w:val="auto"/>
                <w:sz w:val="24"/>
                <w:szCs w:val="24"/>
                <w:highlight w:val="none"/>
              </w:rPr>
              <w:t>t/a，有组织排放量为0.02</w:t>
            </w:r>
            <w:r>
              <w:rPr>
                <w:rFonts w:hint="eastAsia" w:ascii="Times New Roman" w:hAnsi="Times New Roman" w:eastAsia="宋体" w:cs="Times New Roman"/>
                <w:bCs/>
                <w:color w:val="auto"/>
                <w:sz w:val="24"/>
                <w:szCs w:val="24"/>
                <w:highlight w:val="none"/>
                <w:lang w:val="en-US" w:eastAsia="zh-CN"/>
              </w:rPr>
              <w:t>39</w:t>
            </w:r>
            <w:r>
              <w:rPr>
                <w:rFonts w:hint="eastAsia" w:ascii="Times New Roman" w:hAnsi="Times New Roman" w:eastAsia="宋体" w:cs="Times New Roman"/>
                <w:bCs/>
                <w:color w:val="auto"/>
                <w:sz w:val="24"/>
                <w:szCs w:val="24"/>
                <w:highlight w:val="none"/>
              </w:rPr>
              <w:t>t/a，无组织排放量为0.2</w:t>
            </w:r>
            <w:r>
              <w:rPr>
                <w:rFonts w:hint="eastAsia" w:ascii="Times New Roman" w:hAnsi="Times New Roman" w:eastAsia="宋体" w:cs="Times New Roman"/>
                <w:bCs/>
                <w:color w:val="auto"/>
                <w:sz w:val="24"/>
                <w:szCs w:val="24"/>
                <w:highlight w:val="none"/>
                <w:lang w:val="en-US" w:eastAsia="zh-CN"/>
              </w:rPr>
              <w:t>09</w:t>
            </w:r>
            <w:r>
              <w:rPr>
                <w:rFonts w:hint="eastAsia" w:ascii="Times New Roman" w:hAnsi="Times New Roman" w:eastAsia="宋体" w:cs="Times New Roman"/>
                <w:bCs/>
                <w:color w:val="auto"/>
                <w:sz w:val="24"/>
                <w:szCs w:val="24"/>
                <w:highlight w:val="none"/>
              </w:rPr>
              <w:t>t/a，</w:t>
            </w:r>
            <w:r>
              <w:rPr>
                <w:rFonts w:hint="eastAsia" w:ascii="Times New Roman" w:hAnsi="Times New Roman" w:cs="Times New Roman"/>
                <w:color w:val="auto"/>
                <w:sz w:val="24"/>
                <w:szCs w:val="28"/>
                <w:highlight w:val="none"/>
              </w:rPr>
              <w:t>年喷漆时间约为2400小时。</w:t>
            </w:r>
          </w:p>
          <w:p w14:paraId="25A88B01">
            <w:pPr>
              <w:spacing w:line="358" w:lineRule="auto"/>
              <w:ind w:firstLine="482" w:firstLineChars="200"/>
              <w:rPr>
                <w:rFonts w:ascii="Times New Roman" w:hAnsi="Times New Roman" w:cs="Times New Roman"/>
                <w:b/>
                <w:bCs/>
                <w:color w:val="auto"/>
                <w:kern w:val="0"/>
                <w:sz w:val="24"/>
                <w:szCs w:val="24"/>
                <w:highlight w:val="none"/>
              </w:rPr>
            </w:pPr>
            <w:r>
              <w:rPr>
                <w:rFonts w:hint="eastAsia" w:ascii="Times New Roman" w:hAnsi="Times New Roman" w:cs="Times New Roman"/>
                <w:b/>
                <w:bCs/>
                <w:color w:val="auto"/>
                <w:kern w:val="0"/>
                <w:sz w:val="24"/>
                <w:szCs w:val="24"/>
                <w:highlight w:val="none"/>
              </w:rPr>
              <w:t>②非甲烷总烃</w:t>
            </w:r>
          </w:p>
          <w:p w14:paraId="40B6A086">
            <w:pPr>
              <w:spacing w:line="360" w:lineRule="auto"/>
              <w:ind w:firstLine="482" w:firstLineChars="200"/>
              <w:rPr>
                <w:rFonts w:ascii="Times New Roman" w:hAnsi="Times New Roman" w:cs="Times New Roman"/>
                <w:b/>
                <w:bCs/>
                <w:color w:val="auto"/>
                <w:sz w:val="24"/>
                <w:szCs w:val="28"/>
                <w:highlight w:val="none"/>
              </w:rPr>
            </w:pPr>
            <w:r>
              <w:rPr>
                <w:rFonts w:hint="eastAsia" w:ascii="Times New Roman" w:hAnsi="Times New Roman" w:cs="Times New Roman"/>
                <w:b/>
                <w:bCs/>
                <w:color w:val="auto"/>
                <w:sz w:val="24"/>
                <w:szCs w:val="28"/>
                <w:highlight w:val="none"/>
              </w:rPr>
              <w:t>1）调漆废气</w:t>
            </w:r>
            <w:r>
              <w:rPr>
                <w:rFonts w:hint="eastAsia" w:ascii="Times New Roman" w:hAnsi="Times New Roman" w:cs="Times New Roman"/>
                <w:b/>
                <w:bCs/>
                <w:color w:val="auto"/>
                <w:kern w:val="0"/>
                <w:sz w:val="24"/>
                <w:szCs w:val="24"/>
                <w:highlight w:val="none"/>
              </w:rPr>
              <w:t>（G</w:t>
            </w:r>
            <w:r>
              <w:rPr>
                <w:rFonts w:hint="eastAsia" w:ascii="Times New Roman" w:hAnsi="Times New Roman" w:cs="Times New Roman"/>
                <w:b/>
                <w:bCs/>
                <w:color w:val="auto"/>
                <w:kern w:val="0"/>
                <w:sz w:val="24"/>
                <w:szCs w:val="24"/>
                <w:highlight w:val="none"/>
                <w:vertAlign w:val="subscript"/>
              </w:rPr>
              <w:t>1</w:t>
            </w:r>
            <w:r>
              <w:rPr>
                <w:rFonts w:hint="eastAsia" w:ascii="Times New Roman" w:hAnsi="Times New Roman" w:cs="Times New Roman"/>
                <w:b/>
                <w:bCs/>
                <w:color w:val="auto"/>
                <w:kern w:val="0"/>
                <w:sz w:val="24"/>
                <w:szCs w:val="24"/>
                <w:highlight w:val="none"/>
              </w:rPr>
              <w:t>、G</w:t>
            </w:r>
            <w:r>
              <w:rPr>
                <w:rFonts w:hint="eastAsia" w:ascii="Times New Roman" w:hAnsi="Times New Roman" w:cs="Times New Roman"/>
                <w:b/>
                <w:bCs/>
                <w:color w:val="auto"/>
                <w:kern w:val="0"/>
                <w:sz w:val="24"/>
                <w:szCs w:val="24"/>
                <w:highlight w:val="none"/>
                <w:vertAlign w:val="subscript"/>
              </w:rPr>
              <w:t>3</w:t>
            </w:r>
            <w:r>
              <w:rPr>
                <w:rFonts w:hint="eastAsia" w:ascii="Times New Roman" w:hAnsi="Times New Roman" w:cs="Times New Roman"/>
                <w:b/>
                <w:bCs/>
                <w:color w:val="auto"/>
                <w:kern w:val="0"/>
                <w:sz w:val="24"/>
                <w:szCs w:val="24"/>
                <w:highlight w:val="none"/>
              </w:rPr>
              <w:t>）</w:t>
            </w:r>
          </w:p>
          <w:p w14:paraId="0D782E23">
            <w:pPr>
              <w:spacing w:line="360" w:lineRule="auto"/>
              <w:ind w:firstLine="480" w:firstLineChars="200"/>
              <w:rPr>
                <w:rFonts w:ascii="Times New Roman" w:cs="Times New Roman" w:hAnsiTheme="minorEastAsia"/>
                <w:color w:val="auto"/>
                <w:sz w:val="24"/>
                <w:szCs w:val="24"/>
              </w:rPr>
            </w:pPr>
            <w:r>
              <w:rPr>
                <w:rFonts w:hint="eastAsia" w:ascii="Times New Roman" w:cs="Times New Roman" w:hAnsiTheme="minorEastAsia"/>
                <w:color w:val="auto"/>
                <w:sz w:val="24"/>
                <w:szCs w:val="24"/>
                <w:highlight w:val="none"/>
              </w:rPr>
              <w:t>本项目</w:t>
            </w:r>
            <w:r>
              <w:rPr>
                <w:rFonts w:hint="eastAsia" w:ascii="Times New Roman" w:hAnsi="Times New Roman" w:cs="Times New Roman"/>
                <w:color w:val="auto"/>
                <w:sz w:val="24"/>
                <w:szCs w:val="28"/>
                <w:highlight w:val="none"/>
              </w:rPr>
              <w:t>调漆过程会产生调漆废气。</w:t>
            </w:r>
            <w:r>
              <w:rPr>
                <w:rFonts w:hint="eastAsia" w:ascii="Times New Roman" w:hAnsi="Times New Roman" w:eastAsia="宋体" w:cs="Times New Roman"/>
                <w:bCs/>
                <w:color w:val="auto"/>
                <w:sz w:val="24"/>
                <w:szCs w:val="24"/>
                <w:highlight w:val="none"/>
              </w:rPr>
              <w:t>本项目涂料</w:t>
            </w:r>
            <w:r>
              <w:rPr>
                <w:rFonts w:hint="eastAsia" w:ascii="Times New Roman" w:cs="Times New Roman" w:hAnsiTheme="minorEastAsia"/>
                <w:color w:val="auto"/>
                <w:sz w:val="24"/>
                <w:szCs w:val="24"/>
                <w:highlight w:val="none"/>
              </w:rPr>
              <w:t>使用过</w:t>
            </w:r>
            <w:r>
              <w:rPr>
                <w:rFonts w:hint="eastAsia" w:ascii="Times New Roman" w:cs="Times New Roman" w:hAnsiTheme="minorEastAsia"/>
                <w:color w:val="auto"/>
                <w:sz w:val="24"/>
                <w:szCs w:val="24"/>
              </w:rPr>
              <w:t>程中需要加水进行调配，调配过程中会产生一定量的有机废气，项目调漆在封闭的调漆房内进行。</w:t>
            </w:r>
          </w:p>
          <w:p w14:paraId="20D36A0F">
            <w:pPr>
              <w:spacing w:line="360" w:lineRule="auto"/>
              <w:ind w:firstLine="480" w:firstLineChars="200"/>
              <w:rPr>
                <w:rFonts w:ascii="Times New Roman" w:hAnsi="Times New Roman" w:eastAsia="宋体" w:cs="Times New Roman"/>
                <w:bCs/>
                <w:color w:val="auto"/>
                <w:sz w:val="24"/>
                <w:szCs w:val="24"/>
                <w:highlight w:val="none"/>
              </w:rPr>
            </w:pPr>
            <w:r>
              <w:rPr>
                <w:rFonts w:hint="eastAsia" w:ascii="Times New Roman" w:cs="Times New Roman" w:hAnsiTheme="minorEastAsia"/>
                <w:color w:val="auto"/>
                <w:sz w:val="24"/>
                <w:szCs w:val="24"/>
              </w:rPr>
              <w:t>根据上文“漆料平衡图”，调漆废气非甲烷总烃产生量为0.043t/a，调底漆非甲烷总烃产生量为0.02</w:t>
            </w:r>
            <w:r>
              <w:rPr>
                <w:rFonts w:hint="eastAsia" w:ascii="Times New Roman" w:cs="Times New Roman" w:hAnsiTheme="minorEastAsia"/>
                <w:color w:val="auto"/>
                <w:sz w:val="24"/>
                <w:szCs w:val="24"/>
                <w:lang w:val="en-US" w:eastAsia="zh-CN"/>
              </w:rPr>
              <w:t>31</w:t>
            </w:r>
            <w:r>
              <w:rPr>
                <w:rFonts w:hint="eastAsia" w:ascii="Times New Roman" w:cs="Times New Roman" w:hAnsiTheme="minorEastAsia"/>
                <w:color w:val="auto"/>
                <w:sz w:val="24"/>
                <w:szCs w:val="24"/>
              </w:rPr>
              <w:t>t/a，调面漆非甲烷总烃产生量为0.020</w:t>
            </w:r>
            <w:r>
              <w:rPr>
                <w:rFonts w:hint="eastAsia" w:ascii="Times New Roman" w:cs="Times New Roman" w:hAnsiTheme="minorEastAsia"/>
                <w:color w:val="auto"/>
                <w:sz w:val="24"/>
                <w:szCs w:val="24"/>
                <w:lang w:val="en-US" w:eastAsia="zh-CN"/>
              </w:rPr>
              <w:t>3</w:t>
            </w:r>
            <w:r>
              <w:rPr>
                <w:rFonts w:hint="eastAsia" w:ascii="Times New Roman" w:cs="Times New Roman" w:hAnsiTheme="minorEastAsia"/>
                <w:color w:val="auto"/>
                <w:sz w:val="24"/>
                <w:szCs w:val="24"/>
              </w:rPr>
              <w:t>t/a，</w:t>
            </w:r>
            <w:r>
              <w:rPr>
                <w:rFonts w:hint="eastAsia" w:ascii="Times New Roman" w:hAnsi="Times New Roman" w:cs="Times New Roman"/>
                <w:color w:val="auto"/>
                <w:sz w:val="24"/>
                <w:szCs w:val="28"/>
              </w:rPr>
              <w:t>调漆废气采用车间负压</w:t>
            </w:r>
            <w:r>
              <w:rPr>
                <w:rFonts w:hint="eastAsia" w:ascii="Times New Roman" w:hAnsi="Times New Roman" w:cs="Times New Roman"/>
                <w:color w:val="auto"/>
                <w:sz w:val="24"/>
                <w:szCs w:val="28"/>
                <w:highlight w:val="none"/>
              </w:rPr>
              <w:t>收集，废气收集效率为95%，两级活性炭吸附效率取90%，</w:t>
            </w:r>
            <w:r>
              <w:rPr>
                <w:rFonts w:hint="eastAsia" w:ascii="Times New Roman" w:hAnsi="Times New Roman" w:eastAsia="宋体" w:cs="Times New Roman"/>
                <w:bCs/>
                <w:color w:val="auto"/>
                <w:sz w:val="24"/>
                <w:szCs w:val="24"/>
                <w:highlight w:val="none"/>
              </w:rPr>
              <w:t>有组织排放量为0.004t/a，无组织排放量为0.002t/a，</w:t>
            </w:r>
            <w:r>
              <w:rPr>
                <w:rFonts w:hint="eastAsia" w:ascii="Times New Roman" w:hAnsi="Times New Roman" w:cs="Times New Roman"/>
                <w:color w:val="auto"/>
                <w:sz w:val="24"/>
                <w:szCs w:val="28"/>
                <w:highlight w:val="none"/>
              </w:rPr>
              <w:t>每次调漆时间为2小时，年调漆时间约为600小时</w:t>
            </w:r>
            <w:r>
              <w:rPr>
                <w:rFonts w:hint="eastAsia" w:ascii="Times New Roman" w:hAnsi="Times New Roman" w:eastAsia="宋体" w:cs="Times New Roman"/>
                <w:bCs/>
                <w:color w:val="auto"/>
                <w:sz w:val="24"/>
                <w:szCs w:val="24"/>
                <w:highlight w:val="none"/>
              </w:rPr>
              <w:t>。</w:t>
            </w:r>
          </w:p>
          <w:p w14:paraId="5EA884D9">
            <w:pPr>
              <w:spacing w:line="360" w:lineRule="auto"/>
              <w:ind w:firstLine="482" w:firstLineChars="200"/>
              <w:rPr>
                <w:rFonts w:ascii="Times New Roman" w:hAnsi="Times New Roman" w:eastAsia="宋体" w:cs="Times New Roman"/>
                <w:b/>
                <w:color w:val="auto"/>
                <w:sz w:val="24"/>
                <w:szCs w:val="24"/>
                <w:highlight w:val="none"/>
              </w:rPr>
            </w:pPr>
            <w:r>
              <w:rPr>
                <w:rFonts w:hint="eastAsia" w:ascii="Times New Roman" w:hAnsi="Times New Roman" w:eastAsia="宋体" w:cs="Times New Roman"/>
                <w:b/>
                <w:color w:val="auto"/>
                <w:sz w:val="24"/>
                <w:szCs w:val="24"/>
                <w:highlight w:val="none"/>
              </w:rPr>
              <w:t>2）喷底漆废气</w:t>
            </w:r>
            <w:r>
              <w:rPr>
                <w:rFonts w:hint="eastAsia" w:ascii="Times New Roman" w:hAnsi="Times New Roman" w:cs="Times New Roman"/>
                <w:b/>
                <w:bCs/>
                <w:color w:val="auto"/>
                <w:kern w:val="0"/>
                <w:sz w:val="24"/>
                <w:szCs w:val="24"/>
                <w:highlight w:val="none"/>
              </w:rPr>
              <w:t>（G</w:t>
            </w:r>
            <w:r>
              <w:rPr>
                <w:rFonts w:hint="eastAsia" w:ascii="Times New Roman" w:hAnsi="Times New Roman" w:cs="Times New Roman"/>
                <w:b/>
                <w:bCs/>
                <w:color w:val="auto"/>
                <w:kern w:val="0"/>
                <w:sz w:val="24"/>
                <w:szCs w:val="24"/>
                <w:highlight w:val="none"/>
                <w:vertAlign w:val="subscript"/>
              </w:rPr>
              <w:t>2</w:t>
            </w:r>
            <w:r>
              <w:rPr>
                <w:rFonts w:hint="eastAsia" w:ascii="Times New Roman" w:hAnsi="Times New Roman" w:cs="Times New Roman"/>
                <w:b/>
                <w:bCs/>
                <w:color w:val="auto"/>
                <w:kern w:val="0"/>
                <w:sz w:val="24"/>
                <w:szCs w:val="24"/>
                <w:highlight w:val="none"/>
              </w:rPr>
              <w:t>）</w:t>
            </w:r>
          </w:p>
          <w:p w14:paraId="56E05D14">
            <w:pPr>
              <w:spacing w:line="360" w:lineRule="auto"/>
              <w:ind w:firstLine="480" w:firstLineChars="200"/>
              <w:rPr>
                <w:rFonts w:ascii="Times New Roman" w:hAnsi="Times New Roman" w:cs="Times New Roman"/>
                <w:color w:val="auto"/>
                <w:sz w:val="24"/>
                <w:szCs w:val="28"/>
                <w:highlight w:val="none"/>
              </w:rPr>
            </w:pPr>
            <w:r>
              <w:rPr>
                <w:rFonts w:hint="eastAsia" w:ascii="Times New Roman" w:hAnsi="Times New Roman" w:eastAsia="宋体" w:cs="Times New Roman"/>
                <w:bCs/>
                <w:color w:val="auto"/>
                <w:sz w:val="24"/>
                <w:szCs w:val="24"/>
                <w:highlight w:val="none"/>
              </w:rPr>
              <w:t>本项目汽车零部件喷底漆在喷底漆房内进行，</w:t>
            </w:r>
            <w:r>
              <w:rPr>
                <w:rFonts w:hint="eastAsia" w:ascii="Times New Roman" w:hAnsi="Times New Roman" w:eastAsia="宋体" w:cs="Times New Roman"/>
                <w:color w:val="auto"/>
                <w:sz w:val="24"/>
                <w:szCs w:val="24"/>
                <w:highlight w:val="none"/>
              </w:rPr>
              <w:t>喷底漆废气（G</w:t>
            </w:r>
            <w:r>
              <w:rPr>
                <w:rFonts w:hint="eastAsia" w:ascii="Times New Roman" w:hAnsi="Times New Roman" w:eastAsia="宋体" w:cs="Times New Roman"/>
                <w:color w:val="auto"/>
                <w:sz w:val="24"/>
                <w:szCs w:val="24"/>
                <w:highlight w:val="none"/>
                <w:vertAlign w:val="subscript"/>
              </w:rPr>
              <w:t>4</w:t>
            </w:r>
            <w:r>
              <w:rPr>
                <w:rFonts w:hint="eastAsia" w:ascii="Times New Roman" w:hAnsi="Times New Roman" w:eastAsia="宋体" w:cs="Times New Roman"/>
                <w:color w:val="auto"/>
                <w:sz w:val="24"/>
                <w:szCs w:val="24"/>
                <w:highlight w:val="none"/>
              </w:rPr>
              <w:t>）</w:t>
            </w:r>
            <w:r>
              <w:rPr>
                <w:rFonts w:ascii="Times New Roman" w:hAnsi="Times New Roman" w:cs="Times New Roman"/>
                <w:color w:val="auto"/>
                <w:sz w:val="24"/>
                <w:szCs w:val="28"/>
                <w:highlight w:val="none"/>
              </w:rPr>
              <w:t>经</w:t>
            </w:r>
            <w:r>
              <w:rPr>
                <w:rFonts w:hint="eastAsia" w:ascii="Times New Roman" w:hAnsi="Times New Roman" w:cs="Times New Roman"/>
                <w:color w:val="auto"/>
                <w:sz w:val="24"/>
                <w:szCs w:val="28"/>
                <w:highlight w:val="none"/>
                <w:lang w:val="en-US" w:eastAsia="zh-CN"/>
              </w:rPr>
              <w:t>负压</w:t>
            </w:r>
            <w:r>
              <w:rPr>
                <w:rFonts w:hint="eastAsia" w:ascii="Times New Roman" w:hAnsi="Times New Roman" w:cs="Times New Roman"/>
                <w:color w:val="auto"/>
                <w:sz w:val="24"/>
                <w:szCs w:val="28"/>
                <w:highlight w:val="none"/>
              </w:rPr>
              <w:t>收集</w:t>
            </w:r>
            <w:r>
              <w:rPr>
                <w:rFonts w:ascii="Times New Roman" w:hAnsi="Times New Roman" w:cs="Times New Roman"/>
                <w:color w:val="auto"/>
                <w:sz w:val="24"/>
                <w:szCs w:val="28"/>
                <w:highlight w:val="none"/>
              </w:rPr>
              <w:t>，经过</w:t>
            </w:r>
            <w:r>
              <w:rPr>
                <w:rFonts w:hint="eastAsia" w:ascii="Times New Roman" w:hAnsi="Times New Roman" w:cs="Times New Roman"/>
                <w:color w:val="auto"/>
                <w:sz w:val="24"/>
                <w:szCs w:val="28"/>
                <w:highlight w:val="none"/>
              </w:rPr>
              <w:t>“两级活性炭”</w:t>
            </w:r>
            <w:r>
              <w:rPr>
                <w:rFonts w:ascii="Times New Roman" w:hAnsi="Times New Roman" w:cs="Times New Roman"/>
                <w:color w:val="auto"/>
                <w:sz w:val="24"/>
                <w:szCs w:val="28"/>
                <w:highlight w:val="none"/>
              </w:rPr>
              <w:t>处理后通过排气筒</w:t>
            </w:r>
            <w:r>
              <w:rPr>
                <w:rFonts w:hint="eastAsia" w:ascii="Times New Roman" w:hAnsi="Times New Roman" w:cs="Times New Roman"/>
                <w:color w:val="auto"/>
                <w:sz w:val="24"/>
                <w:szCs w:val="28"/>
                <w:highlight w:val="none"/>
              </w:rPr>
              <w:t>DA001</w:t>
            </w:r>
            <w:r>
              <w:rPr>
                <w:rFonts w:ascii="Times New Roman" w:hAnsi="Times New Roman" w:cs="Times New Roman"/>
                <w:color w:val="auto"/>
                <w:sz w:val="24"/>
                <w:szCs w:val="28"/>
                <w:highlight w:val="none"/>
              </w:rPr>
              <w:t>排放。收集效率以9</w:t>
            </w:r>
            <w:r>
              <w:rPr>
                <w:rFonts w:hint="eastAsia" w:ascii="Times New Roman" w:hAnsi="Times New Roman" w:cs="Times New Roman"/>
                <w:color w:val="auto"/>
                <w:sz w:val="24"/>
                <w:szCs w:val="28"/>
                <w:highlight w:val="none"/>
              </w:rPr>
              <w:t>5</w:t>
            </w:r>
            <w:r>
              <w:rPr>
                <w:rFonts w:ascii="Times New Roman" w:hAnsi="Times New Roman" w:cs="Times New Roman"/>
                <w:color w:val="auto"/>
                <w:sz w:val="24"/>
                <w:szCs w:val="28"/>
                <w:highlight w:val="none"/>
              </w:rPr>
              <w:t>%计，</w:t>
            </w:r>
            <w:r>
              <w:rPr>
                <w:rFonts w:hint="eastAsia" w:ascii="Times New Roman" w:hAnsi="Times New Roman" w:cs="Times New Roman"/>
                <w:color w:val="auto"/>
                <w:sz w:val="24"/>
                <w:szCs w:val="28"/>
                <w:highlight w:val="none"/>
              </w:rPr>
              <w:t>“两级活性炭”</w:t>
            </w:r>
            <w:r>
              <w:rPr>
                <w:rFonts w:ascii="Times New Roman" w:hAnsi="Times New Roman" w:cs="Times New Roman"/>
                <w:color w:val="auto"/>
                <w:sz w:val="24"/>
                <w:szCs w:val="28"/>
                <w:highlight w:val="none"/>
              </w:rPr>
              <w:t>对</w:t>
            </w:r>
            <w:r>
              <w:rPr>
                <w:rFonts w:hint="eastAsia" w:ascii="Times New Roman" w:hAnsi="Times New Roman" w:cs="Times New Roman"/>
                <w:color w:val="auto"/>
                <w:sz w:val="24"/>
                <w:szCs w:val="28"/>
                <w:highlight w:val="none"/>
              </w:rPr>
              <w:t>非甲烷总烃</w:t>
            </w:r>
            <w:r>
              <w:rPr>
                <w:rFonts w:ascii="Times New Roman" w:hAnsi="Times New Roman" w:cs="Times New Roman"/>
                <w:color w:val="auto"/>
                <w:sz w:val="24"/>
                <w:szCs w:val="28"/>
                <w:highlight w:val="none"/>
              </w:rPr>
              <w:t>处理效率以9</w:t>
            </w:r>
            <w:r>
              <w:rPr>
                <w:rFonts w:hint="eastAsia" w:ascii="Times New Roman" w:hAnsi="Times New Roman" w:cs="Times New Roman"/>
                <w:color w:val="auto"/>
                <w:sz w:val="24"/>
                <w:szCs w:val="28"/>
                <w:highlight w:val="none"/>
              </w:rPr>
              <w:t>0</w:t>
            </w:r>
            <w:r>
              <w:rPr>
                <w:rFonts w:ascii="Times New Roman" w:hAnsi="Times New Roman" w:cs="Times New Roman"/>
                <w:color w:val="auto"/>
                <w:sz w:val="24"/>
                <w:szCs w:val="28"/>
                <w:highlight w:val="none"/>
              </w:rPr>
              <w:t>%计</w:t>
            </w:r>
            <w:r>
              <w:rPr>
                <w:rFonts w:hint="eastAsia" w:ascii="Times New Roman" w:hAnsi="Times New Roman" w:cs="Times New Roman"/>
                <w:color w:val="auto"/>
                <w:sz w:val="24"/>
                <w:szCs w:val="28"/>
                <w:highlight w:val="none"/>
              </w:rPr>
              <w:t>，</w:t>
            </w:r>
            <w:r>
              <w:rPr>
                <w:rFonts w:hint="eastAsia" w:ascii="Times New Roman" w:hAnsi="Times New Roman" w:cs="Times New Roman"/>
                <w:color w:val="auto"/>
                <w:sz w:val="24"/>
                <w:szCs w:val="28"/>
                <w:highlight w:val="none"/>
                <w:lang w:val="en-US" w:eastAsia="zh-CN"/>
              </w:rPr>
              <w:t>喷底漆房</w:t>
            </w:r>
            <w:r>
              <w:rPr>
                <w:rFonts w:hint="eastAsia" w:ascii="Times New Roman" w:hAnsi="Times New Roman" w:cs="Times New Roman"/>
                <w:color w:val="auto"/>
                <w:sz w:val="24"/>
                <w:szCs w:val="28"/>
                <w:highlight w:val="none"/>
              </w:rPr>
              <w:t>风量</w:t>
            </w:r>
            <w:r>
              <w:rPr>
                <w:rFonts w:hint="eastAsia" w:ascii="Times New Roman" w:hAnsi="Times New Roman"/>
                <w:color w:val="auto"/>
                <w:sz w:val="24"/>
                <w:highlight w:val="none"/>
                <w:lang w:val="en-US" w:eastAsia="zh-CN"/>
              </w:rPr>
              <w:t>10000</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/h</w:t>
            </w:r>
            <w:r>
              <w:rPr>
                <w:rFonts w:ascii="Times New Roman" w:hAnsi="Times New Roman" w:cs="Times New Roman"/>
                <w:color w:val="auto"/>
                <w:sz w:val="24"/>
                <w:szCs w:val="28"/>
                <w:highlight w:val="none"/>
              </w:rPr>
              <w:t>。</w:t>
            </w:r>
            <w:r>
              <w:rPr>
                <w:rFonts w:hint="eastAsia" w:ascii="Times New Roman" w:hAnsi="Times New Roman" w:eastAsia="宋体" w:cs="Times New Roman"/>
                <w:bCs/>
                <w:color w:val="auto"/>
                <w:sz w:val="24"/>
                <w:szCs w:val="24"/>
                <w:highlight w:val="none"/>
              </w:rPr>
              <w:t>喷底漆房废气</w:t>
            </w:r>
            <w:r>
              <w:rPr>
                <w:rFonts w:hint="eastAsia" w:ascii="Times New Roman" w:hAnsi="Times New Roman" w:cs="Times New Roman"/>
                <w:color w:val="auto"/>
                <w:sz w:val="24"/>
                <w:szCs w:val="28"/>
                <w:highlight w:val="none"/>
              </w:rPr>
              <w:t>非甲烷总烃</w:t>
            </w:r>
            <w:r>
              <w:rPr>
                <w:rFonts w:hint="eastAsia" w:ascii="Times New Roman" w:hAnsi="Times New Roman" w:eastAsia="宋体" w:cs="Times New Roman"/>
                <w:bCs/>
                <w:color w:val="auto"/>
                <w:sz w:val="24"/>
                <w:szCs w:val="24"/>
                <w:highlight w:val="none"/>
              </w:rPr>
              <w:t>产生量为0.4</w:t>
            </w:r>
            <w:r>
              <w:rPr>
                <w:rFonts w:hint="eastAsia" w:ascii="Times New Roman" w:hAnsi="Times New Roman" w:eastAsia="宋体" w:cs="Times New Roman"/>
                <w:bCs/>
                <w:color w:val="auto"/>
                <w:sz w:val="24"/>
                <w:szCs w:val="24"/>
                <w:highlight w:val="none"/>
                <w:lang w:val="en-US" w:eastAsia="zh-CN"/>
              </w:rPr>
              <w:t>62</w:t>
            </w:r>
            <w:r>
              <w:rPr>
                <w:rFonts w:hint="eastAsia" w:ascii="Times New Roman" w:hAnsi="Times New Roman" w:eastAsia="宋体" w:cs="Times New Roman"/>
                <w:bCs/>
                <w:color w:val="auto"/>
                <w:sz w:val="24"/>
                <w:szCs w:val="24"/>
                <w:highlight w:val="none"/>
              </w:rPr>
              <w:t>t/a，有组织排放量为0.04</w:t>
            </w:r>
            <w:r>
              <w:rPr>
                <w:rFonts w:hint="eastAsia" w:ascii="Times New Roman" w:hAnsi="Times New Roman" w:eastAsia="宋体" w:cs="Times New Roman"/>
                <w:bCs/>
                <w:color w:val="auto"/>
                <w:sz w:val="24"/>
                <w:szCs w:val="24"/>
                <w:highlight w:val="none"/>
                <w:lang w:val="en-US" w:eastAsia="zh-CN"/>
              </w:rPr>
              <w:t>4</w:t>
            </w:r>
            <w:r>
              <w:rPr>
                <w:rFonts w:hint="eastAsia" w:ascii="Times New Roman" w:hAnsi="Times New Roman" w:eastAsia="宋体" w:cs="Times New Roman"/>
                <w:bCs/>
                <w:color w:val="auto"/>
                <w:sz w:val="24"/>
                <w:szCs w:val="24"/>
                <w:highlight w:val="none"/>
              </w:rPr>
              <w:t>t/a，无组织排放量为0.02</w:t>
            </w:r>
            <w:r>
              <w:rPr>
                <w:rFonts w:hint="eastAsia" w:ascii="Times New Roman" w:hAnsi="Times New Roman" w:eastAsia="宋体" w:cs="Times New Roman"/>
                <w:bCs/>
                <w:color w:val="auto"/>
                <w:sz w:val="24"/>
                <w:szCs w:val="24"/>
                <w:highlight w:val="none"/>
                <w:lang w:val="en-US" w:eastAsia="zh-CN"/>
              </w:rPr>
              <w:t>31</w:t>
            </w:r>
            <w:r>
              <w:rPr>
                <w:rFonts w:hint="eastAsia" w:ascii="Times New Roman" w:hAnsi="Times New Roman" w:eastAsia="宋体" w:cs="Times New Roman"/>
                <w:bCs/>
                <w:color w:val="auto"/>
                <w:sz w:val="24"/>
                <w:szCs w:val="24"/>
                <w:highlight w:val="none"/>
              </w:rPr>
              <w:t>t/a，</w:t>
            </w:r>
            <w:r>
              <w:rPr>
                <w:rFonts w:hint="eastAsia" w:ascii="Times New Roman" w:hAnsi="Times New Roman" w:cs="Times New Roman"/>
                <w:color w:val="auto"/>
                <w:sz w:val="24"/>
                <w:szCs w:val="28"/>
                <w:highlight w:val="none"/>
              </w:rPr>
              <w:t>年喷漆时间约为2400小时。</w:t>
            </w:r>
          </w:p>
          <w:p w14:paraId="4431EC0D">
            <w:pPr>
              <w:spacing w:line="360" w:lineRule="auto"/>
              <w:ind w:firstLine="482" w:firstLineChars="200"/>
              <w:rPr>
                <w:rFonts w:ascii="Times New Roman" w:hAnsi="Times New Roman" w:cs="Times New Roman"/>
                <w:b/>
                <w:bCs/>
                <w:color w:val="auto"/>
                <w:sz w:val="24"/>
                <w:szCs w:val="28"/>
                <w:highlight w:val="none"/>
              </w:rPr>
            </w:pPr>
            <w:r>
              <w:rPr>
                <w:rFonts w:hint="eastAsia" w:ascii="Times New Roman" w:hAnsi="Times New Roman" w:cs="Times New Roman"/>
                <w:b/>
                <w:bCs/>
                <w:color w:val="auto"/>
                <w:sz w:val="24"/>
                <w:szCs w:val="28"/>
                <w:highlight w:val="none"/>
              </w:rPr>
              <w:t>3）喷面漆废气</w:t>
            </w:r>
            <w:r>
              <w:rPr>
                <w:rFonts w:hint="eastAsia" w:ascii="Times New Roman" w:hAnsi="Times New Roman" w:cs="Times New Roman"/>
                <w:b/>
                <w:bCs/>
                <w:color w:val="auto"/>
                <w:kern w:val="0"/>
                <w:sz w:val="24"/>
                <w:szCs w:val="24"/>
                <w:highlight w:val="none"/>
              </w:rPr>
              <w:t>（G</w:t>
            </w:r>
            <w:r>
              <w:rPr>
                <w:rFonts w:hint="eastAsia" w:ascii="Times New Roman" w:hAnsi="Times New Roman" w:cs="Times New Roman"/>
                <w:b/>
                <w:bCs/>
                <w:color w:val="auto"/>
                <w:kern w:val="0"/>
                <w:sz w:val="24"/>
                <w:szCs w:val="24"/>
                <w:highlight w:val="none"/>
                <w:vertAlign w:val="subscript"/>
              </w:rPr>
              <w:t>5</w:t>
            </w:r>
            <w:r>
              <w:rPr>
                <w:rFonts w:hint="eastAsia" w:ascii="Times New Roman" w:hAnsi="Times New Roman" w:cs="Times New Roman"/>
                <w:b/>
                <w:bCs/>
                <w:color w:val="auto"/>
                <w:kern w:val="0"/>
                <w:sz w:val="24"/>
                <w:szCs w:val="24"/>
                <w:highlight w:val="none"/>
              </w:rPr>
              <w:t>）</w:t>
            </w:r>
          </w:p>
          <w:p w14:paraId="3E765998">
            <w:pPr>
              <w:spacing w:line="360" w:lineRule="auto"/>
              <w:ind w:firstLine="480" w:firstLineChars="200"/>
              <w:rPr>
                <w:rFonts w:ascii="Times New Roman" w:hAnsi="Times New Roman" w:cs="Times New Roman"/>
                <w:color w:val="auto"/>
                <w:sz w:val="24"/>
                <w:szCs w:val="28"/>
                <w:highlight w:val="none"/>
              </w:rPr>
            </w:pPr>
            <w:r>
              <w:rPr>
                <w:rFonts w:hint="eastAsia" w:ascii="Times New Roman" w:hAnsi="Times New Roman" w:eastAsia="宋体" w:cs="Times New Roman"/>
                <w:bCs/>
                <w:color w:val="auto"/>
                <w:sz w:val="24"/>
                <w:szCs w:val="24"/>
                <w:highlight w:val="none"/>
              </w:rPr>
              <w:t>本项目汽车零部件喷面漆在喷面漆房内进行，</w:t>
            </w:r>
            <w:r>
              <w:rPr>
                <w:rFonts w:hint="eastAsia" w:ascii="Times New Roman" w:hAnsi="Times New Roman" w:eastAsia="宋体" w:cs="Times New Roman"/>
                <w:color w:val="auto"/>
                <w:sz w:val="24"/>
                <w:szCs w:val="24"/>
                <w:highlight w:val="none"/>
              </w:rPr>
              <w:t>喷面漆废气（G</w:t>
            </w:r>
            <w:r>
              <w:rPr>
                <w:rFonts w:hint="eastAsia" w:ascii="Times New Roman" w:hAnsi="Times New Roman" w:eastAsia="宋体" w:cs="Times New Roman"/>
                <w:color w:val="auto"/>
                <w:sz w:val="24"/>
                <w:szCs w:val="24"/>
                <w:highlight w:val="none"/>
                <w:vertAlign w:val="subscript"/>
              </w:rPr>
              <w:t>5</w:t>
            </w:r>
            <w:r>
              <w:rPr>
                <w:rFonts w:hint="eastAsia" w:ascii="Times New Roman" w:hAnsi="Times New Roman" w:eastAsia="宋体" w:cs="Times New Roman"/>
                <w:color w:val="auto"/>
                <w:sz w:val="24"/>
                <w:szCs w:val="24"/>
                <w:highlight w:val="none"/>
              </w:rPr>
              <w:t>）</w:t>
            </w:r>
            <w:r>
              <w:rPr>
                <w:rFonts w:ascii="Times New Roman" w:hAnsi="Times New Roman" w:cs="Times New Roman"/>
                <w:color w:val="auto"/>
                <w:sz w:val="24"/>
                <w:szCs w:val="28"/>
                <w:highlight w:val="none"/>
              </w:rPr>
              <w:t>经</w:t>
            </w:r>
            <w:r>
              <w:rPr>
                <w:rFonts w:hint="eastAsia" w:ascii="Times New Roman" w:hAnsi="Times New Roman" w:cs="Times New Roman"/>
                <w:color w:val="auto"/>
                <w:sz w:val="24"/>
                <w:szCs w:val="28"/>
                <w:highlight w:val="none"/>
                <w:lang w:val="en-US" w:eastAsia="zh-CN"/>
              </w:rPr>
              <w:t>负压</w:t>
            </w:r>
            <w:r>
              <w:rPr>
                <w:rFonts w:hint="eastAsia" w:ascii="Times New Roman" w:hAnsi="Times New Roman" w:cs="Times New Roman"/>
                <w:color w:val="auto"/>
                <w:sz w:val="24"/>
                <w:szCs w:val="28"/>
                <w:highlight w:val="none"/>
              </w:rPr>
              <w:t>收集</w:t>
            </w:r>
            <w:r>
              <w:rPr>
                <w:rFonts w:ascii="Times New Roman" w:hAnsi="Times New Roman" w:cs="Times New Roman"/>
                <w:color w:val="auto"/>
                <w:sz w:val="24"/>
                <w:szCs w:val="28"/>
                <w:highlight w:val="none"/>
              </w:rPr>
              <w:t>，经过</w:t>
            </w:r>
            <w:r>
              <w:rPr>
                <w:rFonts w:hint="eastAsia" w:ascii="Times New Roman" w:hAnsi="Times New Roman" w:cs="Times New Roman"/>
                <w:color w:val="auto"/>
                <w:sz w:val="24"/>
                <w:szCs w:val="28"/>
                <w:highlight w:val="none"/>
              </w:rPr>
              <w:t>“两级活性炭”</w:t>
            </w:r>
            <w:r>
              <w:rPr>
                <w:rFonts w:ascii="Times New Roman" w:hAnsi="Times New Roman" w:cs="Times New Roman"/>
                <w:color w:val="auto"/>
                <w:sz w:val="24"/>
                <w:szCs w:val="28"/>
                <w:highlight w:val="none"/>
              </w:rPr>
              <w:t>处理后通过排气筒</w:t>
            </w:r>
            <w:r>
              <w:rPr>
                <w:rFonts w:hint="eastAsia" w:ascii="Times New Roman" w:hAnsi="Times New Roman" w:cs="Times New Roman"/>
                <w:color w:val="auto"/>
                <w:sz w:val="24"/>
                <w:szCs w:val="28"/>
                <w:highlight w:val="none"/>
              </w:rPr>
              <w:t>DA001</w:t>
            </w:r>
            <w:r>
              <w:rPr>
                <w:rFonts w:ascii="Times New Roman" w:hAnsi="Times New Roman" w:cs="Times New Roman"/>
                <w:color w:val="auto"/>
                <w:sz w:val="24"/>
                <w:szCs w:val="28"/>
                <w:highlight w:val="none"/>
              </w:rPr>
              <w:t>排放。收集效率以9</w:t>
            </w:r>
            <w:r>
              <w:rPr>
                <w:rFonts w:hint="eastAsia" w:ascii="Times New Roman" w:hAnsi="Times New Roman" w:cs="Times New Roman"/>
                <w:color w:val="auto"/>
                <w:sz w:val="24"/>
                <w:szCs w:val="28"/>
                <w:highlight w:val="none"/>
              </w:rPr>
              <w:t>5</w:t>
            </w:r>
            <w:r>
              <w:rPr>
                <w:rFonts w:ascii="Times New Roman" w:hAnsi="Times New Roman" w:cs="Times New Roman"/>
                <w:color w:val="auto"/>
                <w:sz w:val="24"/>
                <w:szCs w:val="28"/>
                <w:highlight w:val="none"/>
              </w:rPr>
              <w:t>%计，</w:t>
            </w:r>
            <w:r>
              <w:rPr>
                <w:rFonts w:hint="eastAsia" w:ascii="Times New Roman" w:hAnsi="Times New Roman" w:cs="Times New Roman"/>
                <w:color w:val="auto"/>
                <w:sz w:val="24"/>
                <w:szCs w:val="28"/>
                <w:highlight w:val="none"/>
              </w:rPr>
              <w:t>“两级活性炭”</w:t>
            </w:r>
            <w:r>
              <w:rPr>
                <w:rFonts w:ascii="Times New Roman" w:hAnsi="Times New Roman" w:cs="Times New Roman"/>
                <w:color w:val="auto"/>
                <w:sz w:val="24"/>
                <w:szCs w:val="28"/>
                <w:highlight w:val="none"/>
              </w:rPr>
              <w:t>对</w:t>
            </w:r>
            <w:r>
              <w:rPr>
                <w:rFonts w:hint="eastAsia" w:ascii="Times New Roman" w:hAnsi="Times New Roman" w:cs="Times New Roman"/>
                <w:color w:val="auto"/>
                <w:sz w:val="24"/>
                <w:szCs w:val="28"/>
                <w:highlight w:val="none"/>
              </w:rPr>
              <w:t>非甲烷总烃</w:t>
            </w:r>
            <w:r>
              <w:rPr>
                <w:rFonts w:ascii="Times New Roman" w:hAnsi="Times New Roman" w:cs="Times New Roman"/>
                <w:color w:val="auto"/>
                <w:sz w:val="24"/>
                <w:szCs w:val="28"/>
                <w:highlight w:val="none"/>
              </w:rPr>
              <w:t>处理效率以9</w:t>
            </w:r>
            <w:r>
              <w:rPr>
                <w:rFonts w:hint="eastAsia" w:ascii="Times New Roman" w:hAnsi="Times New Roman" w:cs="Times New Roman"/>
                <w:color w:val="auto"/>
                <w:sz w:val="24"/>
                <w:szCs w:val="28"/>
                <w:highlight w:val="none"/>
              </w:rPr>
              <w:t>0</w:t>
            </w:r>
            <w:r>
              <w:rPr>
                <w:rFonts w:ascii="Times New Roman" w:hAnsi="Times New Roman" w:cs="Times New Roman"/>
                <w:color w:val="auto"/>
                <w:sz w:val="24"/>
                <w:szCs w:val="28"/>
                <w:highlight w:val="none"/>
              </w:rPr>
              <w:t>%计</w:t>
            </w:r>
            <w:r>
              <w:rPr>
                <w:rFonts w:hint="eastAsia" w:ascii="Times New Roman" w:hAnsi="Times New Roman" w:cs="Times New Roman"/>
                <w:color w:val="auto"/>
                <w:sz w:val="24"/>
                <w:szCs w:val="28"/>
                <w:highlight w:val="none"/>
              </w:rPr>
              <w:t>，</w:t>
            </w:r>
            <w:r>
              <w:rPr>
                <w:rFonts w:hint="eastAsia" w:ascii="Times New Roman" w:hAnsi="Times New Roman" w:cs="Times New Roman"/>
                <w:color w:val="auto"/>
                <w:sz w:val="24"/>
                <w:szCs w:val="28"/>
                <w:highlight w:val="none"/>
                <w:lang w:val="en-US" w:eastAsia="zh-CN"/>
              </w:rPr>
              <w:t>喷面漆房</w:t>
            </w:r>
            <w:r>
              <w:rPr>
                <w:rFonts w:hint="eastAsia" w:ascii="Times New Roman" w:hAnsi="Times New Roman" w:cs="Times New Roman"/>
                <w:color w:val="auto"/>
                <w:sz w:val="24"/>
                <w:szCs w:val="28"/>
                <w:highlight w:val="none"/>
              </w:rPr>
              <w:t>风量</w:t>
            </w:r>
            <w:r>
              <w:rPr>
                <w:rFonts w:hint="eastAsia" w:ascii="Times New Roman" w:hAnsi="Times New Roman"/>
                <w:color w:val="auto"/>
                <w:sz w:val="24"/>
                <w:highlight w:val="none"/>
                <w:lang w:val="en-US" w:eastAsia="zh-CN"/>
              </w:rPr>
              <w:t>100</w:t>
            </w:r>
            <w:r>
              <w:rPr>
                <w:rFonts w:hint="eastAsia" w:ascii="Times New Roman" w:hAnsi="Times New Roman"/>
                <w:color w:val="auto"/>
                <w:sz w:val="24"/>
                <w:highlight w:val="none"/>
              </w:rPr>
              <w:t>00</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/h</w:t>
            </w:r>
            <w:r>
              <w:rPr>
                <w:rFonts w:ascii="Times New Roman" w:hAnsi="Times New Roman" w:cs="Times New Roman"/>
                <w:color w:val="auto"/>
                <w:sz w:val="24"/>
                <w:szCs w:val="28"/>
                <w:highlight w:val="none"/>
              </w:rPr>
              <w:t>。</w:t>
            </w:r>
            <w:r>
              <w:rPr>
                <w:rFonts w:hint="eastAsia" w:ascii="Times New Roman" w:hAnsi="Times New Roman" w:eastAsia="宋体" w:cs="Times New Roman"/>
                <w:bCs/>
                <w:color w:val="auto"/>
                <w:sz w:val="24"/>
                <w:szCs w:val="24"/>
                <w:highlight w:val="none"/>
              </w:rPr>
              <w:t>喷面漆房废气</w:t>
            </w:r>
            <w:r>
              <w:rPr>
                <w:rFonts w:hint="eastAsia" w:ascii="Times New Roman" w:hAnsi="Times New Roman" w:cs="Times New Roman"/>
                <w:color w:val="auto"/>
                <w:sz w:val="24"/>
                <w:szCs w:val="28"/>
                <w:highlight w:val="none"/>
              </w:rPr>
              <w:t>非甲烷总烃</w:t>
            </w:r>
            <w:r>
              <w:rPr>
                <w:rFonts w:hint="eastAsia" w:ascii="Times New Roman" w:hAnsi="Times New Roman" w:eastAsia="宋体" w:cs="Times New Roman"/>
                <w:bCs/>
                <w:color w:val="auto"/>
                <w:sz w:val="24"/>
                <w:szCs w:val="24"/>
                <w:highlight w:val="none"/>
              </w:rPr>
              <w:t>产生量为0.4</w:t>
            </w:r>
            <w:r>
              <w:rPr>
                <w:rFonts w:hint="eastAsia" w:ascii="Times New Roman" w:hAnsi="Times New Roman" w:eastAsia="宋体" w:cs="Times New Roman"/>
                <w:bCs/>
                <w:color w:val="auto"/>
                <w:sz w:val="24"/>
                <w:szCs w:val="24"/>
                <w:highlight w:val="none"/>
                <w:lang w:val="en-US" w:eastAsia="zh-CN"/>
              </w:rPr>
              <w:t>06</w:t>
            </w:r>
            <w:r>
              <w:rPr>
                <w:rFonts w:hint="eastAsia" w:ascii="Times New Roman" w:hAnsi="Times New Roman" w:eastAsia="宋体" w:cs="Times New Roman"/>
                <w:bCs/>
                <w:color w:val="auto"/>
                <w:sz w:val="24"/>
                <w:szCs w:val="24"/>
                <w:highlight w:val="none"/>
              </w:rPr>
              <w:t>t/a，有组织排放量为0.039t/a，无组织排放量为0.02</w:t>
            </w:r>
            <w:r>
              <w:rPr>
                <w:rFonts w:hint="eastAsia" w:ascii="Times New Roman" w:hAnsi="Times New Roman" w:eastAsia="宋体" w:cs="Times New Roman"/>
                <w:bCs/>
                <w:color w:val="auto"/>
                <w:sz w:val="24"/>
                <w:szCs w:val="24"/>
                <w:highlight w:val="none"/>
                <w:lang w:val="en-US" w:eastAsia="zh-CN"/>
              </w:rPr>
              <w:t>03</w:t>
            </w:r>
            <w:r>
              <w:rPr>
                <w:rFonts w:hint="eastAsia" w:ascii="Times New Roman" w:hAnsi="Times New Roman" w:eastAsia="宋体" w:cs="Times New Roman"/>
                <w:bCs/>
                <w:color w:val="auto"/>
                <w:sz w:val="24"/>
                <w:szCs w:val="24"/>
                <w:highlight w:val="none"/>
              </w:rPr>
              <w:t>t/a，</w:t>
            </w:r>
            <w:r>
              <w:rPr>
                <w:rFonts w:hint="eastAsia" w:ascii="Times New Roman" w:hAnsi="Times New Roman" w:cs="Times New Roman"/>
                <w:color w:val="auto"/>
                <w:sz w:val="24"/>
                <w:szCs w:val="28"/>
                <w:highlight w:val="none"/>
              </w:rPr>
              <w:t>年喷漆时间约为2400小时。</w:t>
            </w:r>
          </w:p>
          <w:p w14:paraId="3766B5A9">
            <w:pPr>
              <w:spacing w:line="360" w:lineRule="auto"/>
              <w:ind w:firstLine="482" w:firstLineChars="200"/>
              <w:rPr>
                <w:rFonts w:ascii="Times New Roman" w:hAnsi="Times New Roman" w:cs="Times New Roman"/>
                <w:b/>
                <w:bCs/>
                <w:color w:val="auto"/>
                <w:sz w:val="24"/>
                <w:szCs w:val="28"/>
                <w:highlight w:val="none"/>
              </w:rPr>
            </w:pPr>
            <w:r>
              <w:rPr>
                <w:rFonts w:hint="eastAsia" w:ascii="Times New Roman" w:hAnsi="Times New Roman" w:cs="Times New Roman"/>
                <w:b/>
                <w:bCs/>
                <w:color w:val="auto"/>
                <w:sz w:val="24"/>
                <w:szCs w:val="28"/>
                <w:highlight w:val="none"/>
              </w:rPr>
              <w:t>4）烘干废气</w:t>
            </w:r>
            <w:r>
              <w:rPr>
                <w:rFonts w:hint="eastAsia" w:ascii="Times New Roman" w:hAnsi="Times New Roman" w:cs="Times New Roman"/>
                <w:b/>
                <w:bCs/>
                <w:color w:val="auto"/>
                <w:kern w:val="0"/>
                <w:sz w:val="24"/>
                <w:szCs w:val="24"/>
                <w:highlight w:val="none"/>
              </w:rPr>
              <w:t>（G</w:t>
            </w:r>
            <w:r>
              <w:rPr>
                <w:rFonts w:hint="eastAsia" w:ascii="Times New Roman" w:hAnsi="Times New Roman" w:cs="Times New Roman"/>
                <w:b/>
                <w:bCs/>
                <w:color w:val="auto"/>
                <w:kern w:val="0"/>
                <w:sz w:val="24"/>
                <w:szCs w:val="24"/>
                <w:highlight w:val="none"/>
                <w:vertAlign w:val="subscript"/>
              </w:rPr>
              <w:t>3</w:t>
            </w:r>
            <w:r>
              <w:rPr>
                <w:rFonts w:hint="eastAsia" w:ascii="Times New Roman" w:hAnsi="Times New Roman" w:cs="Times New Roman"/>
                <w:b/>
                <w:bCs/>
                <w:color w:val="auto"/>
                <w:kern w:val="0"/>
                <w:sz w:val="24"/>
                <w:szCs w:val="24"/>
                <w:highlight w:val="none"/>
              </w:rPr>
              <w:t>）</w:t>
            </w:r>
          </w:p>
          <w:p w14:paraId="6E5265AA">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cs="Times New Roman"/>
                <w:color w:val="auto"/>
                <w:sz w:val="24"/>
                <w:szCs w:val="28"/>
                <w:highlight w:val="none"/>
              </w:rPr>
              <w:t>本项目汽车零部件</w:t>
            </w:r>
            <w:r>
              <w:rPr>
                <w:rFonts w:hint="eastAsia" w:ascii="Times New Roman" w:hAnsi="Times New Roman" w:cs="Times New Roman"/>
                <w:color w:val="auto"/>
                <w:sz w:val="24"/>
                <w:szCs w:val="28"/>
                <w:highlight w:val="none"/>
                <w:lang w:val="en-US" w:eastAsia="zh-CN"/>
              </w:rPr>
              <w:t>3楼</w:t>
            </w:r>
            <w:r>
              <w:rPr>
                <w:rFonts w:hint="eastAsia" w:ascii="Times New Roman" w:hAnsi="Times New Roman" w:cs="Times New Roman"/>
                <w:color w:val="auto"/>
                <w:sz w:val="24"/>
                <w:szCs w:val="28"/>
                <w:highlight w:val="none"/>
              </w:rPr>
              <w:t>喷底漆、喷面漆烘干采用烘烤箱烘干，烘干过程会产生烘干废气，烘烤箱为密闭设备，上方设置排气口</w:t>
            </w:r>
            <w:r>
              <w:rPr>
                <w:rStyle w:val="22"/>
                <w:rFonts w:hint="eastAsia"/>
                <w:color w:val="auto"/>
                <w:sz w:val="24"/>
                <w:szCs w:val="24"/>
                <w:highlight w:val="none"/>
                <w:lang w:eastAsia="zh-CN"/>
              </w:rPr>
              <w:t>，</w:t>
            </w:r>
            <w:r>
              <w:rPr>
                <w:rFonts w:hint="eastAsia" w:ascii="Times New Roman" w:hAnsi="Times New Roman" w:cs="Times New Roman"/>
                <w:color w:val="auto"/>
                <w:sz w:val="24"/>
                <w:szCs w:val="28"/>
                <w:highlight w:val="none"/>
                <w:lang w:val="en-US" w:eastAsia="zh-CN"/>
              </w:rPr>
              <w:t>2楼</w:t>
            </w:r>
            <w:r>
              <w:rPr>
                <w:rFonts w:hint="eastAsia" w:ascii="Times New Roman" w:hAnsi="Times New Roman" w:cs="Times New Roman"/>
                <w:color w:val="auto"/>
                <w:sz w:val="24"/>
                <w:szCs w:val="28"/>
                <w:highlight w:val="none"/>
              </w:rPr>
              <w:t>喷底漆、喷面漆烘干采用</w:t>
            </w:r>
            <w:r>
              <w:rPr>
                <w:rFonts w:hint="eastAsia" w:ascii="Times New Roman" w:hAnsi="Times New Roman" w:cs="Times New Roman"/>
                <w:color w:val="auto"/>
                <w:sz w:val="24"/>
                <w:szCs w:val="28"/>
                <w:highlight w:val="none"/>
                <w:lang w:val="en-US" w:eastAsia="zh-CN"/>
              </w:rPr>
              <w:t>烘道进行烘干，</w:t>
            </w:r>
            <w:r>
              <w:rPr>
                <w:rStyle w:val="22"/>
                <w:rFonts w:hint="eastAsia"/>
                <w:color w:val="auto"/>
                <w:sz w:val="24"/>
                <w:szCs w:val="24"/>
                <w:highlight w:val="none"/>
                <w:lang w:val="en-US" w:eastAsia="zh-CN"/>
              </w:rPr>
              <w:t>烘干废气经负压收集，经过</w:t>
            </w:r>
            <w:r>
              <w:rPr>
                <w:rFonts w:hint="eastAsia" w:ascii="Times New Roman" w:hAnsi="Times New Roman" w:eastAsia="宋体" w:cs="Times New Roman"/>
                <w:color w:val="auto"/>
                <w:sz w:val="24"/>
                <w:szCs w:val="24"/>
                <w:highlight w:val="none"/>
              </w:rPr>
              <w:t>“两级活性炭吸附装置”（TA001）处理后</w:t>
            </w:r>
            <w:r>
              <w:rPr>
                <w:rFonts w:hint="eastAsia" w:ascii="Times New Roman" w:hAnsi="Times New Roman" w:eastAsia="宋体" w:cs="Times New Roman"/>
                <w:color w:val="auto"/>
                <w:sz w:val="24"/>
                <w:szCs w:val="24"/>
                <w:highlight w:val="none"/>
                <w:lang w:val="en-US" w:eastAsia="zh-CN"/>
              </w:rPr>
              <w:t>通过</w:t>
            </w:r>
            <w:r>
              <w:rPr>
                <w:rFonts w:hint="eastAsia" w:ascii="Times New Roman" w:hAnsi="Times New Roman" w:eastAsia="宋体" w:cs="Times New Roman"/>
                <w:color w:val="auto"/>
                <w:sz w:val="24"/>
                <w:szCs w:val="24"/>
                <w:highlight w:val="none"/>
              </w:rPr>
              <w:t>排气筒DA001排放</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收集效率以95%计。</w:t>
            </w:r>
            <w:r>
              <w:rPr>
                <w:rFonts w:hint="eastAsia" w:ascii="Times New Roman" w:hAnsi="Times New Roman" w:cs="Times New Roman"/>
                <w:color w:val="auto"/>
                <w:sz w:val="24"/>
                <w:szCs w:val="28"/>
                <w:highlight w:val="none"/>
              </w:rPr>
              <w:t>“两级活性炭”</w:t>
            </w:r>
            <w:r>
              <w:rPr>
                <w:rFonts w:ascii="Times New Roman" w:hAnsi="Times New Roman" w:cs="Times New Roman"/>
                <w:color w:val="auto"/>
                <w:sz w:val="24"/>
                <w:szCs w:val="28"/>
                <w:highlight w:val="none"/>
              </w:rPr>
              <w:t>对</w:t>
            </w:r>
            <w:r>
              <w:rPr>
                <w:rFonts w:hint="eastAsia" w:ascii="Times New Roman" w:hAnsi="Times New Roman" w:cs="Times New Roman"/>
                <w:color w:val="auto"/>
                <w:sz w:val="24"/>
                <w:szCs w:val="28"/>
                <w:highlight w:val="none"/>
              </w:rPr>
              <w:t>非甲烷总烃</w:t>
            </w:r>
            <w:r>
              <w:rPr>
                <w:rFonts w:ascii="Times New Roman" w:hAnsi="Times New Roman" w:cs="Times New Roman"/>
                <w:color w:val="auto"/>
                <w:sz w:val="24"/>
                <w:szCs w:val="28"/>
                <w:highlight w:val="none"/>
              </w:rPr>
              <w:t>处理效率以9</w:t>
            </w:r>
            <w:r>
              <w:rPr>
                <w:rFonts w:hint="eastAsia" w:ascii="Times New Roman" w:hAnsi="Times New Roman" w:cs="Times New Roman"/>
                <w:color w:val="auto"/>
                <w:sz w:val="24"/>
                <w:szCs w:val="28"/>
                <w:highlight w:val="none"/>
              </w:rPr>
              <w:t>0</w:t>
            </w:r>
            <w:r>
              <w:rPr>
                <w:rFonts w:ascii="Times New Roman" w:hAnsi="Times New Roman" w:cs="Times New Roman"/>
                <w:color w:val="auto"/>
                <w:sz w:val="24"/>
                <w:szCs w:val="28"/>
                <w:highlight w:val="none"/>
              </w:rPr>
              <w:t>%计</w:t>
            </w:r>
            <w:r>
              <w:rPr>
                <w:rFonts w:hint="eastAsia" w:ascii="Times New Roman" w:hAnsi="Times New Roman" w:cs="Times New Roman"/>
                <w:color w:val="auto"/>
                <w:sz w:val="24"/>
                <w:szCs w:val="28"/>
                <w:highlight w:val="none"/>
              </w:rPr>
              <w:t>，</w:t>
            </w:r>
            <w:r>
              <w:rPr>
                <w:rFonts w:hint="eastAsia" w:ascii="Times New Roman" w:hAnsi="Times New Roman" w:cs="Times New Roman"/>
                <w:color w:val="auto"/>
                <w:sz w:val="24"/>
                <w:szCs w:val="28"/>
                <w:highlight w:val="none"/>
                <w:lang w:val="en-US" w:eastAsia="zh-CN"/>
              </w:rPr>
              <w:t>烘烤箱</w:t>
            </w:r>
            <w:r>
              <w:rPr>
                <w:rFonts w:hint="eastAsia" w:ascii="Times New Roman" w:hAnsi="Times New Roman" w:cs="Times New Roman"/>
                <w:color w:val="auto"/>
                <w:sz w:val="24"/>
                <w:szCs w:val="28"/>
                <w:highlight w:val="none"/>
              </w:rPr>
              <w:t>风量</w:t>
            </w:r>
            <w:r>
              <w:rPr>
                <w:rFonts w:hint="eastAsia" w:ascii="Times New Roman" w:hAnsi="Times New Roman"/>
                <w:color w:val="auto"/>
                <w:sz w:val="24"/>
                <w:highlight w:val="none"/>
                <w:lang w:val="en-US" w:eastAsia="zh-CN"/>
              </w:rPr>
              <w:t>10</w:t>
            </w:r>
            <w:r>
              <w:rPr>
                <w:rFonts w:hint="eastAsia" w:ascii="Times New Roman" w:hAnsi="Times New Roman"/>
                <w:color w:val="auto"/>
                <w:sz w:val="24"/>
                <w:highlight w:val="none"/>
              </w:rPr>
              <w:t>00</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/h</w:t>
            </w:r>
            <w:r>
              <w:rPr>
                <w:rFonts w:hint="eastAsia" w:ascii="Times New Roman" w:hAnsi="Times New Roman" w:cs="Times New Roman"/>
                <w:color w:val="auto"/>
                <w:sz w:val="24"/>
                <w:szCs w:val="28"/>
                <w:highlight w:val="none"/>
              </w:rPr>
              <w:t>，</w:t>
            </w:r>
            <w:r>
              <w:rPr>
                <w:rFonts w:hint="eastAsia" w:ascii="Times New Roman" w:hAnsi="Times New Roman" w:cs="Times New Roman"/>
                <w:color w:val="auto"/>
                <w:sz w:val="24"/>
                <w:szCs w:val="28"/>
                <w:highlight w:val="none"/>
                <w:lang w:val="en-US" w:eastAsia="zh-CN"/>
              </w:rPr>
              <w:t>烘道</w:t>
            </w:r>
            <w:r>
              <w:rPr>
                <w:rFonts w:hint="eastAsia" w:ascii="Times New Roman" w:hAnsi="Times New Roman" w:cs="Times New Roman"/>
                <w:color w:val="auto"/>
                <w:sz w:val="24"/>
                <w:szCs w:val="28"/>
                <w:highlight w:val="none"/>
              </w:rPr>
              <w:t>风量</w:t>
            </w:r>
            <w:r>
              <w:rPr>
                <w:rFonts w:hint="eastAsia" w:ascii="Times New Roman" w:hAnsi="Times New Roman"/>
                <w:color w:val="auto"/>
                <w:sz w:val="24"/>
                <w:highlight w:val="none"/>
                <w:lang w:val="en-US" w:eastAsia="zh-CN"/>
              </w:rPr>
              <w:t>7</w:t>
            </w:r>
            <w:r>
              <w:rPr>
                <w:rFonts w:hint="eastAsia" w:ascii="Times New Roman" w:hAnsi="Times New Roman"/>
                <w:color w:val="auto"/>
                <w:sz w:val="24"/>
                <w:highlight w:val="none"/>
              </w:rPr>
              <w:t>00</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/h</w:t>
            </w:r>
            <w:r>
              <w:rPr>
                <w:rFonts w:ascii="Times New Roman" w:hAnsi="Times New Roman" w:cs="Times New Roman"/>
                <w:color w:val="auto"/>
                <w:sz w:val="24"/>
                <w:szCs w:val="28"/>
                <w:highlight w:val="none"/>
              </w:rPr>
              <w:t>。</w:t>
            </w:r>
            <w:r>
              <w:rPr>
                <w:rFonts w:hint="eastAsia" w:ascii="Times New Roman" w:hAnsi="Times New Roman" w:cs="Times New Roman"/>
                <w:color w:val="auto"/>
                <w:sz w:val="24"/>
                <w:szCs w:val="28"/>
                <w:highlight w:val="none"/>
              </w:rPr>
              <w:t>根据上表，</w:t>
            </w:r>
            <w:r>
              <w:rPr>
                <w:rFonts w:hint="eastAsia" w:ascii="Times New Roman" w:hAnsi="Times New Roman" w:cs="Times New Roman"/>
                <w:color w:val="auto"/>
                <w:sz w:val="24"/>
                <w:szCs w:val="28"/>
                <w:highlight w:val="none"/>
                <w:lang w:val="en-US" w:eastAsia="zh-CN"/>
              </w:rPr>
              <w:t>烘干</w:t>
            </w:r>
            <w:r>
              <w:rPr>
                <w:rFonts w:hint="eastAsia" w:ascii="Times New Roman" w:hAnsi="Times New Roman" w:cs="Times New Roman"/>
                <w:color w:val="auto"/>
                <w:sz w:val="24"/>
                <w:szCs w:val="28"/>
                <w:highlight w:val="none"/>
              </w:rPr>
              <w:t>废气非甲烷总烃产生量为1.2</w:t>
            </w:r>
            <w:r>
              <w:rPr>
                <w:rFonts w:hint="eastAsia" w:ascii="Times New Roman" w:hAnsi="Times New Roman" w:cs="Times New Roman"/>
                <w:color w:val="auto"/>
                <w:sz w:val="24"/>
                <w:szCs w:val="28"/>
                <w:highlight w:val="none"/>
                <w:lang w:val="en-US" w:eastAsia="zh-CN"/>
              </w:rPr>
              <w:t>59</w:t>
            </w:r>
            <w:r>
              <w:rPr>
                <w:rFonts w:hint="eastAsia" w:ascii="Times New Roman" w:hAnsi="Times New Roman" w:cs="Times New Roman"/>
                <w:color w:val="auto"/>
                <w:sz w:val="24"/>
                <w:szCs w:val="28"/>
                <w:highlight w:val="none"/>
              </w:rPr>
              <w:t>t/a</w:t>
            </w:r>
            <w:r>
              <w:rPr>
                <w:rFonts w:hint="eastAsia" w:ascii="Times New Roman" w:hAnsi="Times New Roman" w:eastAsia="宋体" w:cs="Times New Roman"/>
                <w:bCs/>
                <w:color w:val="auto"/>
                <w:sz w:val="24"/>
                <w:szCs w:val="24"/>
                <w:highlight w:val="none"/>
              </w:rPr>
              <w:t>，有组织排放量为</w:t>
            </w:r>
            <w:r>
              <w:rPr>
                <w:rFonts w:ascii="Times New Roman" w:hAnsi="Times New Roman" w:eastAsia="宋体" w:cs="Times New Roman"/>
                <w:bCs/>
                <w:color w:val="auto"/>
                <w:sz w:val="24"/>
                <w:szCs w:val="24"/>
                <w:highlight w:val="none"/>
              </w:rPr>
              <w:t>0.12</w:t>
            </w:r>
            <w:r>
              <w:rPr>
                <w:rFonts w:hint="eastAsia" w:ascii="Times New Roman" w:hAnsi="Times New Roman" w:eastAsia="宋体" w:cs="Times New Roman"/>
                <w:bCs/>
                <w:color w:val="auto"/>
                <w:sz w:val="24"/>
                <w:szCs w:val="24"/>
                <w:highlight w:val="none"/>
                <w:lang w:val="en-US" w:eastAsia="zh-CN"/>
              </w:rPr>
              <w:t>59</w:t>
            </w:r>
            <w:r>
              <w:rPr>
                <w:rFonts w:ascii="Times New Roman" w:hAnsi="Times New Roman" w:eastAsia="宋体" w:cs="Times New Roman"/>
                <w:bCs/>
                <w:color w:val="auto"/>
                <w:sz w:val="24"/>
                <w:szCs w:val="24"/>
                <w:highlight w:val="none"/>
              </w:rPr>
              <w:t>t/a</w:t>
            </w:r>
            <w:r>
              <w:rPr>
                <w:rFonts w:hint="eastAsia" w:ascii="Times New Roman" w:hAnsi="Times New Roman" w:eastAsia="宋体" w:cs="Times New Roman"/>
                <w:bCs/>
                <w:color w:val="auto"/>
                <w:sz w:val="24"/>
                <w:szCs w:val="24"/>
                <w:highlight w:val="none"/>
              </w:rPr>
              <w:t>，年烘干时间2400h。烘干过</w:t>
            </w:r>
            <w:r>
              <w:rPr>
                <w:rFonts w:ascii="Times New Roman" w:hAnsi="Times New Roman" w:eastAsia="宋体" w:cs="Times New Roman"/>
                <w:bCs/>
                <w:color w:val="auto"/>
                <w:sz w:val="24"/>
                <w:szCs w:val="24"/>
                <w:highlight w:val="none"/>
              </w:rPr>
              <w:t>程温度</w:t>
            </w:r>
            <w:r>
              <w:rPr>
                <w:rFonts w:hint="eastAsia" w:ascii="Times New Roman" w:hAnsi="Times New Roman" w:eastAsia="宋体" w:cs="Times New Roman"/>
                <w:bCs/>
                <w:color w:val="auto"/>
                <w:sz w:val="24"/>
                <w:szCs w:val="24"/>
                <w:highlight w:val="none"/>
                <w:lang w:val="en-US" w:eastAsia="zh-CN"/>
              </w:rPr>
              <w:t>80</w:t>
            </w:r>
            <w:r>
              <w:rPr>
                <w:rFonts w:ascii="Times New Roman" w:hAnsi="Times New Roman" w:eastAsia="宋体" w:cs="Times New Roman"/>
                <w:bCs/>
                <w:color w:val="auto"/>
                <w:sz w:val="24"/>
                <w:szCs w:val="24"/>
                <w:highlight w:val="none"/>
              </w:rPr>
              <w:t>℃，烘干设备风量为</w:t>
            </w:r>
            <w:r>
              <w:rPr>
                <w:rFonts w:hint="eastAsia" w:ascii="Times New Roman" w:hAnsi="Times New Roman" w:eastAsia="宋体" w:cs="Times New Roman"/>
                <w:bCs/>
                <w:color w:val="auto"/>
                <w:sz w:val="24"/>
                <w:szCs w:val="24"/>
                <w:highlight w:val="none"/>
                <w:lang w:val="en-US" w:eastAsia="zh-CN"/>
              </w:rPr>
              <w:t>1700</w:t>
            </w:r>
            <w:r>
              <w:rPr>
                <w:rFonts w:ascii="Times New Roman" w:hAnsi="Times New Roman" w:eastAsia="宋体" w:cs="Times New Roman"/>
                <w:bCs/>
                <w:color w:val="auto"/>
                <w:sz w:val="24"/>
                <w:szCs w:val="24"/>
                <w:highlight w:val="none"/>
              </w:rPr>
              <w:t>m</w:t>
            </w:r>
            <w:r>
              <w:rPr>
                <w:rFonts w:ascii="Times New Roman" w:hAnsi="Times New Roman" w:eastAsia="宋体" w:cs="Times New Roman"/>
                <w:bCs/>
                <w:color w:val="auto"/>
                <w:sz w:val="24"/>
                <w:szCs w:val="24"/>
                <w:highlight w:val="none"/>
                <w:vertAlign w:val="superscript"/>
              </w:rPr>
              <w:t>3</w:t>
            </w:r>
            <w:r>
              <w:rPr>
                <w:rFonts w:ascii="Times New Roman" w:hAnsi="Times New Roman" w:eastAsia="宋体" w:cs="Times New Roman"/>
                <w:bCs/>
                <w:color w:val="auto"/>
                <w:sz w:val="24"/>
                <w:szCs w:val="24"/>
                <w:highlight w:val="none"/>
              </w:rPr>
              <w:t>/h</w:t>
            </w:r>
            <w:r>
              <w:rPr>
                <w:rFonts w:hint="eastAsia" w:ascii="Times New Roman" w:hAnsi="Times New Roman" w:eastAsia="宋体" w:cs="Times New Roman"/>
                <w:color w:val="auto"/>
                <w:sz w:val="24"/>
                <w:szCs w:val="24"/>
                <w:highlight w:val="none"/>
              </w:rPr>
              <w:t>。</w:t>
            </w:r>
          </w:p>
          <w:p w14:paraId="7D3948D6">
            <w:pPr>
              <w:spacing w:line="360" w:lineRule="auto"/>
              <w:ind w:firstLine="482" w:firstLineChars="200"/>
              <w:rPr>
                <w:rFonts w:ascii="Times New Roman" w:hAnsi="Times New Roman" w:eastAsia="宋体" w:cs="Times New Roman"/>
                <w:b/>
                <w:color w:val="auto"/>
                <w:sz w:val="24"/>
                <w:szCs w:val="24"/>
                <w:highlight w:val="none"/>
              </w:rPr>
            </w:pPr>
            <w:r>
              <w:rPr>
                <w:rFonts w:hint="eastAsia" w:ascii="Times New Roman" w:hAnsi="Times New Roman" w:eastAsia="宋体" w:cs="Times New Roman"/>
                <w:b/>
                <w:color w:val="auto"/>
                <w:sz w:val="24"/>
                <w:szCs w:val="24"/>
                <w:highlight w:val="none"/>
              </w:rPr>
              <w:t>5）危废暂存间废气</w:t>
            </w:r>
          </w:p>
          <w:p w14:paraId="072EE48A">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bCs/>
                <w:color w:val="auto"/>
                <w:sz w:val="24"/>
                <w:szCs w:val="24"/>
                <w:highlight w:val="none"/>
              </w:rPr>
              <w:t>根据同类型企业，危险废物非甲烷总烃产生量约为危险废物年产生总量的0.5%，本项目各类危险废物年产生量为</w:t>
            </w:r>
            <w:r>
              <w:rPr>
                <w:rFonts w:hint="eastAsia" w:ascii="Times New Roman" w:hAnsi="Times New Roman" w:eastAsia="宋体" w:cs="Times New Roman"/>
                <w:bCs/>
                <w:color w:val="auto"/>
                <w:sz w:val="24"/>
                <w:szCs w:val="24"/>
                <w:highlight w:val="none"/>
                <w:lang w:val="en-US" w:eastAsia="zh-CN"/>
              </w:rPr>
              <w:t>23.111</w:t>
            </w:r>
            <w:r>
              <w:rPr>
                <w:rFonts w:hint="eastAsia" w:ascii="Times New Roman" w:hAnsi="Times New Roman" w:eastAsia="宋体" w:cs="Times New Roman"/>
                <w:bCs/>
                <w:color w:val="auto"/>
                <w:sz w:val="24"/>
                <w:szCs w:val="24"/>
                <w:highlight w:val="none"/>
              </w:rPr>
              <w:t>t，则危废暂存库非甲烷总烃的产生量为0.</w:t>
            </w:r>
            <w:r>
              <w:rPr>
                <w:rFonts w:hint="eastAsia" w:ascii="Times New Roman" w:hAnsi="Times New Roman" w:eastAsia="宋体" w:cs="Times New Roman"/>
                <w:bCs/>
                <w:color w:val="auto"/>
                <w:sz w:val="24"/>
                <w:szCs w:val="24"/>
                <w:highlight w:val="none"/>
                <w:lang w:val="en-US" w:eastAsia="zh-CN"/>
              </w:rPr>
              <w:t>13</w:t>
            </w:r>
            <w:r>
              <w:rPr>
                <w:rFonts w:hint="eastAsia" w:ascii="Times New Roman" w:hAnsi="Times New Roman" w:eastAsia="宋体" w:cs="Times New Roman"/>
                <w:bCs/>
                <w:color w:val="auto"/>
                <w:sz w:val="24"/>
                <w:szCs w:val="24"/>
                <w:highlight w:val="none"/>
              </w:rPr>
              <w:t>t/a，危废库负压收集效率为95%，</w:t>
            </w:r>
            <w:r>
              <w:rPr>
                <w:rFonts w:hint="eastAsia" w:ascii="Times New Roman" w:hAnsi="Times New Roman" w:cs="Times New Roman"/>
                <w:color w:val="auto"/>
                <w:sz w:val="24"/>
                <w:szCs w:val="28"/>
                <w:highlight w:val="none"/>
              </w:rPr>
              <w:t>“两级活性炭”</w:t>
            </w:r>
            <w:r>
              <w:rPr>
                <w:rFonts w:ascii="Times New Roman" w:hAnsi="Times New Roman" w:cs="Times New Roman"/>
                <w:color w:val="auto"/>
                <w:sz w:val="24"/>
                <w:szCs w:val="28"/>
                <w:highlight w:val="none"/>
              </w:rPr>
              <w:t>对</w:t>
            </w:r>
            <w:r>
              <w:rPr>
                <w:rFonts w:hint="eastAsia" w:ascii="Times New Roman" w:hAnsi="Times New Roman" w:cs="Times New Roman"/>
                <w:color w:val="auto"/>
                <w:sz w:val="24"/>
                <w:szCs w:val="28"/>
                <w:highlight w:val="none"/>
              </w:rPr>
              <w:t>非甲烷总烃</w:t>
            </w:r>
            <w:r>
              <w:rPr>
                <w:rFonts w:ascii="Times New Roman" w:hAnsi="Times New Roman" w:cs="Times New Roman"/>
                <w:color w:val="auto"/>
                <w:sz w:val="24"/>
                <w:szCs w:val="28"/>
                <w:highlight w:val="none"/>
              </w:rPr>
              <w:t>处理效率以9</w:t>
            </w:r>
            <w:r>
              <w:rPr>
                <w:rFonts w:hint="eastAsia" w:ascii="Times New Roman" w:hAnsi="Times New Roman" w:cs="Times New Roman"/>
                <w:color w:val="auto"/>
                <w:sz w:val="24"/>
                <w:szCs w:val="28"/>
                <w:highlight w:val="none"/>
              </w:rPr>
              <w:t>0</w:t>
            </w:r>
            <w:r>
              <w:rPr>
                <w:rFonts w:ascii="Times New Roman" w:hAnsi="Times New Roman" w:cs="Times New Roman"/>
                <w:color w:val="auto"/>
                <w:sz w:val="24"/>
                <w:szCs w:val="28"/>
                <w:highlight w:val="none"/>
              </w:rPr>
              <w:t>%计</w:t>
            </w:r>
            <w:r>
              <w:rPr>
                <w:rFonts w:hint="eastAsia" w:ascii="Times New Roman" w:hAnsi="Times New Roman" w:cs="Times New Roman"/>
                <w:color w:val="auto"/>
                <w:sz w:val="24"/>
                <w:szCs w:val="28"/>
                <w:highlight w:val="none"/>
              </w:rPr>
              <w:t>，</w:t>
            </w:r>
            <w:r>
              <w:rPr>
                <w:rFonts w:hint="eastAsia" w:ascii="Times New Roman" w:hAnsi="Times New Roman" w:eastAsia="宋体" w:cs="Times New Roman"/>
                <w:bCs/>
                <w:color w:val="auto"/>
                <w:sz w:val="24"/>
                <w:szCs w:val="24"/>
                <w:highlight w:val="none"/>
                <w:lang w:val="en-US" w:eastAsia="zh-CN"/>
              </w:rPr>
              <w:t>危废库风量为1200</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/h</w:t>
            </w:r>
            <w:r>
              <w:rPr>
                <w:rFonts w:hint="eastAsia" w:ascii="Times New Roman" w:hAnsi="Times New Roman"/>
                <w:color w:val="auto"/>
                <w:sz w:val="24"/>
                <w:highlight w:val="none"/>
                <w:lang w:eastAsia="zh-CN"/>
              </w:rPr>
              <w:t>，</w:t>
            </w:r>
            <w:r>
              <w:rPr>
                <w:rFonts w:hint="eastAsia" w:ascii="Times New Roman" w:hAnsi="Times New Roman" w:eastAsia="宋体" w:cs="Times New Roman"/>
                <w:bCs/>
                <w:color w:val="auto"/>
                <w:sz w:val="24"/>
                <w:szCs w:val="24"/>
                <w:highlight w:val="none"/>
              </w:rPr>
              <w:t>有组织排放量为0.0</w:t>
            </w:r>
            <w:r>
              <w:rPr>
                <w:rFonts w:hint="eastAsia" w:ascii="Times New Roman" w:hAnsi="Times New Roman" w:eastAsia="宋体" w:cs="Times New Roman"/>
                <w:bCs/>
                <w:color w:val="auto"/>
                <w:sz w:val="24"/>
                <w:szCs w:val="24"/>
                <w:highlight w:val="none"/>
                <w:lang w:val="en-US" w:eastAsia="zh-CN"/>
              </w:rPr>
              <w:t>12</w:t>
            </w:r>
            <w:r>
              <w:rPr>
                <w:rFonts w:hint="eastAsia" w:ascii="Times New Roman" w:hAnsi="Times New Roman" w:eastAsia="宋体" w:cs="Times New Roman"/>
                <w:bCs/>
                <w:color w:val="auto"/>
                <w:sz w:val="24"/>
                <w:szCs w:val="24"/>
                <w:highlight w:val="none"/>
              </w:rPr>
              <w:t>t/a，无组织排放量为0.0</w:t>
            </w:r>
            <w:r>
              <w:rPr>
                <w:rFonts w:hint="eastAsia" w:ascii="Times New Roman" w:hAnsi="Times New Roman" w:eastAsia="宋体" w:cs="Times New Roman"/>
                <w:bCs/>
                <w:color w:val="auto"/>
                <w:sz w:val="24"/>
                <w:szCs w:val="24"/>
                <w:highlight w:val="none"/>
                <w:lang w:val="en-US" w:eastAsia="zh-CN"/>
              </w:rPr>
              <w:t>065</w:t>
            </w:r>
            <w:r>
              <w:rPr>
                <w:rFonts w:hint="eastAsia" w:ascii="Times New Roman" w:hAnsi="Times New Roman" w:eastAsia="宋体" w:cs="Times New Roman"/>
                <w:bCs/>
                <w:color w:val="auto"/>
                <w:sz w:val="24"/>
                <w:szCs w:val="24"/>
                <w:highlight w:val="none"/>
              </w:rPr>
              <w:t>t/a，年运行时间7200h。</w:t>
            </w:r>
          </w:p>
          <w:p w14:paraId="1121A510">
            <w:pPr>
              <w:spacing w:line="360" w:lineRule="auto"/>
              <w:ind w:firstLine="482" w:firstLineChars="200"/>
              <w:rPr>
                <w:rFonts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rPr>
              <w:t>（2）风量计算</w:t>
            </w:r>
          </w:p>
          <w:p w14:paraId="71B1CD94">
            <w:pPr>
              <w:spacing w:line="360" w:lineRule="auto"/>
              <w:ind w:firstLine="482" w:firstLineChars="200"/>
              <w:rPr>
                <w:rFonts w:hint="eastAsia" w:ascii="Times New Roman" w:hAnsi="Times New Roman" w:eastAsiaTheme="minorEastAsia"/>
                <w:b/>
                <w:bCs/>
                <w:color w:val="auto"/>
                <w:sz w:val="24"/>
                <w:highlight w:val="none"/>
                <w:lang w:eastAsia="zh-CN"/>
              </w:rPr>
            </w:pPr>
            <w:r>
              <w:rPr>
                <w:rFonts w:hint="eastAsia" w:ascii="Times New Roman" w:hAnsi="Times New Roman"/>
                <w:b/>
                <w:bCs/>
                <w:color w:val="auto"/>
                <w:sz w:val="24"/>
                <w:highlight w:val="none"/>
              </w:rPr>
              <w:t>1）调底漆废气（G</w:t>
            </w:r>
            <w:r>
              <w:rPr>
                <w:rFonts w:hint="eastAsia" w:ascii="Times New Roman" w:hAnsi="Times New Roman"/>
                <w:b/>
                <w:bCs/>
                <w:color w:val="auto"/>
                <w:sz w:val="24"/>
                <w:highlight w:val="none"/>
                <w:vertAlign w:val="subscript"/>
              </w:rPr>
              <w:t>1</w:t>
            </w:r>
            <w:r>
              <w:rPr>
                <w:rFonts w:hint="eastAsia" w:ascii="Times New Roman" w:hAnsi="Times New Roman"/>
                <w:b/>
                <w:bCs/>
                <w:color w:val="auto"/>
                <w:sz w:val="24"/>
                <w:highlight w:val="none"/>
              </w:rPr>
              <w:t>）</w:t>
            </w:r>
          </w:p>
          <w:p w14:paraId="7D94454A">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调漆房尺寸为5m×4.3m×3m，换气次数取6次/h，风损取20%，则</w:t>
            </w:r>
            <w:r>
              <w:rPr>
                <w:rFonts w:hint="eastAsia" w:ascii="Times New Roman" w:hAnsi="Times New Roman"/>
                <w:color w:val="auto"/>
                <w:sz w:val="24"/>
                <w:highlight w:val="none"/>
                <w:lang w:val="en-US" w:eastAsia="zh-CN"/>
              </w:rPr>
              <w:t>单个</w:t>
            </w:r>
            <w:r>
              <w:rPr>
                <w:rFonts w:hint="eastAsia" w:ascii="Times New Roman" w:hAnsi="Times New Roman"/>
                <w:color w:val="auto"/>
                <w:sz w:val="24"/>
                <w:highlight w:val="none"/>
              </w:rPr>
              <w:t>调漆房风量为</w:t>
            </w:r>
            <w:r>
              <w:rPr>
                <w:rFonts w:hint="eastAsia" w:ascii="Times New Roman" w:hAnsi="Times New Roman"/>
                <w:color w:val="auto"/>
                <w:sz w:val="24"/>
                <w:highlight w:val="none"/>
                <w:lang w:val="en-US" w:eastAsia="zh-CN"/>
              </w:rPr>
              <w:t>464.4</w:t>
            </w:r>
            <w:r>
              <w:rPr>
                <w:rFonts w:hint="eastAsia" w:ascii="Times New Roman" w:hAnsi="Times New Roman"/>
                <w:color w:val="auto"/>
                <w:sz w:val="24"/>
                <w:highlight w:val="none"/>
              </w:rPr>
              <w:t>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r>
              <w:rPr>
                <w:rFonts w:hint="eastAsia" w:ascii="Times New Roman" w:hAnsi="Times New Roman"/>
                <w:color w:val="auto"/>
                <w:sz w:val="24"/>
                <w:highlight w:val="none"/>
                <w:lang w:val="en-US" w:eastAsia="zh-CN"/>
              </w:rPr>
              <w:t>，总风量取1500</w:t>
            </w:r>
            <w:r>
              <w:rPr>
                <w:rFonts w:hint="eastAsia" w:ascii="Times New Roman" w:hAnsi="Times New Roman"/>
                <w:color w:val="auto"/>
                <w:sz w:val="24"/>
                <w:highlight w:val="none"/>
              </w:rPr>
              <w:t>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p>
          <w:p w14:paraId="11AE5630">
            <w:pPr>
              <w:spacing w:line="360" w:lineRule="auto"/>
              <w:ind w:left="420" w:leftChars="200"/>
              <w:rPr>
                <w:rFonts w:ascii="Times New Roman" w:hAnsi="Times New Roman"/>
                <w:b/>
                <w:bCs/>
                <w:color w:val="auto"/>
                <w:sz w:val="24"/>
                <w:highlight w:val="none"/>
              </w:rPr>
            </w:pPr>
            <w:r>
              <w:rPr>
                <w:rFonts w:hint="eastAsia" w:ascii="Times New Roman" w:hAnsi="Times New Roman"/>
                <w:b/>
                <w:bCs/>
                <w:color w:val="auto"/>
                <w:sz w:val="24"/>
                <w:highlight w:val="none"/>
              </w:rPr>
              <w:t>2）喷底漆废气（G</w:t>
            </w:r>
            <w:r>
              <w:rPr>
                <w:rFonts w:hint="eastAsia" w:ascii="Times New Roman" w:hAnsi="Times New Roman"/>
                <w:b/>
                <w:bCs/>
                <w:color w:val="auto"/>
                <w:sz w:val="24"/>
                <w:highlight w:val="none"/>
                <w:vertAlign w:val="subscript"/>
              </w:rPr>
              <w:t>2</w:t>
            </w:r>
            <w:r>
              <w:rPr>
                <w:rFonts w:hint="eastAsia" w:ascii="Times New Roman" w:hAnsi="Times New Roman"/>
                <w:b/>
                <w:bCs/>
                <w:color w:val="auto"/>
                <w:sz w:val="24"/>
                <w:highlight w:val="none"/>
              </w:rPr>
              <w:t>）</w:t>
            </w:r>
          </w:p>
          <w:p w14:paraId="1B013E34">
            <w:pPr>
              <w:spacing w:line="360" w:lineRule="auto"/>
              <w:ind w:firstLine="480" w:firstLineChars="200"/>
              <w:rPr>
                <w:rFonts w:hint="eastAsia" w:ascii="Times New Roman" w:hAnsi="Times New Roman"/>
                <w:color w:val="auto"/>
                <w:sz w:val="24"/>
                <w:highlight w:val="none"/>
              </w:rPr>
            </w:pPr>
            <w:r>
              <w:rPr>
                <w:rFonts w:hint="eastAsia" w:ascii="Times New Roman" w:hAnsi="Times New Roman"/>
                <w:color w:val="auto"/>
                <w:sz w:val="24"/>
                <w:highlight w:val="none"/>
              </w:rPr>
              <w:t>喷底漆房尺寸为</w:t>
            </w:r>
            <w:r>
              <w:rPr>
                <w:rFonts w:hint="eastAsia" w:ascii="Times New Roman" w:hAnsi="Times New Roman"/>
                <w:color w:val="auto"/>
                <w:sz w:val="24"/>
                <w:highlight w:val="none"/>
                <w:lang w:val="en-US" w:eastAsia="zh-CN"/>
              </w:rPr>
              <w:t>6.5</w:t>
            </w:r>
            <w:r>
              <w:rPr>
                <w:rFonts w:hint="eastAsia" w:ascii="Times New Roman" w:hAnsi="Times New Roman"/>
                <w:color w:val="auto"/>
                <w:sz w:val="24"/>
                <w:highlight w:val="none"/>
              </w:rPr>
              <w:t>m×4.5m×2.6m，换气次数取36次/h，风损取20%，</w:t>
            </w:r>
            <w:r>
              <w:rPr>
                <w:rFonts w:hint="eastAsia" w:ascii="Times New Roman" w:hAnsi="Times New Roman"/>
                <w:color w:val="auto"/>
                <w:sz w:val="24"/>
                <w:highlight w:val="none"/>
                <w:lang w:val="en-US" w:eastAsia="zh-CN"/>
              </w:rPr>
              <w:t>单个喷底漆房风量为3285.4</w:t>
            </w:r>
            <w:r>
              <w:rPr>
                <w:rFonts w:hint="eastAsia" w:ascii="Times New Roman" w:hAnsi="Times New Roman"/>
                <w:color w:val="auto"/>
                <w:sz w:val="24"/>
                <w:highlight w:val="none"/>
              </w:rPr>
              <w:t>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r>
              <w:rPr>
                <w:rFonts w:hint="eastAsia" w:ascii="Times New Roman" w:hAnsi="Times New Roman"/>
                <w:color w:val="auto"/>
                <w:sz w:val="24"/>
                <w:highlight w:val="none"/>
                <w:lang w:val="en-US" w:eastAsia="zh-CN"/>
              </w:rPr>
              <w:t>，总</w:t>
            </w:r>
            <w:r>
              <w:rPr>
                <w:rFonts w:hint="eastAsia" w:ascii="Times New Roman" w:hAnsi="Times New Roman"/>
                <w:color w:val="auto"/>
                <w:sz w:val="24"/>
                <w:highlight w:val="none"/>
              </w:rPr>
              <w:t>风量</w:t>
            </w:r>
            <w:r>
              <w:rPr>
                <w:rFonts w:hint="eastAsia" w:ascii="Times New Roman" w:hAnsi="Times New Roman"/>
                <w:color w:val="auto"/>
                <w:sz w:val="24"/>
                <w:highlight w:val="none"/>
                <w:lang w:val="en-US" w:eastAsia="zh-CN"/>
              </w:rPr>
              <w:t>取100</w:t>
            </w:r>
            <w:r>
              <w:rPr>
                <w:rFonts w:hint="eastAsia" w:ascii="Times New Roman" w:hAnsi="Times New Roman"/>
                <w:color w:val="auto"/>
                <w:sz w:val="24"/>
                <w:highlight w:val="none"/>
              </w:rPr>
              <w:t>00m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p>
          <w:p w14:paraId="22229000">
            <w:pPr>
              <w:spacing w:line="360" w:lineRule="auto"/>
              <w:ind w:firstLine="482" w:firstLineChars="200"/>
              <w:rPr>
                <w:rFonts w:hint="eastAsia" w:ascii="Times New Roman" w:hAnsi="Times New Roman" w:eastAsiaTheme="minorEastAsia"/>
                <w:b/>
                <w:bCs/>
                <w:color w:val="auto"/>
                <w:sz w:val="24"/>
                <w:highlight w:val="none"/>
                <w:lang w:eastAsia="zh-CN"/>
              </w:rPr>
            </w:pPr>
            <w:r>
              <w:rPr>
                <w:rFonts w:hint="eastAsia" w:ascii="Times New Roman" w:hAnsi="Times New Roman"/>
                <w:b/>
                <w:bCs/>
                <w:color w:val="auto"/>
                <w:sz w:val="24"/>
                <w:highlight w:val="none"/>
                <w:lang w:val="en-US" w:eastAsia="zh-CN"/>
              </w:rPr>
              <w:t>3）</w:t>
            </w:r>
            <w:r>
              <w:rPr>
                <w:rFonts w:hint="eastAsia" w:ascii="Times New Roman" w:hAnsi="Times New Roman"/>
                <w:b/>
                <w:bCs/>
                <w:color w:val="auto"/>
                <w:sz w:val="24"/>
                <w:highlight w:val="none"/>
              </w:rPr>
              <w:t>调面漆废气（G</w:t>
            </w:r>
            <w:r>
              <w:rPr>
                <w:rFonts w:hint="eastAsia" w:ascii="Times New Roman" w:hAnsi="Times New Roman"/>
                <w:b/>
                <w:bCs/>
                <w:color w:val="auto"/>
                <w:sz w:val="24"/>
                <w:highlight w:val="none"/>
                <w:vertAlign w:val="subscript"/>
              </w:rPr>
              <w:t>4</w:t>
            </w:r>
            <w:r>
              <w:rPr>
                <w:rFonts w:hint="eastAsia" w:ascii="Times New Roman" w:hAnsi="Times New Roman"/>
                <w:b/>
                <w:bCs/>
                <w:color w:val="auto"/>
                <w:sz w:val="24"/>
                <w:highlight w:val="none"/>
              </w:rPr>
              <w:t>）</w:t>
            </w:r>
          </w:p>
          <w:p w14:paraId="0826AAE3">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调漆房尺寸为5m×4.3m×3m，换气次数取6次/h，风损取20%，则</w:t>
            </w:r>
            <w:r>
              <w:rPr>
                <w:rFonts w:hint="eastAsia" w:ascii="Times New Roman" w:hAnsi="Times New Roman"/>
                <w:color w:val="auto"/>
                <w:sz w:val="24"/>
                <w:highlight w:val="none"/>
                <w:lang w:val="en-US" w:eastAsia="zh-CN"/>
              </w:rPr>
              <w:t>单个</w:t>
            </w:r>
            <w:r>
              <w:rPr>
                <w:rFonts w:hint="eastAsia" w:ascii="Times New Roman" w:hAnsi="Times New Roman"/>
                <w:color w:val="auto"/>
                <w:sz w:val="24"/>
                <w:highlight w:val="none"/>
              </w:rPr>
              <w:t>调漆房风量为</w:t>
            </w:r>
            <w:r>
              <w:rPr>
                <w:rFonts w:hint="eastAsia" w:ascii="Times New Roman" w:hAnsi="Times New Roman"/>
                <w:color w:val="auto"/>
                <w:sz w:val="24"/>
                <w:highlight w:val="none"/>
                <w:lang w:val="en-US" w:eastAsia="zh-CN"/>
              </w:rPr>
              <w:t>464.4</w:t>
            </w:r>
            <w:r>
              <w:rPr>
                <w:rFonts w:hint="eastAsia" w:ascii="Times New Roman" w:hAnsi="Times New Roman"/>
                <w:color w:val="auto"/>
                <w:sz w:val="24"/>
                <w:highlight w:val="none"/>
              </w:rPr>
              <w:t>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r>
              <w:rPr>
                <w:rFonts w:hint="eastAsia" w:ascii="Times New Roman" w:hAnsi="Times New Roman"/>
                <w:color w:val="auto"/>
                <w:sz w:val="24"/>
                <w:highlight w:val="none"/>
                <w:lang w:val="en-US" w:eastAsia="zh-CN"/>
              </w:rPr>
              <w:t>，总风量取1500</w:t>
            </w:r>
            <w:r>
              <w:rPr>
                <w:rFonts w:hint="eastAsia" w:ascii="Times New Roman" w:hAnsi="Times New Roman"/>
                <w:color w:val="auto"/>
                <w:sz w:val="24"/>
                <w:highlight w:val="none"/>
              </w:rPr>
              <w:t>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p>
          <w:p w14:paraId="19290E21">
            <w:pPr>
              <w:spacing w:line="360" w:lineRule="auto"/>
              <w:ind w:left="420" w:leftChars="200"/>
              <w:rPr>
                <w:rFonts w:ascii="Times New Roman" w:hAnsi="Times New Roman"/>
                <w:b/>
                <w:bCs/>
                <w:color w:val="auto"/>
                <w:sz w:val="24"/>
                <w:highlight w:val="none"/>
              </w:rPr>
            </w:pPr>
            <w:r>
              <w:rPr>
                <w:rFonts w:hint="eastAsia" w:ascii="Times New Roman" w:hAnsi="Times New Roman"/>
                <w:b/>
                <w:bCs/>
                <w:color w:val="auto"/>
                <w:sz w:val="24"/>
                <w:highlight w:val="none"/>
                <w:lang w:val="en-US" w:eastAsia="zh-CN"/>
              </w:rPr>
              <w:t>4</w:t>
            </w:r>
            <w:r>
              <w:rPr>
                <w:rFonts w:hint="eastAsia" w:ascii="Times New Roman" w:hAnsi="Times New Roman"/>
                <w:b/>
                <w:bCs/>
                <w:color w:val="auto"/>
                <w:sz w:val="24"/>
                <w:highlight w:val="none"/>
              </w:rPr>
              <w:t>）喷面漆废气（G</w:t>
            </w:r>
            <w:r>
              <w:rPr>
                <w:rFonts w:hint="eastAsia" w:ascii="Times New Roman" w:hAnsi="Times New Roman"/>
                <w:b/>
                <w:bCs/>
                <w:color w:val="auto"/>
                <w:sz w:val="24"/>
                <w:highlight w:val="none"/>
                <w:vertAlign w:val="subscript"/>
              </w:rPr>
              <w:t>5</w:t>
            </w:r>
            <w:r>
              <w:rPr>
                <w:rFonts w:hint="eastAsia" w:ascii="Times New Roman" w:hAnsi="Times New Roman"/>
                <w:b/>
                <w:bCs/>
                <w:color w:val="auto"/>
                <w:sz w:val="24"/>
                <w:highlight w:val="none"/>
              </w:rPr>
              <w:t>）</w:t>
            </w:r>
          </w:p>
          <w:p w14:paraId="2E702703">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喷面漆房尺寸为</w:t>
            </w:r>
            <w:r>
              <w:rPr>
                <w:rFonts w:hint="eastAsia" w:ascii="Times New Roman" w:hAnsi="Times New Roman"/>
                <w:color w:val="auto"/>
                <w:sz w:val="24"/>
                <w:highlight w:val="none"/>
                <w:lang w:val="en-US" w:eastAsia="zh-CN"/>
              </w:rPr>
              <w:t>6.5</w:t>
            </w:r>
            <w:r>
              <w:rPr>
                <w:rFonts w:hint="eastAsia" w:ascii="Times New Roman" w:hAnsi="Times New Roman"/>
                <w:color w:val="auto"/>
                <w:sz w:val="24"/>
                <w:highlight w:val="none"/>
              </w:rPr>
              <w:t>m×4.5m×2.6m，换气次数取36次/h，风损取20%，</w:t>
            </w:r>
            <w:r>
              <w:rPr>
                <w:rFonts w:hint="eastAsia" w:ascii="Times New Roman" w:hAnsi="Times New Roman"/>
                <w:color w:val="auto"/>
                <w:sz w:val="24"/>
                <w:highlight w:val="none"/>
                <w:lang w:val="en-US" w:eastAsia="zh-CN"/>
              </w:rPr>
              <w:t>单个喷面漆房风量为3285.4</w:t>
            </w:r>
            <w:r>
              <w:rPr>
                <w:rFonts w:hint="eastAsia" w:ascii="Times New Roman" w:hAnsi="Times New Roman"/>
                <w:color w:val="auto"/>
                <w:sz w:val="24"/>
                <w:highlight w:val="none"/>
              </w:rPr>
              <w:t>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r>
              <w:rPr>
                <w:rFonts w:hint="eastAsia" w:ascii="Times New Roman" w:hAnsi="Times New Roman"/>
                <w:color w:val="auto"/>
                <w:sz w:val="24"/>
                <w:highlight w:val="none"/>
                <w:lang w:val="en-US" w:eastAsia="zh-CN"/>
              </w:rPr>
              <w:t>，总</w:t>
            </w:r>
            <w:r>
              <w:rPr>
                <w:rFonts w:hint="eastAsia" w:ascii="Times New Roman" w:hAnsi="Times New Roman"/>
                <w:color w:val="auto"/>
                <w:sz w:val="24"/>
                <w:highlight w:val="none"/>
              </w:rPr>
              <w:t>风量</w:t>
            </w:r>
            <w:r>
              <w:rPr>
                <w:rFonts w:hint="eastAsia" w:ascii="Times New Roman" w:hAnsi="Times New Roman"/>
                <w:color w:val="auto"/>
                <w:sz w:val="24"/>
                <w:highlight w:val="none"/>
                <w:lang w:val="en-US" w:eastAsia="zh-CN"/>
              </w:rPr>
              <w:t>取100</w:t>
            </w:r>
            <w:r>
              <w:rPr>
                <w:rFonts w:hint="eastAsia" w:ascii="Times New Roman" w:hAnsi="Times New Roman"/>
                <w:color w:val="auto"/>
                <w:sz w:val="24"/>
                <w:highlight w:val="none"/>
              </w:rPr>
              <w:t>00m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p>
          <w:p w14:paraId="4962A802">
            <w:pPr>
              <w:spacing w:line="360" w:lineRule="auto"/>
              <w:ind w:left="420" w:leftChars="200"/>
              <w:rPr>
                <w:rFonts w:ascii="Times New Roman" w:hAnsi="Times New Roman"/>
                <w:b/>
                <w:bCs/>
                <w:color w:val="auto"/>
                <w:sz w:val="24"/>
                <w:highlight w:val="none"/>
              </w:rPr>
            </w:pPr>
            <w:r>
              <w:rPr>
                <w:rFonts w:hint="eastAsia" w:ascii="Times New Roman" w:hAnsi="Times New Roman"/>
                <w:b/>
                <w:bCs/>
                <w:color w:val="auto"/>
                <w:sz w:val="24"/>
                <w:highlight w:val="none"/>
                <w:lang w:val="en-US" w:eastAsia="zh-CN"/>
              </w:rPr>
              <w:t>5</w:t>
            </w:r>
            <w:r>
              <w:rPr>
                <w:rFonts w:hint="eastAsia" w:ascii="Times New Roman" w:hAnsi="Times New Roman"/>
                <w:b/>
                <w:bCs/>
                <w:color w:val="auto"/>
                <w:sz w:val="24"/>
                <w:highlight w:val="none"/>
              </w:rPr>
              <w:t>）烘干废气（G</w:t>
            </w:r>
            <w:r>
              <w:rPr>
                <w:rFonts w:hint="eastAsia" w:ascii="Times New Roman" w:hAnsi="Times New Roman"/>
                <w:b/>
                <w:bCs/>
                <w:color w:val="auto"/>
                <w:sz w:val="24"/>
                <w:highlight w:val="none"/>
                <w:vertAlign w:val="subscript"/>
              </w:rPr>
              <w:t>3</w:t>
            </w:r>
            <w:r>
              <w:rPr>
                <w:rFonts w:hint="eastAsia" w:ascii="Times New Roman" w:hAnsi="Times New Roman"/>
                <w:b/>
                <w:bCs/>
                <w:color w:val="auto"/>
                <w:sz w:val="24"/>
                <w:highlight w:val="none"/>
              </w:rPr>
              <w:t>）</w:t>
            </w:r>
          </w:p>
          <w:p w14:paraId="759BCB24">
            <w:pPr>
              <w:spacing w:line="360" w:lineRule="auto"/>
              <w:ind w:firstLine="480" w:firstLineChars="200"/>
              <w:rPr>
                <w:rFonts w:hint="eastAsia" w:ascii="Times New Roman" w:hAnsi="Times New Roman"/>
                <w:color w:val="auto"/>
                <w:sz w:val="24"/>
                <w:highlight w:val="none"/>
              </w:rPr>
            </w:pPr>
            <w:r>
              <w:rPr>
                <w:rFonts w:hint="eastAsia" w:ascii="Times New Roman" w:hAnsi="Times New Roman"/>
                <w:color w:val="auto"/>
                <w:sz w:val="24"/>
                <w:highlight w:val="none"/>
              </w:rPr>
              <w:t>烘烤箱尺寸为5.6m×7.9m×3m，换气次数取6次/h，风损取20%，则</w:t>
            </w:r>
            <w:r>
              <w:rPr>
                <w:rFonts w:hint="eastAsia" w:ascii="Times New Roman" w:hAnsi="Times New Roman"/>
                <w:color w:val="auto"/>
                <w:sz w:val="24"/>
                <w:highlight w:val="none"/>
                <w:lang w:val="en-US" w:eastAsia="zh-CN"/>
              </w:rPr>
              <w:t>烘烤箱</w:t>
            </w:r>
            <w:r>
              <w:rPr>
                <w:rFonts w:hint="eastAsia" w:ascii="Times New Roman" w:hAnsi="Times New Roman"/>
                <w:color w:val="auto"/>
                <w:sz w:val="24"/>
                <w:highlight w:val="none"/>
              </w:rPr>
              <w:t>风量为</w:t>
            </w:r>
            <w:r>
              <w:rPr>
                <w:rFonts w:hint="eastAsia" w:ascii="Times New Roman" w:hAnsi="Times New Roman"/>
                <w:color w:val="auto"/>
                <w:sz w:val="24"/>
                <w:highlight w:val="none"/>
                <w:lang w:val="en-US" w:eastAsia="zh-CN"/>
              </w:rPr>
              <w:t>1</w:t>
            </w:r>
            <w:r>
              <w:rPr>
                <w:rFonts w:hint="eastAsia" w:ascii="Times New Roman" w:hAnsi="Times New Roman"/>
                <w:color w:val="auto"/>
                <w:sz w:val="24"/>
                <w:highlight w:val="none"/>
              </w:rPr>
              <w:t>000m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p>
          <w:p w14:paraId="0DBF318D">
            <w:pPr>
              <w:spacing w:line="360" w:lineRule="auto"/>
              <w:ind w:firstLine="480" w:firstLineChars="200"/>
              <w:rPr>
                <w:rFonts w:hint="default" w:ascii="Times New Roman" w:hAnsi="Times New Roman" w:eastAsiaTheme="minorEastAsia"/>
                <w:color w:val="auto"/>
                <w:sz w:val="24"/>
                <w:highlight w:val="none"/>
                <w:lang w:val="en-US" w:eastAsia="zh-CN"/>
              </w:rPr>
            </w:pPr>
            <w:r>
              <w:rPr>
                <w:rFonts w:hint="eastAsia" w:ascii="Times New Roman" w:hAnsi="Times New Roman"/>
                <w:color w:val="auto"/>
                <w:sz w:val="24"/>
                <w:highlight w:val="none"/>
                <w:lang w:val="en-US" w:eastAsia="zh-CN"/>
              </w:rPr>
              <w:t>烘道烘干废气采用负压收集，烘道尺寸为40m×4m×0.6m，</w:t>
            </w:r>
            <w:r>
              <w:rPr>
                <w:rFonts w:hint="eastAsia" w:ascii="Times New Roman" w:hAnsi="Times New Roman"/>
                <w:color w:val="auto"/>
                <w:sz w:val="24"/>
                <w:highlight w:val="none"/>
              </w:rPr>
              <w:t>换气次数取6次/h，风损取20%，则</w:t>
            </w:r>
            <w:r>
              <w:rPr>
                <w:rFonts w:hint="eastAsia" w:ascii="Times New Roman" w:hAnsi="Times New Roman"/>
                <w:color w:val="auto"/>
                <w:sz w:val="24"/>
                <w:highlight w:val="none"/>
                <w:lang w:val="en-US" w:eastAsia="zh-CN"/>
              </w:rPr>
              <w:t>烘道</w:t>
            </w:r>
            <w:r>
              <w:rPr>
                <w:rFonts w:hint="eastAsia" w:ascii="Times New Roman" w:hAnsi="Times New Roman"/>
                <w:color w:val="auto"/>
                <w:sz w:val="24"/>
                <w:highlight w:val="none"/>
              </w:rPr>
              <w:t>风量为</w:t>
            </w:r>
            <w:r>
              <w:rPr>
                <w:rFonts w:hint="eastAsia" w:ascii="Times New Roman" w:hAnsi="Times New Roman"/>
                <w:color w:val="auto"/>
                <w:sz w:val="24"/>
                <w:highlight w:val="none"/>
                <w:lang w:val="en-US" w:eastAsia="zh-CN"/>
              </w:rPr>
              <w:t>700</w:t>
            </w:r>
            <w:r>
              <w:rPr>
                <w:rFonts w:hint="eastAsia" w:ascii="Times New Roman" w:hAnsi="Times New Roman"/>
                <w:color w:val="auto"/>
                <w:sz w:val="24"/>
                <w:highlight w:val="none"/>
              </w:rPr>
              <w:t>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r>
              <w:rPr>
                <w:rFonts w:hint="eastAsia" w:ascii="Times New Roman" w:hAnsi="Times New Roman"/>
                <w:color w:val="auto"/>
                <w:sz w:val="24"/>
                <w:highlight w:val="none"/>
                <w:lang w:val="en-US" w:eastAsia="zh-CN"/>
              </w:rPr>
              <w:t>。</w:t>
            </w:r>
          </w:p>
          <w:p w14:paraId="13CA3322">
            <w:pPr>
              <w:spacing w:line="360" w:lineRule="auto"/>
              <w:ind w:left="420" w:leftChars="200"/>
              <w:rPr>
                <w:rFonts w:ascii="Times New Roman" w:hAnsi="Times New Roman"/>
                <w:b/>
                <w:bCs/>
                <w:color w:val="auto"/>
                <w:sz w:val="24"/>
                <w:highlight w:val="none"/>
              </w:rPr>
            </w:pPr>
            <w:r>
              <w:rPr>
                <w:rFonts w:hint="eastAsia" w:ascii="Times New Roman" w:hAnsi="Times New Roman"/>
                <w:b/>
                <w:bCs/>
                <w:color w:val="auto"/>
                <w:sz w:val="24"/>
                <w:highlight w:val="none"/>
                <w:lang w:val="en-US" w:eastAsia="zh-CN"/>
              </w:rPr>
              <w:t>6</w:t>
            </w:r>
            <w:r>
              <w:rPr>
                <w:rFonts w:hint="eastAsia" w:ascii="Times New Roman" w:hAnsi="Times New Roman"/>
                <w:b/>
                <w:bCs/>
                <w:color w:val="auto"/>
                <w:sz w:val="24"/>
                <w:highlight w:val="none"/>
              </w:rPr>
              <w:t>）危险废物暂存间废气</w:t>
            </w:r>
          </w:p>
          <w:p w14:paraId="649C5584">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危险废物暂存间尺寸为4.0m×5.0m×4.0m，换气次数取12次/h，风损取20%，则危险废物暂存间风量为1200m</w:t>
            </w:r>
            <w:r>
              <w:rPr>
                <w:rFonts w:hint="eastAsia" w:ascii="Times New Roman" w:hAnsi="Times New Roman"/>
                <w:color w:val="auto"/>
                <w:sz w:val="24"/>
                <w:highlight w:val="none"/>
                <w:vertAlign w:val="superscript"/>
              </w:rPr>
              <w:t>3</w:t>
            </w:r>
            <w:r>
              <w:rPr>
                <w:rFonts w:hint="eastAsia" w:ascii="Times New Roman" w:hAnsi="Times New Roman"/>
                <w:color w:val="auto"/>
                <w:sz w:val="24"/>
                <w:highlight w:val="none"/>
              </w:rPr>
              <w:t>/h。</w:t>
            </w:r>
          </w:p>
          <w:p w14:paraId="55C15D71">
            <w:pPr>
              <w:widowControl/>
              <w:wordWrap w:val="0"/>
              <w:topLinePunct/>
              <w:spacing w:line="358" w:lineRule="auto"/>
              <w:jc w:val="left"/>
              <w:rPr>
                <w:rFonts w:ascii="Times New Roman" w:hAnsi="Times New Roman" w:eastAsia="宋体" w:cs="Times New Roman"/>
                <w:bCs/>
                <w:color w:val="auto"/>
                <w:sz w:val="24"/>
                <w:szCs w:val="24"/>
              </w:rPr>
            </w:pPr>
          </w:p>
        </w:tc>
      </w:tr>
    </w:tbl>
    <w:p w14:paraId="53CE2C68">
      <w:pPr>
        <w:rPr>
          <w:rFonts w:ascii="Times New Roman" w:hAnsi="Times New Roman"/>
          <w:color w:val="auto"/>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74"/>
      </w:tblGrid>
      <w:tr w14:paraId="42FDD5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62" w:hRule="atLeast"/>
        </w:trPr>
        <w:tc>
          <w:tcPr>
            <w:tcW w:w="14174" w:type="dxa"/>
          </w:tcPr>
          <w:p w14:paraId="66EF0E10">
            <w:pPr>
              <w:spacing w:line="360" w:lineRule="auto"/>
              <w:ind w:firstLine="480" w:firstLineChars="200"/>
              <w:rPr>
                <w:rFonts w:ascii="Times New Roman" w:hAnsi="Times New Roman" w:cs="Times New Roman"/>
                <w:bCs/>
                <w:color w:val="auto"/>
                <w:sz w:val="24"/>
                <w:szCs w:val="28"/>
              </w:rPr>
            </w:pPr>
            <w:r>
              <w:rPr>
                <w:rFonts w:hint="eastAsia" w:ascii="Times New Roman" w:hAnsi="Times New Roman" w:cs="Times New Roman"/>
                <w:bCs/>
                <w:color w:val="auto"/>
                <w:sz w:val="24"/>
                <w:szCs w:val="28"/>
              </w:rPr>
              <w:t>本项目有组织废气排放情况见下表：</w:t>
            </w:r>
          </w:p>
          <w:p w14:paraId="26AB67FC">
            <w:pPr>
              <w:spacing w:line="360" w:lineRule="auto"/>
              <w:jc w:val="center"/>
              <w:outlineLvl w:val="0"/>
              <w:rPr>
                <w:rFonts w:ascii="Times New Roman" w:hAnsi="Times New Roman" w:eastAsia="黑体" w:cs="Times New Roman"/>
                <w:color w:val="auto"/>
                <w:sz w:val="24"/>
              </w:rPr>
            </w:pPr>
            <w:r>
              <w:rPr>
                <w:rFonts w:ascii="Times New Roman" w:hAnsi="Times New Roman" w:eastAsia="黑体" w:cs="Times New Roman"/>
                <w:color w:val="auto"/>
                <w:sz w:val="24"/>
              </w:rPr>
              <w:t>表</w:t>
            </w:r>
            <w:r>
              <w:rPr>
                <w:rFonts w:hint="eastAsia" w:ascii="Times New Roman" w:hAnsi="Times New Roman" w:eastAsia="黑体" w:cs="Times New Roman"/>
                <w:color w:val="auto"/>
                <w:sz w:val="24"/>
              </w:rPr>
              <w:t xml:space="preserve">4-3  </w:t>
            </w:r>
            <w:r>
              <w:rPr>
                <w:rFonts w:ascii="Times New Roman" w:hAnsi="Times New Roman" w:eastAsia="黑体" w:cs="Times New Roman"/>
                <w:color w:val="auto"/>
                <w:sz w:val="24"/>
              </w:rPr>
              <w:t>项目有组织废气产生和排放情况表</w:t>
            </w:r>
          </w:p>
          <w:tbl>
            <w:tblPr>
              <w:tblStyle w:val="18"/>
              <w:tblW w:w="0" w:type="auto"/>
              <w:jc w:val="center"/>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Layout w:type="autofit"/>
              <w:tblCellMar>
                <w:top w:w="0" w:type="dxa"/>
                <w:left w:w="108" w:type="dxa"/>
                <w:bottom w:w="0" w:type="dxa"/>
                <w:right w:w="108" w:type="dxa"/>
              </w:tblCellMar>
            </w:tblPr>
            <w:tblGrid>
              <w:gridCol w:w="817"/>
              <w:gridCol w:w="877"/>
              <w:gridCol w:w="473"/>
              <w:gridCol w:w="655"/>
              <w:gridCol w:w="760"/>
              <w:gridCol w:w="734"/>
              <w:gridCol w:w="748"/>
              <w:gridCol w:w="657"/>
              <w:gridCol w:w="720"/>
              <w:gridCol w:w="1538"/>
              <w:gridCol w:w="711"/>
              <w:gridCol w:w="794"/>
              <w:gridCol w:w="794"/>
              <w:gridCol w:w="839"/>
              <w:gridCol w:w="899"/>
              <w:gridCol w:w="799"/>
              <w:gridCol w:w="1143"/>
            </w:tblGrid>
            <w:tr w14:paraId="7B112AB5">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blHeader/>
                <w:jc w:val="center"/>
              </w:trPr>
              <w:tc>
                <w:tcPr>
                  <w:tcW w:w="0" w:type="auto"/>
                  <w:vMerge w:val="restart"/>
                  <w:tcBorders>
                    <w:tl2br w:val="nil"/>
                    <w:tr2bl w:val="nil"/>
                  </w:tcBorders>
                  <w:vAlign w:val="center"/>
                </w:tcPr>
                <w:p w14:paraId="360D3B14">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排污口编号</w:t>
                  </w:r>
                </w:p>
              </w:tc>
              <w:tc>
                <w:tcPr>
                  <w:tcW w:w="0" w:type="auto"/>
                  <w:vMerge w:val="restart"/>
                  <w:tcBorders>
                    <w:tl2br w:val="nil"/>
                    <w:tr2bl w:val="nil"/>
                  </w:tcBorders>
                  <w:vAlign w:val="center"/>
                </w:tcPr>
                <w:p w14:paraId="51DE2E93">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产排污环节</w:t>
                  </w:r>
                </w:p>
              </w:tc>
              <w:tc>
                <w:tcPr>
                  <w:tcW w:w="0" w:type="auto"/>
                  <w:vMerge w:val="restart"/>
                  <w:tcBorders>
                    <w:tl2br w:val="nil"/>
                    <w:tr2bl w:val="nil"/>
                  </w:tcBorders>
                  <w:vAlign w:val="center"/>
                </w:tcPr>
                <w:p w14:paraId="0447E38E">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污染物</w:t>
                  </w:r>
                </w:p>
              </w:tc>
              <w:tc>
                <w:tcPr>
                  <w:tcW w:w="0" w:type="auto"/>
                  <w:vMerge w:val="restart"/>
                  <w:tcBorders>
                    <w:tl2br w:val="nil"/>
                    <w:tr2bl w:val="nil"/>
                  </w:tcBorders>
                  <w:vAlign w:val="center"/>
                </w:tcPr>
                <w:p w14:paraId="35940B6B">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工序时长h/a</w:t>
                  </w:r>
                </w:p>
              </w:tc>
              <w:tc>
                <w:tcPr>
                  <w:tcW w:w="0" w:type="auto"/>
                  <w:gridSpan w:val="3"/>
                  <w:tcBorders>
                    <w:tl2br w:val="nil"/>
                    <w:tr2bl w:val="nil"/>
                  </w:tcBorders>
                  <w:vAlign w:val="center"/>
                </w:tcPr>
                <w:p w14:paraId="58EECA1D">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污染物产生量</w:t>
                  </w:r>
                </w:p>
              </w:tc>
              <w:tc>
                <w:tcPr>
                  <w:tcW w:w="0" w:type="auto"/>
                  <w:vMerge w:val="restart"/>
                  <w:tcBorders>
                    <w:tl2br w:val="nil"/>
                    <w:tr2bl w:val="nil"/>
                  </w:tcBorders>
                  <w:vAlign w:val="center"/>
                </w:tcPr>
                <w:p w14:paraId="23C5A647">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收集效率%</w:t>
                  </w:r>
                </w:p>
              </w:tc>
              <w:tc>
                <w:tcPr>
                  <w:tcW w:w="0" w:type="auto"/>
                  <w:vMerge w:val="restart"/>
                  <w:tcBorders>
                    <w:tl2br w:val="nil"/>
                    <w:tr2bl w:val="nil"/>
                  </w:tcBorders>
                  <w:vAlign w:val="center"/>
                </w:tcPr>
                <w:p w14:paraId="1A939E5C">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风量m</w:t>
                  </w:r>
                  <w:r>
                    <w:rPr>
                      <w:rFonts w:ascii="Times New Roman" w:hAnsi="Times New Roman"/>
                      <w:b/>
                      <w:bCs/>
                      <w:color w:val="auto"/>
                      <w:spacing w:val="-10"/>
                      <w:szCs w:val="21"/>
                      <w:vertAlign w:val="superscript"/>
                    </w:rPr>
                    <w:t>3</w:t>
                  </w:r>
                  <w:r>
                    <w:rPr>
                      <w:rFonts w:hint="eastAsia" w:ascii="Times New Roman" w:hAnsi="Times New Roman"/>
                      <w:b/>
                      <w:bCs/>
                      <w:color w:val="auto"/>
                      <w:spacing w:val="-10"/>
                      <w:szCs w:val="21"/>
                    </w:rPr>
                    <w:t>/h</w:t>
                  </w:r>
                </w:p>
              </w:tc>
              <w:tc>
                <w:tcPr>
                  <w:tcW w:w="0" w:type="auto"/>
                  <w:vMerge w:val="restart"/>
                  <w:tcBorders>
                    <w:tl2br w:val="nil"/>
                    <w:tr2bl w:val="nil"/>
                  </w:tcBorders>
                  <w:vAlign w:val="center"/>
                </w:tcPr>
                <w:p w14:paraId="51A0EBC3">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处理效率</w:t>
                  </w:r>
                </w:p>
              </w:tc>
              <w:tc>
                <w:tcPr>
                  <w:tcW w:w="0" w:type="auto"/>
                  <w:vMerge w:val="restart"/>
                  <w:tcBorders>
                    <w:tl2br w:val="nil"/>
                    <w:tr2bl w:val="nil"/>
                  </w:tcBorders>
                  <w:vAlign w:val="center"/>
                </w:tcPr>
                <w:p w14:paraId="4524B2F2">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治理措施</w:t>
                  </w:r>
                </w:p>
              </w:tc>
              <w:tc>
                <w:tcPr>
                  <w:tcW w:w="0" w:type="auto"/>
                  <w:gridSpan w:val="3"/>
                  <w:tcBorders>
                    <w:tl2br w:val="nil"/>
                    <w:tr2bl w:val="nil"/>
                  </w:tcBorders>
                  <w:vAlign w:val="center"/>
                </w:tcPr>
                <w:p w14:paraId="06279EC0">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有组织排放量</w:t>
                  </w:r>
                </w:p>
              </w:tc>
              <w:tc>
                <w:tcPr>
                  <w:tcW w:w="0" w:type="auto"/>
                  <w:gridSpan w:val="2"/>
                  <w:tcBorders>
                    <w:tl2br w:val="nil"/>
                    <w:tr2bl w:val="nil"/>
                  </w:tcBorders>
                  <w:vAlign w:val="center"/>
                </w:tcPr>
                <w:p w14:paraId="1A8C22C2">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执行标准</w:t>
                  </w:r>
                </w:p>
              </w:tc>
              <w:tc>
                <w:tcPr>
                  <w:tcW w:w="0" w:type="auto"/>
                  <w:vMerge w:val="restart"/>
                  <w:tcBorders>
                    <w:tl2br w:val="nil"/>
                    <w:tr2bl w:val="nil"/>
                  </w:tcBorders>
                  <w:vAlign w:val="center"/>
                </w:tcPr>
                <w:p w14:paraId="47EC69B1">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排气筒信息</w:t>
                  </w:r>
                </w:p>
              </w:tc>
            </w:tr>
            <w:tr w14:paraId="47FCE2BF">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blHeader/>
                <w:jc w:val="center"/>
              </w:trPr>
              <w:tc>
                <w:tcPr>
                  <w:tcW w:w="0" w:type="auto"/>
                  <w:vMerge w:val="continue"/>
                  <w:tcBorders>
                    <w:tl2br w:val="nil"/>
                    <w:tr2bl w:val="nil"/>
                  </w:tcBorders>
                  <w:vAlign w:val="center"/>
                </w:tcPr>
                <w:p w14:paraId="4468540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2D730BB4">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3390B9C0">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1BCE53B6">
                  <w:pPr>
                    <w:spacing w:line="276" w:lineRule="auto"/>
                    <w:jc w:val="center"/>
                    <w:rPr>
                      <w:rFonts w:ascii="Times New Roman" w:hAnsi="Times New Roman"/>
                      <w:bCs/>
                      <w:color w:val="auto"/>
                      <w:spacing w:val="-10"/>
                      <w:szCs w:val="21"/>
                    </w:rPr>
                  </w:pPr>
                </w:p>
              </w:tc>
              <w:tc>
                <w:tcPr>
                  <w:tcW w:w="0" w:type="auto"/>
                  <w:tcBorders>
                    <w:tl2br w:val="nil"/>
                    <w:tr2bl w:val="nil"/>
                  </w:tcBorders>
                  <w:vAlign w:val="center"/>
                </w:tcPr>
                <w:p w14:paraId="6711EDFB">
                  <w:pPr>
                    <w:spacing w:line="276" w:lineRule="auto"/>
                    <w:jc w:val="center"/>
                    <w:rPr>
                      <w:rFonts w:ascii="Times New Roman" w:hAnsi="Times New Roman"/>
                      <w:b/>
                      <w:bCs/>
                      <w:color w:val="auto"/>
                      <w:spacing w:val="-10"/>
                      <w:szCs w:val="21"/>
                      <w:vertAlign w:val="superscript"/>
                    </w:rPr>
                  </w:pPr>
                  <w:r>
                    <w:rPr>
                      <w:rFonts w:ascii="Times New Roman" w:hAnsi="Times New Roman"/>
                      <w:b/>
                      <w:bCs/>
                      <w:color w:val="auto"/>
                      <w:spacing w:val="-10"/>
                      <w:szCs w:val="21"/>
                    </w:rPr>
                    <w:t>产生量t/a</w:t>
                  </w:r>
                </w:p>
              </w:tc>
              <w:tc>
                <w:tcPr>
                  <w:tcW w:w="734" w:type="dxa"/>
                  <w:tcBorders>
                    <w:tl2br w:val="nil"/>
                    <w:tr2bl w:val="nil"/>
                  </w:tcBorders>
                  <w:vAlign w:val="center"/>
                </w:tcPr>
                <w:p w14:paraId="49A48CAE">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速率</w:t>
                  </w:r>
                </w:p>
                <w:p w14:paraId="176A5240">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kg/h</w:t>
                  </w:r>
                </w:p>
              </w:tc>
              <w:tc>
                <w:tcPr>
                  <w:tcW w:w="748" w:type="dxa"/>
                  <w:tcBorders>
                    <w:tl2br w:val="nil"/>
                    <w:tr2bl w:val="nil"/>
                  </w:tcBorders>
                  <w:vAlign w:val="center"/>
                </w:tcPr>
                <w:p w14:paraId="15B2722F">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浓度</w:t>
                  </w:r>
                </w:p>
                <w:p w14:paraId="3BEEF55B">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mg/m</w:t>
                  </w:r>
                  <w:r>
                    <w:rPr>
                      <w:rFonts w:ascii="Times New Roman" w:hAnsi="Times New Roman"/>
                      <w:b/>
                      <w:bCs/>
                      <w:color w:val="auto"/>
                      <w:spacing w:val="-10"/>
                      <w:szCs w:val="21"/>
                      <w:vertAlign w:val="superscript"/>
                    </w:rPr>
                    <w:t>3</w:t>
                  </w:r>
                </w:p>
              </w:tc>
              <w:tc>
                <w:tcPr>
                  <w:tcW w:w="0" w:type="auto"/>
                  <w:vMerge w:val="continue"/>
                  <w:tcBorders>
                    <w:tl2br w:val="nil"/>
                    <w:tr2bl w:val="nil"/>
                  </w:tcBorders>
                  <w:vAlign w:val="center"/>
                </w:tcPr>
                <w:p w14:paraId="4D370D74">
                  <w:pPr>
                    <w:spacing w:line="276" w:lineRule="auto"/>
                    <w:jc w:val="center"/>
                    <w:rPr>
                      <w:rFonts w:ascii="Times New Roman" w:hAnsi="Times New Roman"/>
                      <w:b/>
                      <w:bCs/>
                      <w:color w:val="auto"/>
                      <w:spacing w:val="-10"/>
                      <w:szCs w:val="21"/>
                    </w:rPr>
                  </w:pPr>
                </w:p>
              </w:tc>
              <w:tc>
                <w:tcPr>
                  <w:tcW w:w="0" w:type="auto"/>
                  <w:vMerge w:val="continue"/>
                  <w:tcBorders>
                    <w:tl2br w:val="nil"/>
                    <w:tr2bl w:val="nil"/>
                  </w:tcBorders>
                  <w:vAlign w:val="center"/>
                </w:tcPr>
                <w:p w14:paraId="32310C05">
                  <w:pPr>
                    <w:spacing w:line="276" w:lineRule="auto"/>
                    <w:jc w:val="center"/>
                    <w:rPr>
                      <w:rFonts w:ascii="Times New Roman" w:hAnsi="Times New Roman"/>
                      <w:b/>
                      <w:bCs/>
                      <w:color w:val="auto"/>
                      <w:spacing w:val="-10"/>
                      <w:szCs w:val="21"/>
                    </w:rPr>
                  </w:pPr>
                </w:p>
              </w:tc>
              <w:tc>
                <w:tcPr>
                  <w:tcW w:w="0" w:type="auto"/>
                  <w:vMerge w:val="continue"/>
                  <w:tcBorders>
                    <w:tl2br w:val="nil"/>
                    <w:tr2bl w:val="nil"/>
                  </w:tcBorders>
                  <w:vAlign w:val="center"/>
                </w:tcPr>
                <w:p w14:paraId="6BB0C7CA">
                  <w:pPr>
                    <w:spacing w:line="276" w:lineRule="auto"/>
                    <w:jc w:val="center"/>
                    <w:rPr>
                      <w:rFonts w:ascii="Times New Roman" w:hAnsi="Times New Roman"/>
                      <w:b/>
                      <w:bCs/>
                      <w:color w:val="auto"/>
                      <w:spacing w:val="-10"/>
                      <w:szCs w:val="21"/>
                    </w:rPr>
                  </w:pPr>
                </w:p>
              </w:tc>
              <w:tc>
                <w:tcPr>
                  <w:tcW w:w="0" w:type="auto"/>
                  <w:vMerge w:val="continue"/>
                  <w:tcBorders>
                    <w:tl2br w:val="nil"/>
                    <w:tr2bl w:val="nil"/>
                  </w:tcBorders>
                  <w:vAlign w:val="center"/>
                </w:tcPr>
                <w:p w14:paraId="25AB5CBC">
                  <w:pPr>
                    <w:spacing w:line="276" w:lineRule="auto"/>
                    <w:jc w:val="center"/>
                    <w:rPr>
                      <w:rFonts w:ascii="Times New Roman" w:hAnsi="Times New Roman"/>
                      <w:b/>
                      <w:bCs/>
                      <w:color w:val="auto"/>
                      <w:spacing w:val="-10"/>
                      <w:szCs w:val="21"/>
                    </w:rPr>
                  </w:pPr>
                </w:p>
              </w:tc>
              <w:tc>
                <w:tcPr>
                  <w:tcW w:w="0" w:type="auto"/>
                  <w:tcBorders>
                    <w:tl2br w:val="nil"/>
                    <w:tr2bl w:val="nil"/>
                  </w:tcBorders>
                  <w:vAlign w:val="center"/>
                </w:tcPr>
                <w:p w14:paraId="7DEC4E5D">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排放量</w:t>
                  </w:r>
                </w:p>
                <w:p w14:paraId="05A517C9">
                  <w:pPr>
                    <w:spacing w:line="276" w:lineRule="auto"/>
                    <w:jc w:val="center"/>
                    <w:rPr>
                      <w:rFonts w:ascii="Times New Roman" w:hAnsi="Times New Roman"/>
                      <w:b/>
                      <w:bCs/>
                      <w:color w:val="auto"/>
                      <w:spacing w:val="-10"/>
                      <w:szCs w:val="21"/>
                      <w:vertAlign w:val="superscript"/>
                    </w:rPr>
                  </w:pPr>
                  <w:r>
                    <w:rPr>
                      <w:rFonts w:ascii="Times New Roman" w:hAnsi="Times New Roman"/>
                      <w:b/>
                      <w:bCs/>
                      <w:color w:val="auto"/>
                      <w:spacing w:val="-10"/>
                      <w:szCs w:val="21"/>
                    </w:rPr>
                    <w:t>t/a</w:t>
                  </w:r>
                </w:p>
              </w:tc>
              <w:tc>
                <w:tcPr>
                  <w:tcW w:w="0" w:type="auto"/>
                  <w:tcBorders>
                    <w:tl2br w:val="nil"/>
                    <w:tr2bl w:val="nil"/>
                  </w:tcBorders>
                  <w:vAlign w:val="center"/>
                </w:tcPr>
                <w:p w14:paraId="160A26E5">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速率</w:t>
                  </w:r>
                </w:p>
                <w:p w14:paraId="0E58D54E">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kg/h</w:t>
                  </w:r>
                </w:p>
              </w:tc>
              <w:tc>
                <w:tcPr>
                  <w:tcW w:w="0" w:type="auto"/>
                  <w:tcBorders>
                    <w:tl2br w:val="nil"/>
                    <w:tr2bl w:val="nil"/>
                  </w:tcBorders>
                  <w:vAlign w:val="center"/>
                </w:tcPr>
                <w:p w14:paraId="3B2BE9D6">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浓度mg/m</w:t>
                  </w:r>
                  <w:r>
                    <w:rPr>
                      <w:rFonts w:ascii="Times New Roman" w:hAnsi="Times New Roman"/>
                      <w:b/>
                      <w:bCs/>
                      <w:color w:val="auto"/>
                      <w:spacing w:val="-10"/>
                      <w:szCs w:val="21"/>
                      <w:vertAlign w:val="superscript"/>
                    </w:rPr>
                    <w:t>3</w:t>
                  </w:r>
                </w:p>
              </w:tc>
              <w:tc>
                <w:tcPr>
                  <w:tcW w:w="0" w:type="auto"/>
                  <w:tcBorders>
                    <w:tl2br w:val="nil"/>
                    <w:tr2bl w:val="nil"/>
                  </w:tcBorders>
                  <w:vAlign w:val="center"/>
                </w:tcPr>
                <w:p w14:paraId="64AF88D8">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浓度</w:t>
                  </w:r>
                </w:p>
                <w:p w14:paraId="636E142B">
                  <w:pPr>
                    <w:spacing w:line="276" w:lineRule="auto"/>
                    <w:jc w:val="center"/>
                    <w:rPr>
                      <w:rFonts w:ascii="Times New Roman" w:hAnsi="Times New Roman"/>
                      <w:b/>
                      <w:bCs/>
                      <w:color w:val="auto"/>
                      <w:spacing w:val="-10"/>
                      <w:szCs w:val="21"/>
                      <w:vertAlign w:val="superscript"/>
                    </w:rPr>
                  </w:pPr>
                  <w:r>
                    <w:rPr>
                      <w:rFonts w:ascii="Times New Roman" w:hAnsi="Times New Roman"/>
                      <w:b/>
                      <w:bCs/>
                      <w:color w:val="auto"/>
                      <w:spacing w:val="-10"/>
                      <w:szCs w:val="21"/>
                    </w:rPr>
                    <w:t>mg/m</w:t>
                  </w:r>
                  <w:r>
                    <w:rPr>
                      <w:rFonts w:ascii="Times New Roman" w:hAnsi="Times New Roman"/>
                      <w:b/>
                      <w:bCs/>
                      <w:color w:val="auto"/>
                      <w:spacing w:val="-10"/>
                      <w:szCs w:val="21"/>
                      <w:vertAlign w:val="superscript"/>
                    </w:rPr>
                    <w:t>3</w:t>
                  </w:r>
                </w:p>
              </w:tc>
              <w:tc>
                <w:tcPr>
                  <w:tcW w:w="0" w:type="auto"/>
                  <w:tcBorders>
                    <w:tl2br w:val="nil"/>
                    <w:tr2bl w:val="nil"/>
                  </w:tcBorders>
                  <w:vAlign w:val="center"/>
                </w:tcPr>
                <w:p w14:paraId="5A8686C3">
                  <w:pPr>
                    <w:spacing w:line="276" w:lineRule="auto"/>
                    <w:jc w:val="center"/>
                    <w:rPr>
                      <w:rFonts w:ascii="Times New Roman" w:hAnsi="Times New Roman"/>
                      <w:b/>
                      <w:bCs/>
                      <w:color w:val="auto"/>
                      <w:spacing w:val="-10"/>
                      <w:szCs w:val="21"/>
                    </w:rPr>
                  </w:pPr>
                  <w:r>
                    <w:rPr>
                      <w:rFonts w:ascii="Times New Roman" w:hAnsi="Times New Roman"/>
                      <w:b/>
                      <w:bCs/>
                      <w:color w:val="auto"/>
                      <w:spacing w:val="-10"/>
                      <w:szCs w:val="21"/>
                    </w:rPr>
                    <w:t>速率</w:t>
                  </w:r>
                </w:p>
                <w:p w14:paraId="60D2C670">
                  <w:pPr>
                    <w:spacing w:line="276" w:lineRule="auto"/>
                    <w:jc w:val="center"/>
                    <w:rPr>
                      <w:rFonts w:ascii="Times New Roman" w:hAnsi="Times New Roman"/>
                      <w:b/>
                      <w:bCs/>
                      <w:color w:val="auto"/>
                      <w:spacing w:val="-10"/>
                      <w:szCs w:val="21"/>
                    </w:rPr>
                  </w:pPr>
                  <w:r>
                    <w:rPr>
                      <w:rFonts w:hint="eastAsia" w:ascii="Times New Roman" w:hAnsi="Times New Roman"/>
                      <w:b/>
                      <w:bCs/>
                      <w:color w:val="auto"/>
                      <w:spacing w:val="-10"/>
                      <w:szCs w:val="21"/>
                    </w:rPr>
                    <w:t>kg/h</w:t>
                  </w:r>
                </w:p>
              </w:tc>
              <w:tc>
                <w:tcPr>
                  <w:tcW w:w="0" w:type="auto"/>
                  <w:vMerge w:val="continue"/>
                  <w:tcBorders>
                    <w:tl2br w:val="nil"/>
                    <w:tr2bl w:val="nil"/>
                  </w:tcBorders>
                  <w:vAlign w:val="center"/>
                </w:tcPr>
                <w:p w14:paraId="10D80586">
                  <w:pPr>
                    <w:spacing w:line="276" w:lineRule="auto"/>
                    <w:jc w:val="center"/>
                    <w:rPr>
                      <w:rFonts w:ascii="Times New Roman" w:hAnsi="Times New Roman" w:eastAsia="黑体"/>
                      <w:bCs/>
                      <w:color w:val="auto"/>
                      <w:spacing w:val="-10"/>
                      <w:szCs w:val="21"/>
                    </w:rPr>
                  </w:pPr>
                </w:p>
              </w:tc>
            </w:tr>
            <w:tr w14:paraId="6B81753C">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1794" w:hRule="atLeast"/>
                <w:jc w:val="center"/>
              </w:trPr>
              <w:tc>
                <w:tcPr>
                  <w:tcW w:w="0" w:type="auto"/>
                  <w:vMerge w:val="restart"/>
                  <w:tcBorders>
                    <w:tl2br w:val="nil"/>
                    <w:tr2bl w:val="nil"/>
                  </w:tcBorders>
                  <w:vAlign w:val="center"/>
                </w:tcPr>
                <w:p w14:paraId="6250D9AA">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DA001</w:t>
                  </w:r>
                </w:p>
              </w:tc>
              <w:tc>
                <w:tcPr>
                  <w:tcW w:w="0" w:type="auto"/>
                  <w:tcBorders>
                    <w:tl2br w:val="nil"/>
                    <w:tr2bl w:val="nil"/>
                  </w:tcBorders>
                  <w:vAlign w:val="center"/>
                </w:tcPr>
                <w:p w14:paraId="695CF8A5">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调</w:t>
                  </w:r>
                  <w:r>
                    <w:rPr>
                      <w:rFonts w:hint="eastAsia" w:ascii="Times New Roman" w:hAnsi="Times New Roman"/>
                      <w:bCs/>
                      <w:color w:val="auto"/>
                      <w:spacing w:val="-10"/>
                      <w:szCs w:val="21"/>
                    </w:rPr>
                    <w:t>底</w:t>
                  </w:r>
                  <w:r>
                    <w:rPr>
                      <w:rFonts w:ascii="Times New Roman" w:hAnsi="Times New Roman"/>
                      <w:bCs/>
                      <w:color w:val="auto"/>
                      <w:spacing w:val="-10"/>
                      <w:szCs w:val="21"/>
                    </w:rPr>
                    <w:t>漆废气（G</w:t>
                  </w:r>
                  <w:r>
                    <w:rPr>
                      <w:rFonts w:hint="eastAsia" w:ascii="Times New Roman" w:hAnsi="Times New Roman"/>
                      <w:bCs/>
                      <w:color w:val="auto"/>
                      <w:spacing w:val="-10"/>
                      <w:szCs w:val="21"/>
                      <w:vertAlign w:val="subscript"/>
                    </w:rPr>
                    <w:t>1</w:t>
                  </w:r>
                  <w:r>
                    <w:rPr>
                      <w:rFonts w:ascii="Times New Roman" w:hAnsi="Times New Roman"/>
                      <w:bCs/>
                      <w:color w:val="auto"/>
                      <w:spacing w:val="-10"/>
                      <w:szCs w:val="21"/>
                    </w:rPr>
                    <w:t>）</w:t>
                  </w:r>
                </w:p>
              </w:tc>
              <w:tc>
                <w:tcPr>
                  <w:tcW w:w="0" w:type="auto"/>
                  <w:tcBorders>
                    <w:tl2br w:val="nil"/>
                    <w:tr2bl w:val="nil"/>
                  </w:tcBorders>
                  <w:vAlign w:val="center"/>
                </w:tcPr>
                <w:p w14:paraId="6246E453">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非甲烷</w:t>
                  </w:r>
                  <w:r>
                    <w:rPr>
                      <w:rFonts w:ascii="Times New Roman" w:hAnsi="Times New Roman"/>
                      <w:bCs/>
                      <w:color w:val="auto"/>
                      <w:spacing w:val="-10"/>
                      <w:szCs w:val="21"/>
                    </w:rPr>
                    <w:t>总烃</w:t>
                  </w:r>
                </w:p>
              </w:tc>
              <w:tc>
                <w:tcPr>
                  <w:tcW w:w="0" w:type="auto"/>
                  <w:tcBorders>
                    <w:tl2br w:val="nil"/>
                    <w:tr2bl w:val="nil"/>
                  </w:tcBorders>
                  <w:vAlign w:val="center"/>
                </w:tcPr>
                <w:p w14:paraId="32D767B3">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600</w:t>
                  </w:r>
                </w:p>
              </w:tc>
              <w:tc>
                <w:tcPr>
                  <w:tcW w:w="0" w:type="auto"/>
                  <w:tcBorders>
                    <w:tl2br w:val="nil"/>
                    <w:tr2bl w:val="nil"/>
                  </w:tcBorders>
                  <w:vAlign w:val="center"/>
                </w:tcPr>
                <w:p w14:paraId="7FB3849A">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0.02</w:t>
                  </w:r>
                  <w:r>
                    <w:rPr>
                      <w:rFonts w:hint="eastAsia" w:ascii="Times New Roman" w:hAnsi="Times New Roman"/>
                      <w:bCs/>
                      <w:color w:val="auto"/>
                      <w:spacing w:val="-10"/>
                      <w:szCs w:val="21"/>
                      <w:lang w:val="en-US" w:eastAsia="zh-CN"/>
                    </w:rPr>
                    <w:t>31</w:t>
                  </w:r>
                </w:p>
              </w:tc>
              <w:tc>
                <w:tcPr>
                  <w:tcW w:w="734" w:type="dxa"/>
                  <w:tcBorders>
                    <w:tl2br w:val="nil"/>
                    <w:tr2bl w:val="nil"/>
                  </w:tcBorders>
                  <w:vAlign w:val="center"/>
                </w:tcPr>
                <w:p w14:paraId="2B05F99F">
                  <w:pPr>
                    <w:spacing w:line="276" w:lineRule="auto"/>
                    <w:jc w:val="center"/>
                    <w:rPr>
                      <w:rFonts w:hint="eastAsia" w:ascii="Times New Roman" w:hAnsi="Times New Roman" w:eastAsiaTheme="minorEastAsia"/>
                      <w:bCs/>
                      <w:color w:val="auto"/>
                      <w:spacing w:val="-10"/>
                      <w:szCs w:val="21"/>
                      <w:lang w:eastAsia="zh-CN"/>
                    </w:rPr>
                  </w:pPr>
                  <w:r>
                    <w:rPr>
                      <w:rFonts w:hint="eastAsia" w:ascii="Times New Roman" w:hAnsi="Times New Roman"/>
                      <w:bCs/>
                      <w:color w:val="auto"/>
                      <w:spacing w:val="-10"/>
                      <w:szCs w:val="21"/>
                    </w:rPr>
                    <w:t>0.03</w:t>
                  </w:r>
                  <w:r>
                    <w:rPr>
                      <w:rFonts w:hint="eastAsia" w:ascii="Times New Roman" w:hAnsi="Times New Roman"/>
                      <w:bCs/>
                      <w:color w:val="auto"/>
                      <w:spacing w:val="-10"/>
                      <w:szCs w:val="21"/>
                      <w:lang w:val="en-US" w:eastAsia="zh-CN"/>
                    </w:rPr>
                    <w:t>9</w:t>
                  </w:r>
                </w:p>
              </w:tc>
              <w:tc>
                <w:tcPr>
                  <w:tcW w:w="748" w:type="dxa"/>
                  <w:tcBorders>
                    <w:tl2br w:val="nil"/>
                    <w:tr2bl w:val="nil"/>
                  </w:tcBorders>
                  <w:vAlign w:val="center"/>
                </w:tcPr>
                <w:p w14:paraId="245210EC">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26</w:t>
                  </w:r>
                </w:p>
              </w:tc>
              <w:tc>
                <w:tcPr>
                  <w:tcW w:w="0" w:type="auto"/>
                  <w:vMerge w:val="restart"/>
                  <w:tcBorders>
                    <w:tl2br w:val="nil"/>
                    <w:tr2bl w:val="nil"/>
                  </w:tcBorders>
                  <w:vAlign w:val="center"/>
                </w:tcPr>
                <w:p w14:paraId="572EE074">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95</w:t>
                  </w:r>
                </w:p>
              </w:tc>
              <w:tc>
                <w:tcPr>
                  <w:tcW w:w="0" w:type="auto"/>
                  <w:tcBorders>
                    <w:tl2br w:val="nil"/>
                    <w:tr2bl w:val="nil"/>
                  </w:tcBorders>
                  <w:vAlign w:val="center"/>
                </w:tcPr>
                <w:p w14:paraId="4026E9CD">
                  <w:pPr>
                    <w:spacing w:line="276" w:lineRule="auto"/>
                    <w:jc w:val="center"/>
                    <w:rPr>
                      <w:rFonts w:hint="default" w:ascii="Times New Roman" w:hAnsi="Times New Roman"/>
                      <w:bCs/>
                      <w:color w:val="auto"/>
                      <w:spacing w:val="-10"/>
                      <w:szCs w:val="21"/>
                      <w:highlight w:val="none"/>
                      <w:lang w:val="en-US"/>
                    </w:rPr>
                  </w:pPr>
                  <w:r>
                    <w:rPr>
                      <w:rFonts w:hint="eastAsia" w:ascii="Times New Roman" w:hAnsi="Times New Roman"/>
                      <w:bCs/>
                      <w:color w:val="auto"/>
                      <w:spacing w:val="-10"/>
                      <w:szCs w:val="21"/>
                      <w:highlight w:val="none"/>
                      <w:lang w:val="en-US" w:eastAsia="zh-CN"/>
                    </w:rPr>
                    <w:t>1500</w:t>
                  </w:r>
                </w:p>
              </w:tc>
              <w:tc>
                <w:tcPr>
                  <w:tcW w:w="0" w:type="auto"/>
                  <w:vMerge w:val="restart"/>
                  <w:tcBorders>
                    <w:tl2br w:val="nil"/>
                    <w:tr2bl w:val="nil"/>
                  </w:tcBorders>
                  <w:vAlign w:val="center"/>
                </w:tcPr>
                <w:p w14:paraId="297D62EC">
                  <w:pPr>
                    <w:spacing w:line="276" w:lineRule="auto"/>
                    <w:jc w:val="center"/>
                    <w:rPr>
                      <w:rFonts w:ascii="Times New Roman" w:hAnsi="Times New Roman"/>
                      <w:bCs/>
                      <w:color w:val="auto"/>
                      <w:spacing w:val="-10"/>
                      <w:szCs w:val="21"/>
                      <w:highlight w:val="none"/>
                    </w:rPr>
                  </w:pPr>
                  <w:r>
                    <w:rPr>
                      <w:rFonts w:hint="eastAsia" w:ascii="Times New Roman" w:hAnsi="Times New Roman"/>
                      <w:bCs/>
                      <w:color w:val="auto"/>
                      <w:spacing w:val="-10"/>
                      <w:szCs w:val="21"/>
                      <w:highlight w:val="none"/>
                    </w:rPr>
                    <w:t>水帘除漆雾装置</w:t>
                  </w:r>
                  <w:r>
                    <w:rPr>
                      <w:rFonts w:ascii="Times New Roman" w:hAnsi="Times New Roman"/>
                      <w:bCs/>
                      <w:color w:val="auto"/>
                      <w:spacing w:val="-10"/>
                      <w:szCs w:val="21"/>
                      <w:highlight w:val="none"/>
                    </w:rPr>
                    <w:t>+两级过滤棉对漆雾去除效率为9</w:t>
                  </w:r>
                  <w:r>
                    <w:rPr>
                      <w:rFonts w:hint="eastAsia" w:ascii="Times New Roman" w:hAnsi="Times New Roman"/>
                      <w:bCs/>
                      <w:color w:val="auto"/>
                      <w:spacing w:val="-10"/>
                      <w:szCs w:val="21"/>
                      <w:highlight w:val="none"/>
                    </w:rPr>
                    <w:t>9.4</w:t>
                  </w:r>
                  <w:r>
                    <w:rPr>
                      <w:rFonts w:ascii="Times New Roman" w:hAnsi="Times New Roman"/>
                      <w:bCs/>
                      <w:color w:val="auto"/>
                      <w:spacing w:val="-10"/>
                      <w:szCs w:val="21"/>
                      <w:highlight w:val="none"/>
                    </w:rPr>
                    <w:t>%，</w:t>
                  </w:r>
                  <w:r>
                    <w:rPr>
                      <w:rFonts w:hint="eastAsia" w:ascii="Times New Roman" w:hAnsi="Times New Roman"/>
                      <w:bCs/>
                      <w:color w:val="auto"/>
                      <w:spacing w:val="-10"/>
                      <w:szCs w:val="21"/>
                      <w:highlight w:val="none"/>
                    </w:rPr>
                    <w:t>两级活性炭对非甲烷总烃去除效率为90%</w:t>
                  </w:r>
                </w:p>
              </w:tc>
              <w:tc>
                <w:tcPr>
                  <w:tcW w:w="0" w:type="auto"/>
                  <w:vMerge w:val="restart"/>
                  <w:tcBorders>
                    <w:tl2br w:val="nil"/>
                    <w:tr2bl w:val="nil"/>
                  </w:tcBorders>
                  <w:vAlign w:val="center"/>
                </w:tcPr>
                <w:p w14:paraId="2364A15C">
                  <w:pPr>
                    <w:spacing w:line="276" w:lineRule="auto"/>
                    <w:jc w:val="center"/>
                    <w:rPr>
                      <w:rFonts w:hint="eastAsia" w:eastAsiaTheme="minorEastAsia"/>
                      <w:color w:val="auto"/>
                      <w:highlight w:val="none"/>
                      <w:lang w:val="en-US" w:eastAsia="zh-CN"/>
                    </w:rPr>
                  </w:pPr>
                  <w:r>
                    <w:rPr>
                      <w:rFonts w:hint="eastAsia" w:ascii="Times New Roman" w:hAnsi="Times New Roman" w:eastAsia="宋体" w:cs="Times New Roman"/>
                      <w:color w:val="auto"/>
                      <w:szCs w:val="21"/>
                      <w:highlight w:val="none"/>
                      <w:lang w:val="en-US" w:eastAsia="zh-CN"/>
                    </w:rPr>
                    <w:t>水帘</w:t>
                  </w:r>
                  <w:r>
                    <w:rPr>
                      <w:rFonts w:hint="eastAsia" w:ascii="Times New Roman" w:hAnsi="Times New Roman"/>
                      <w:bCs/>
                      <w:color w:val="auto"/>
                      <w:spacing w:val="-10"/>
                      <w:szCs w:val="21"/>
                      <w:highlight w:val="none"/>
                    </w:rPr>
                    <w:t>除漆雾装置</w:t>
                  </w:r>
                  <w:r>
                    <w:rPr>
                      <w:rFonts w:ascii="Times New Roman" w:hAnsi="Times New Roman"/>
                      <w:bCs/>
                      <w:color w:val="auto"/>
                      <w:spacing w:val="-10"/>
                      <w:szCs w:val="21"/>
                      <w:highlight w:val="none"/>
                    </w:rPr>
                    <w:t>+两级过滤棉</w:t>
                  </w:r>
                  <w:r>
                    <w:rPr>
                      <w:rFonts w:hint="eastAsia" w:ascii="Times New Roman" w:hAnsi="Times New Roman"/>
                      <w:bCs/>
                      <w:color w:val="auto"/>
                      <w:spacing w:val="-10"/>
                      <w:szCs w:val="21"/>
                      <w:highlight w:val="none"/>
                      <w:lang w:val="en-US" w:eastAsia="zh-CN"/>
                    </w:rPr>
                    <w:t>+两级活性</w:t>
                  </w:r>
                  <w:r>
                    <w:rPr>
                      <w:rStyle w:val="22"/>
                      <w:rFonts w:hint="eastAsia"/>
                      <w:color w:val="auto"/>
                      <w:highlight w:val="none"/>
                      <w:lang w:val="en-US" w:eastAsia="zh-CN"/>
                    </w:rPr>
                    <w:t>炭</w:t>
                  </w:r>
                </w:p>
              </w:tc>
              <w:tc>
                <w:tcPr>
                  <w:tcW w:w="0" w:type="auto"/>
                  <w:vMerge w:val="restart"/>
                  <w:tcBorders>
                    <w:tl2br w:val="nil"/>
                    <w:tr2bl w:val="nil"/>
                  </w:tcBorders>
                  <w:vAlign w:val="center"/>
                </w:tcPr>
                <w:p w14:paraId="7C65E788">
                  <w:pPr>
                    <w:spacing w:line="276" w:lineRule="auto"/>
                    <w:jc w:val="center"/>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rPr>
                    <w:t>颗粒物：0.05</w:t>
                  </w:r>
                  <w:r>
                    <w:rPr>
                      <w:rFonts w:hint="eastAsia" w:ascii="Times New Roman" w:hAnsi="Times New Roman" w:cs="Times New Roman"/>
                      <w:color w:val="auto"/>
                      <w:szCs w:val="21"/>
                      <w:highlight w:val="none"/>
                      <w:lang w:val="en-US" w:eastAsia="zh-CN"/>
                    </w:rPr>
                    <w:t>3</w:t>
                  </w:r>
                </w:p>
                <w:p w14:paraId="17A926AB">
                  <w:pPr>
                    <w:spacing w:line="276" w:lineRule="auto"/>
                    <w:jc w:val="center"/>
                    <w:rPr>
                      <w:rFonts w:hint="default" w:ascii="Times New Roman" w:hAnsi="Times New Roman" w:eastAsiaTheme="minorEastAsia"/>
                      <w:bCs/>
                      <w:color w:val="auto"/>
                      <w:spacing w:val="-10"/>
                      <w:szCs w:val="21"/>
                      <w:highlight w:val="none"/>
                      <w:lang w:val="en-US" w:eastAsia="zh-CN"/>
                    </w:rPr>
                  </w:pPr>
                  <w:r>
                    <w:rPr>
                      <w:rFonts w:hint="eastAsia" w:ascii="Times New Roman" w:hAnsi="Times New Roman" w:cs="Times New Roman"/>
                      <w:color w:val="auto"/>
                      <w:szCs w:val="21"/>
                      <w:highlight w:val="none"/>
                    </w:rPr>
                    <w:t>非甲烷总烃：</w:t>
                  </w:r>
                  <w:r>
                    <w:rPr>
                      <w:rFonts w:hint="eastAsia" w:ascii="Times New Roman" w:hAnsi="Times New Roman"/>
                      <w:bCs/>
                      <w:color w:val="auto"/>
                      <w:spacing w:val="-10"/>
                      <w:szCs w:val="21"/>
                      <w:highlight w:val="none"/>
                    </w:rPr>
                    <w:t>0.2</w:t>
                  </w:r>
                  <w:r>
                    <w:rPr>
                      <w:rFonts w:hint="eastAsia" w:ascii="Times New Roman" w:hAnsi="Times New Roman"/>
                      <w:bCs/>
                      <w:color w:val="auto"/>
                      <w:spacing w:val="-10"/>
                      <w:szCs w:val="21"/>
                      <w:highlight w:val="none"/>
                      <w:lang w:val="en-US" w:eastAsia="zh-CN"/>
                    </w:rPr>
                    <w:t>25</w:t>
                  </w:r>
                </w:p>
              </w:tc>
              <w:tc>
                <w:tcPr>
                  <w:tcW w:w="0" w:type="auto"/>
                  <w:vMerge w:val="restart"/>
                  <w:tcBorders>
                    <w:tl2br w:val="nil"/>
                    <w:tr2bl w:val="nil"/>
                  </w:tcBorders>
                  <w:vAlign w:val="center"/>
                </w:tcPr>
                <w:p w14:paraId="3F3BD2C3">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颗粒物：0.022</w:t>
                  </w:r>
                </w:p>
                <w:p w14:paraId="24A7BFE5">
                  <w:pPr>
                    <w:spacing w:line="276" w:lineRule="auto"/>
                    <w:jc w:val="center"/>
                    <w:rPr>
                      <w:rFonts w:hint="eastAsia" w:ascii="Times New Roman" w:hAnsi="Times New Roman" w:eastAsiaTheme="minorEastAsia"/>
                      <w:bCs/>
                      <w:color w:val="auto"/>
                      <w:spacing w:val="-10"/>
                      <w:szCs w:val="21"/>
                      <w:highlight w:val="none"/>
                      <w:lang w:eastAsia="zh-CN"/>
                    </w:rPr>
                  </w:pPr>
                  <w:r>
                    <w:rPr>
                      <w:rFonts w:hint="eastAsia" w:ascii="Times New Roman" w:hAnsi="Times New Roman" w:cs="Times New Roman"/>
                      <w:color w:val="auto"/>
                      <w:szCs w:val="21"/>
                      <w:highlight w:val="none"/>
                    </w:rPr>
                    <w:t>非甲烷总烃：</w:t>
                  </w:r>
                  <w:r>
                    <w:rPr>
                      <w:rFonts w:hint="eastAsia" w:ascii="Times New Roman" w:hAnsi="Times New Roman"/>
                      <w:bCs/>
                      <w:color w:val="auto"/>
                      <w:spacing w:val="-10"/>
                      <w:szCs w:val="21"/>
                      <w:highlight w:val="none"/>
                    </w:rPr>
                    <w:t>0.09</w:t>
                  </w:r>
                  <w:r>
                    <w:rPr>
                      <w:rFonts w:hint="eastAsia" w:ascii="Times New Roman" w:hAnsi="Times New Roman"/>
                      <w:bCs/>
                      <w:color w:val="auto"/>
                      <w:spacing w:val="-10"/>
                      <w:szCs w:val="21"/>
                      <w:highlight w:val="none"/>
                      <w:lang w:val="en-US" w:eastAsia="zh-CN"/>
                    </w:rPr>
                    <w:t>4</w:t>
                  </w:r>
                </w:p>
              </w:tc>
              <w:tc>
                <w:tcPr>
                  <w:tcW w:w="0" w:type="auto"/>
                  <w:vMerge w:val="restart"/>
                  <w:tcBorders>
                    <w:tl2br w:val="nil"/>
                    <w:tr2bl w:val="nil"/>
                  </w:tcBorders>
                  <w:vAlign w:val="center"/>
                </w:tcPr>
                <w:p w14:paraId="19CA2082">
                  <w:pPr>
                    <w:spacing w:line="276" w:lineRule="auto"/>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rPr>
                    <w:t>颗粒物：</w:t>
                  </w:r>
                  <w:r>
                    <w:rPr>
                      <w:rFonts w:hint="eastAsia" w:ascii="Times New Roman" w:hAnsi="Times New Roman" w:cs="Times New Roman"/>
                      <w:color w:val="auto"/>
                      <w:szCs w:val="21"/>
                      <w:highlight w:val="none"/>
                      <w:lang w:val="en-US" w:eastAsia="zh-CN"/>
                    </w:rPr>
                    <w:t>0.85</w:t>
                  </w:r>
                </w:p>
                <w:p w14:paraId="2216CEE6">
                  <w:pPr>
                    <w:spacing w:line="276" w:lineRule="auto"/>
                    <w:jc w:val="center"/>
                    <w:rPr>
                      <w:rFonts w:hint="default" w:ascii="Times New Roman" w:hAnsi="Times New Roman" w:eastAsiaTheme="minorEastAsia"/>
                      <w:bCs/>
                      <w:color w:val="auto"/>
                      <w:spacing w:val="-10"/>
                      <w:szCs w:val="21"/>
                      <w:highlight w:val="none"/>
                      <w:lang w:val="en-US" w:eastAsia="zh-CN"/>
                    </w:rPr>
                  </w:pPr>
                  <w:r>
                    <w:rPr>
                      <w:rFonts w:hint="eastAsia" w:ascii="Times New Roman" w:hAnsi="Times New Roman" w:cs="Times New Roman"/>
                      <w:color w:val="auto"/>
                      <w:szCs w:val="21"/>
                      <w:highlight w:val="none"/>
                    </w:rPr>
                    <w:t>非甲烷总烃：</w:t>
                  </w:r>
                  <w:r>
                    <w:rPr>
                      <w:rFonts w:hint="eastAsia" w:ascii="Times New Roman" w:hAnsi="Times New Roman"/>
                      <w:bCs/>
                      <w:color w:val="auto"/>
                      <w:spacing w:val="-10"/>
                      <w:szCs w:val="21"/>
                      <w:highlight w:val="none"/>
                      <w:lang w:val="en-US" w:eastAsia="zh-CN"/>
                    </w:rPr>
                    <w:t>3.63</w:t>
                  </w:r>
                </w:p>
              </w:tc>
              <w:tc>
                <w:tcPr>
                  <w:tcW w:w="0" w:type="auto"/>
                  <w:vMerge w:val="restart"/>
                  <w:tcBorders>
                    <w:tl2br w:val="nil"/>
                    <w:tr2bl w:val="nil"/>
                  </w:tcBorders>
                  <w:vAlign w:val="center"/>
                </w:tcPr>
                <w:p w14:paraId="71B659A3">
                  <w:pPr>
                    <w:spacing w:line="276" w:lineRule="auto"/>
                    <w:jc w:val="center"/>
                    <w:rPr>
                      <w:rFonts w:ascii="Times New Roman" w:hAnsi="Times New Roman" w:eastAsia="黑体"/>
                      <w:bCs/>
                      <w:color w:val="auto"/>
                      <w:spacing w:val="-10"/>
                      <w:szCs w:val="21"/>
                    </w:rPr>
                  </w:pPr>
                  <w:r>
                    <w:rPr>
                      <w:rFonts w:hint="eastAsia" w:ascii="Times New Roman" w:hAnsi="Times New Roman"/>
                      <w:bCs/>
                      <w:color w:val="auto"/>
                      <w:spacing w:val="-10"/>
                      <w:szCs w:val="21"/>
                    </w:rPr>
                    <w:t>非甲烷总烃60，颗粒物120</w:t>
                  </w:r>
                </w:p>
              </w:tc>
              <w:tc>
                <w:tcPr>
                  <w:tcW w:w="0" w:type="auto"/>
                  <w:vMerge w:val="restart"/>
                  <w:tcBorders>
                    <w:tl2br w:val="nil"/>
                    <w:tr2bl w:val="nil"/>
                  </w:tcBorders>
                  <w:vAlign w:val="center"/>
                </w:tcPr>
                <w:p w14:paraId="2D3EEC65">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非甲烷总烃2.0，颗粒物5.9</w:t>
                  </w:r>
                </w:p>
              </w:tc>
              <w:tc>
                <w:tcPr>
                  <w:tcW w:w="0" w:type="auto"/>
                  <w:vMerge w:val="restart"/>
                  <w:tcBorders>
                    <w:tl2br w:val="nil"/>
                    <w:tr2bl w:val="nil"/>
                  </w:tcBorders>
                  <w:vAlign w:val="center"/>
                </w:tcPr>
                <w:p w14:paraId="5822DF2B">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温度：25℃，</w:t>
                  </w:r>
                </w:p>
                <w:p w14:paraId="5C6E241B">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高度：</w:t>
                  </w:r>
                  <w:r>
                    <w:rPr>
                      <w:rFonts w:hint="eastAsia" w:ascii="Times New Roman" w:hAnsi="Times New Roman"/>
                      <w:bCs/>
                      <w:color w:val="auto"/>
                      <w:spacing w:val="-10"/>
                      <w:szCs w:val="21"/>
                    </w:rPr>
                    <w:t>20</w:t>
                  </w:r>
                  <w:r>
                    <w:rPr>
                      <w:rFonts w:ascii="Times New Roman" w:hAnsi="Times New Roman"/>
                      <w:bCs/>
                      <w:color w:val="auto"/>
                      <w:spacing w:val="-10"/>
                      <w:szCs w:val="21"/>
                    </w:rPr>
                    <w:t>m，内径：</w:t>
                  </w:r>
                  <w:r>
                    <w:rPr>
                      <w:rFonts w:hint="eastAsia" w:ascii="Times New Roman" w:hAnsi="Times New Roman"/>
                      <w:bCs/>
                      <w:color w:val="auto"/>
                      <w:spacing w:val="-10"/>
                      <w:szCs w:val="21"/>
                      <w:lang w:val="en-US" w:eastAsia="zh-CN"/>
                    </w:rPr>
                    <w:t>800</w:t>
                  </w:r>
                  <w:r>
                    <w:rPr>
                      <w:rFonts w:hint="eastAsia" w:ascii="Times New Roman" w:hAnsi="Times New Roman"/>
                      <w:bCs/>
                      <w:color w:val="auto"/>
                      <w:spacing w:val="-10"/>
                      <w:szCs w:val="21"/>
                    </w:rPr>
                    <w:t>mm，</w:t>
                  </w:r>
                </w:p>
                <w:p w14:paraId="41181059">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编号：</w:t>
                  </w:r>
                  <w:r>
                    <w:rPr>
                      <w:rFonts w:hint="eastAsia" w:ascii="Times New Roman" w:hAnsi="Times New Roman"/>
                      <w:bCs/>
                      <w:color w:val="auto"/>
                      <w:spacing w:val="-10"/>
                      <w:szCs w:val="21"/>
                    </w:rPr>
                    <w:t>DA001</w:t>
                  </w:r>
                </w:p>
              </w:tc>
            </w:tr>
            <w:tr w14:paraId="57F02766">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326" w:hRule="atLeast"/>
                <w:jc w:val="center"/>
              </w:trPr>
              <w:tc>
                <w:tcPr>
                  <w:tcW w:w="0" w:type="auto"/>
                  <w:vMerge w:val="continue"/>
                  <w:tcBorders>
                    <w:tl2br w:val="nil"/>
                    <w:tr2bl w:val="nil"/>
                  </w:tcBorders>
                  <w:vAlign w:val="center"/>
                </w:tcPr>
                <w:p w14:paraId="5FB22B80">
                  <w:pPr>
                    <w:spacing w:line="276" w:lineRule="auto"/>
                    <w:jc w:val="center"/>
                    <w:rPr>
                      <w:rFonts w:ascii="Times New Roman" w:hAnsi="Times New Roman"/>
                      <w:bCs/>
                      <w:color w:val="auto"/>
                      <w:spacing w:val="-10"/>
                      <w:szCs w:val="21"/>
                    </w:rPr>
                  </w:pPr>
                </w:p>
              </w:tc>
              <w:tc>
                <w:tcPr>
                  <w:tcW w:w="0" w:type="auto"/>
                  <w:vMerge w:val="restart"/>
                  <w:tcBorders>
                    <w:tl2br w:val="nil"/>
                    <w:tr2bl w:val="nil"/>
                  </w:tcBorders>
                  <w:vAlign w:val="center"/>
                </w:tcPr>
                <w:p w14:paraId="0DD6A179">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喷底漆废气（G</w:t>
                  </w:r>
                  <w:r>
                    <w:rPr>
                      <w:rFonts w:hint="eastAsia" w:ascii="Times New Roman" w:hAnsi="Times New Roman"/>
                      <w:bCs/>
                      <w:color w:val="auto"/>
                      <w:spacing w:val="-10"/>
                      <w:szCs w:val="21"/>
                      <w:vertAlign w:val="subscript"/>
                    </w:rPr>
                    <w:t>2</w:t>
                  </w:r>
                  <w:r>
                    <w:rPr>
                      <w:rFonts w:ascii="Times New Roman" w:hAnsi="Times New Roman"/>
                      <w:bCs/>
                      <w:color w:val="auto"/>
                      <w:spacing w:val="-10"/>
                      <w:szCs w:val="21"/>
                    </w:rPr>
                    <w:t>）</w:t>
                  </w:r>
                </w:p>
              </w:tc>
              <w:tc>
                <w:tcPr>
                  <w:tcW w:w="0" w:type="auto"/>
                  <w:tcBorders>
                    <w:tl2br w:val="nil"/>
                    <w:tr2bl w:val="nil"/>
                  </w:tcBorders>
                  <w:vAlign w:val="center"/>
                </w:tcPr>
                <w:p w14:paraId="4976677D">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颗粒物</w:t>
                  </w:r>
                </w:p>
              </w:tc>
              <w:tc>
                <w:tcPr>
                  <w:tcW w:w="0" w:type="auto"/>
                  <w:vMerge w:val="restart"/>
                  <w:tcBorders>
                    <w:tl2br w:val="nil"/>
                    <w:tr2bl w:val="nil"/>
                  </w:tcBorders>
                  <w:vAlign w:val="center"/>
                </w:tcPr>
                <w:p w14:paraId="2573C4F8">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2400</w:t>
                  </w:r>
                </w:p>
              </w:tc>
              <w:tc>
                <w:tcPr>
                  <w:tcW w:w="0" w:type="auto"/>
                  <w:tcBorders>
                    <w:tl2br w:val="nil"/>
                    <w:tr2bl w:val="nil"/>
                  </w:tcBorders>
                  <w:vAlign w:val="center"/>
                </w:tcPr>
                <w:p w14:paraId="6C5877EE">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5.13</w:t>
                  </w:r>
                </w:p>
              </w:tc>
              <w:tc>
                <w:tcPr>
                  <w:tcW w:w="734" w:type="dxa"/>
                  <w:tcBorders>
                    <w:tl2br w:val="nil"/>
                    <w:tr2bl w:val="nil"/>
                  </w:tcBorders>
                  <w:vAlign w:val="center"/>
                </w:tcPr>
                <w:p w14:paraId="71D79220">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2.</w:t>
                  </w:r>
                  <w:r>
                    <w:rPr>
                      <w:rFonts w:hint="eastAsia" w:ascii="Times New Roman" w:hAnsi="Times New Roman"/>
                      <w:bCs/>
                      <w:color w:val="auto"/>
                      <w:spacing w:val="-10"/>
                      <w:szCs w:val="21"/>
                      <w:lang w:val="en-US" w:eastAsia="zh-CN"/>
                    </w:rPr>
                    <w:t>14</w:t>
                  </w:r>
                </w:p>
              </w:tc>
              <w:tc>
                <w:tcPr>
                  <w:tcW w:w="748" w:type="dxa"/>
                  <w:tcBorders>
                    <w:tl2br w:val="nil"/>
                    <w:tr2bl w:val="nil"/>
                  </w:tcBorders>
                  <w:vAlign w:val="center"/>
                </w:tcPr>
                <w:p w14:paraId="485E4327">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214</w:t>
                  </w:r>
                </w:p>
              </w:tc>
              <w:tc>
                <w:tcPr>
                  <w:tcW w:w="0" w:type="auto"/>
                  <w:vMerge w:val="continue"/>
                  <w:tcBorders>
                    <w:tl2br w:val="nil"/>
                    <w:tr2bl w:val="nil"/>
                  </w:tcBorders>
                  <w:vAlign w:val="center"/>
                </w:tcPr>
                <w:p w14:paraId="7F7ECCB9">
                  <w:pPr>
                    <w:spacing w:line="276" w:lineRule="auto"/>
                    <w:jc w:val="center"/>
                    <w:rPr>
                      <w:rFonts w:ascii="Times New Roman" w:hAnsi="Times New Roman"/>
                      <w:bCs/>
                      <w:color w:val="auto"/>
                      <w:spacing w:val="-10"/>
                      <w:szCs w:val="21"/>
                    </w:rPr>
                  </w:pPr>
                </w:p>
              </w:tc>
              <w:tc>
                <w:tcPr>
                  <w:tcW w:w="0" w:type="auto"/>
                  <w:vMerge w:val="restart"/>
                  <w:tcBorders>
                    <w:tl2br w:val="nil"/>
                    <w:tr2bl w:val="nil"/>
                  </w:tcBorders>
                  <w:vAlign w:val="center"/>
                </w:tcPr>
                <w:p w14:paraId="30BF4A69">
                  <w:pPr>
                    <w:spacing w:line="276" w:lineRule="auto"/>
                    <w:jc w:val="center"/>
                    <w:rPr>
                      <w:rFonts w:ascii="Times New Roman" w:hAnsi="Times New Roman"/>
                      <w:bCs/>
                      <w:color w:val="auto"/>
                      <w:spacing w:val="-10"/>
                      <w:szCs w:val="21"/>
                      <w:highlight w:val="none"/>
                    </w:rPr>
                  </w:pPr>
                  <w:r>
                    <w:rPr>
                      <w:rFonts w:hint="eastAsia" w:ascii="Times New Roman" w:hAnsi="Times New Roman"/>
                      <w:bCs/>
                      <w:color w:val="auto"/>
                      <w:spacing w:val="-10"/>
                      <w:szCs w:val="21"/>
                      <w:highlight w:val="none"/>
                      <w:lang w:val="en-US" w:eastAsia="zh-CN"/>
                    </w:rPr>
                    <w:t>100</w:t>
                  </w:r>
                  <w:r>
                    <w:rPr>
                      <w:rFonts w:hint="eastAsia" w:ascii="Times New Roman" w:hAnsi="Times New Roman"/>
                      <w:bCs/>
                      <w:color w:val="auto"/>
                      <w:spacing w:val="-10"/>
                      <w:szCs w:val="21"/>
                      <w:highlight w:val="none"/>
                    </w:rPr>
                    <w:t>00</w:t>
                  </w:r>
                </w:p>
              </w:tc>
              <w:tc>
                <w:tcPr>
                  <w:tcW w:w="0" w:type="auto"/>
                  <w:vMerge w:val="continue"/>
                  <w:tcBorders>
                    <w:tl2br w:val="nil"/>
                    <w:tr2bl w:val="nil"/>
                  </w:tcBorders>
                  <w:vAlign w:val="center"/>
                </w:tcPr>
                <w:p w14:paraId="3164CF2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0D434EF">
                  <w:pPr>
                    <w:spacing w:line="276" w:lineRule="auto"/>
                    <w:jc w:val="center"/>
                    <w:rPr>
                      <w:color w:val="auto"/>
                    </w:rPr>
                  </w:pPr>
                </w:p>
              </w:tc>
              <w:tc>
                <w:tcPr>
                  <w:tcW w:w="0" w:type="auto"/>
                  <w:vMerge w:val="continue"/>
                  <w:tcBorders>
                    <w:tl2br w:val="nil"/>
                    <w:tr2bl w:val="nil"/>
                  </w:tcBorders>
                  <w:vAlign w:val="center"/>
                </w:tcPr>
                <w:p w14:paraId="1BE788BC">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4CD408C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238CA5FF">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25E15636">
                  <w:pPr>
                    <w:spacing w:line="276" w:lineRule="auto"/>
                    <w:jc w:val="center"/>
                    <w:rPr>
                      <w:rFonts w:ascii="Times New Roman" w:hAnsi="Times New Roman" w:eastAsia="黑体"/>
                      <w:bCs/>
                      <w:color w:val="auto"/>
                      <w:spacing w:val="-10"/>
                      <w:szCs w:val="21"/>
                    </w:rPr>
                  </w:pPr>
                </w:p>
              </w:tc>
              <w:tc>
                <w:tcPr>
                  <w:tcW w:w="0" w:type="auto"/>
                  <w:vMerge w:val="continue"/>
                  <w:tcBorders>
                    <w:tl2br w:val="nil"/>
                    <w:tr2bl w:val="nil"/>
                  </w:tcBorders>
                  <w:vAlign w:val="center"/>
                </w:tcPr>
                <w:p w14:paraId="299F107E">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0705675A">
                  <w:pPr>
                    <w:spacing w:line="276" w:lineRule="auto"/>
                    <w:jc w:val="center"/>
                    <w:rPr>
                      <w:rFonts w:ascii="Times New Roman" w:hAnsi="Times New Roman"/>
                      <w:bCs/>
                      <w:color w:val="auto"/>
                      <w:spacing w:val="-10"/>
                      <w:szCs w:val="21"/>
                    </w:rPr>
                  </w:pPr>
                </w:p>
              </w:tc>
            </w:tr>
            <w:tr w14:paraId="3DC65424">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326" w:hRule="atLeast"/>
                <w:jc w:val="center"/>
              </w:trPr>
              <w:tc>
                <w:tcPr>
                  <w:tcW w:w="0" w:type="auto"/>
                  <w:vMerge w:val="continue"/>
                  <w:tcBorders>
                    <w:tl2br w:val="nil"/>
                    <w:tr2bl w:val="nil"/>
                  </w:tcBorders>
                  <w:vAlign w:val="center"/>
                </w:tcPr>
                <w:p w14:paraId="46A9AF18">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0ED7D426">
                  <w:pPr>
                    <w:spacing w:line="276" w:lineRule="auto"/>
                    <w:jc w:val="center"/>
                    <w:rPr>
                      <w:rFonts w:ascii="Times New Roman" w:hAnsi="Times New Roman"/>
                      <w:bCs/>
                      <w:color w:val="auto"/>
                      <w:spacing w:val="-10"/>
                      <w:szCs w:val="21"/>
                    </w:rPr>
                  </w:pPr>
                </w:p>
              </w:tc>
              <w:tc>
                <w:tcPr>
                  <w:tcW w:w="0" w:type="auto"/>
                  <w:tcBorders>
                    <w:tl2br w:val="nil"/>
                    <w:tr2bl w:val="nil"/>
                  </w:tcBorders>
                  <w:vAlign w:val="center"/>
                </w:tcPr>
                <w:p w14:paraId="67CD7116">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非甲烷总烃</w:t>
                  </w:r>
                </w:p>
              </w:tc>
              <w:tc>
                <w:tcPr>
                  <w:tcW w:w="0" w:type="auto"/>
                  <w:vMerge w:val="continue"/>
                  <w:tcBorders>
                    <w:tl2br w:val="nil"/>
                    <w:tr2bl w:val="nil"/>
                  </w:tcBorders>
                  <w:vAlign w:val="center"/>
                </w:tcPr>
                <w:p w14:paraId="34B3F1B9">
                  <w:pPr>
                    <w:spacing w:line="276" w:lineRule="auto"/>
                    <w:jc w:val="center"/>
                    <w:rPr>
                      <w:rFonts w:ascii="Times New Roman" w:hAnsi="Times New Roman"/>
                      <w:bCs/>
                      <w:color w:val="auto"/>
                      <w:spacing w:val="-10"/>
                      <w:szCs w:val="21"/>
                    </w:rPr>
                  </w:pPr>
                </w:p>
              </w:tc>
              <w:tc>
                <w:tcPr>
                  <w:tcW w:w="0" w:type="auto"/>
                  <w:tcBorders>
                    <w:tl2br w:val="nil"/>
                    <w:tr2bl w:val="nil"/>
                  </w:tcBorders>
                  <w:vAlign w:val="center"/>
                </w:tcPr>
                <w:p w14:paraId="7D24EE72">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0.4</w:t>
                  </w:r>
                  <w:r>
                    <w:rPr>
                      <w:rFonts w:hint="eastAsia" w:ascii="Times New Roman" w:hAnsi="Times New Roman"/>
                      <w:bCs/>
                      <w:color w:val="auto"/>
                      <w:spacing w:val="-10"/>
                      <w:szCs w:val="21"/>
                      <w:lang w:val="en-US" w:eastAsia="zh-CN"/>
                    </w:rPr>
                    <w:t>62</w:t>
                  </w:r>
                </w:p>
              </w:tc>
              <w:tc>
                <w:tcPr>
                  <w:tcW w:w="734" w:type="dxa"/>
                  <w:tcBorders>
                    <w:tl2br w:val="nil"/>
                    <w:tr2bl w:val="nil"/>
                  </w:tcBorders>
                  <w:vAlign w:val="center"/>
                </w:tcPr>
                <w:p w14:paraId="1107BF0A">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0.19</w:t>
                  </w:r>
                </w:p>
              </w:tc>
              <w:tc>
                <w:tcPr>
                  <w:tcW w:w="748" w:type="dxa"/>
                  <w:tcBorders>
                    <w:tl2br w:val="nil"/>
                    <w:tr2bl w:val="nil"/>
                  </w:tcBorders>
                  <w:vAlign w:val="center"/>
                </w:tcPr>
                <w:p w14:paraId="5A16A82E">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19</w:t>
                  </w:r>
                </w:p>
              </w:tc>
              <w:tc>
                <w:tcPr>
                  <w:tcW w:w="0" w:type="auto"/>
                  <w:vMerge w:val="continue"/>
                  <w:tcBorders>
                    <w:tl2br w:val="nil"/>
                    <w:tr2bl w:val="nil"/>
                  </w:tcBorders>
                  <w:vAlign w:val="center"/>
                </w:tcPr>
                <w:p w14:paraId="41497085">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93BC155">
                  <w:pPr>
                    <w:spacing w:line="276" w:lineRule="auto"/>
                    <w:jc w:val="center"/>
                    <w:rPr>
                      <w:rFonts w:ascii="Times New Roman" w:hAnsi="Times New Roman"/>
                      <w:bCs/>
                      <w:color w:val="auto"/>
                      <w:spacing w:val="-10"/>
                      <w:szCs w:val="21"/>
                      <w:highlight w:val="none"/>
                    </w:rPr>
                  </w:pPr>
                </w:p>
              </w:tc>
              <w:tc>
                <w:tcPr>
                  <w:tcW w:w="0" w:type="auto"/>
                  <w:vMerge w:val="continue"/>
                  <w:tcBorders>
                    <w:tl2br w:val="nil"/>
                    <w:tr2bl w:val="nil"/>
                  </w:tcBorders>
                  <w:vAlign w:val="center"/>
                </w:tcPr>
                <w:p w14:paraId="46742E0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13C28A16">
                  <w:pPr>
                    <w:spacing w:line="276" w:lineRule="auto"/>
                    <w:jc w:val="center"/>
                    <w:rPr>
                      <w:color w:val="auto"/>
                    </w:rPr>
                  </w:pPr>
                </w:p>
              </w:tc>
              <w:tc>
                <w:tcPr>
                  <w:tcW w:w="0" w:type="auto"/>
                  <w:vMerge w:val="continue"/>
                  <w:tcBorders>
                    <w:tl2br w:val="nil"/>
                    <w:tr2bl w:val="nil"/>
                  </w:tcBorders>
                  <w:vAlign w:val="center"/>
                </w:tcPr>
                <w:p w14:paraId="6F3FF92C">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20D7DEE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27D0D8D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687B026">
                  <w:pPr>
                    <w:spacing w:line="276" w:lineRule="auto"/>
                    <w:jc w:val="center"/>
                    <w:rPr>
                      <w:rFonts w:ascii="Times New Roman" w:hAnsi="Times New Roman" w:eastAsia="黑体"/>
                      <w:bCs/>
                      <w:color w:val="auto"/>
                      <w:spacing w:val="-10"/>
                      <w:szCs w:val="21"/>
                    </w:rPr>
                  </w:pPr>
                </w:p>
              </w:tc>
              <w:tc>
                <w:tcPr>
                  <w:tcW w:w="0" w:type="auto"/>
                  <w:vMerge w:val="continue"/>
                  <w:tcBorders>
                    <w:tl2br w:val="nil"/>
                    <w:tr2bl w:val="nil"/>
                  </w:tcBorders>
                  <w:vAlign w:val="center"/>
                </w:tcPr>
                <w:p w14:paraId="31AB40BB">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96CB18B">
                  <w:pPr>
                    <w:spacing w:line="276" w:lineRule="auto"/>
                    <w:jc w:val="center"/>
                    <w:rPr>
                      <w:rFonts w:ascii="Times New Roman" w:hAnsi="Times New Roman"/>
                      <w:bCs/>
                      <w:color w:val="auto"/>
                      <w:spacing w:val="-10"/>
                      <w:szCs w:val="21"/>
                    </w:rPr>
                  </w:pPr>
                </w:p>
              </w:tc>
            </w:tr>
            <w:tr w14:paraId="283FC80A">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163" w:hRule="atLeast"/>
                <w:jc w:val="center"/>
              </w:trPr>
              <w:tc>
                <w:tcPr>
                  <w:tcW w:w="0" w:type="auto"/>
                  <w:vMerge w:val="continue"/>
                  <w:tcBorders>
                    <w:tl2br w:val="nil"/>
                    <w:tr2bl w:val="nil"/>
                  </w:tcBorders>
                  <w:vAlign w:val="center"/>
                </w:tcPr>
                <w:p w14:paraId="2E0AB56D">
                  <w:pPr>
                    <w:spacing w:line="276" w:lineRule="auto"/>
                    <w:jc w:val="center"/>
                    <w:rPr>
                      <w:rFonts w:ascii="Times New Roman" w:hAnsi="Times New Roman"/>
                      <w:bCs/>
                      <w:color w:val="auto"/>
                      <w:spacing w:val="-10"/>
                      <w:szCs w:val="21"/>
                    </w:rPr>
                  </w:pPr>
                </w:p>
              </w:tc>
              <w:tc>
                <w:tcPr>
                  <w:tcW w:w="0" w:type="auto"/>
                  <w:tcBorders>
                    <w:tl2br w:val="nil"/>
                    <w:tr2bl w:val="nil"/>
                  </w:tcBorders>
                  <w:vAlign w:val="center"/>
                </w:tcPr>
                <w:p w14:paraId="0DE866A9">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调</w:t>
                  </w:r>
                  <w:r>
                    <w:rPr>
                      <w:rFonts w:hint="eastAsia" w:ascii="Times New Roman" w:hAnsi="Times New Roman"/>
                      <w:bCs/>
                      <w:color w:val="auto"/>
                      <w:spacing w:val="-10"/>
                      <w:szCs w:val="21"/>
                    </w:rPr>
                    <w:t>面</w:t>
                  </w:r>
                  <w:r>
                    <w:rPr>
                      <w:rFonts w:ascii="Times New Roman" w:hAnsi="Times New Roman"/>
                      <w:bCs/>
                      <w:color w:val="auto"/>
                      <w:spacing w:val="-10"/>
                      <w:szCs w:val="21"/>
                    </w:rPr>
                    <w:t>漆废气（G</w:t>
                  </w:r>
                  <w:r>
                    <w:rPr>
                      <w:rFonts w:hint="eastAsia" w:ascii="Times New Roman" w:hAnsi="Times New Roman"/>
                      <w:bCs/>
                      <w:color w:val="auto"/>
                      <w:spacing w:val="-10"/>
                      <w:szCs w:val="21"/>
                      <w:vertAlign w:val="subscript"/>
                    </w:rPr>
                    <w:t>4</w:t>
                  </w:r>
                  <w:r>
                    <w:rPr>
                      <w:rFonts w:ascii="Times New Roman" w:hAnsi="Times New Roman"/>
                      <w:bCs/>
                      <w:color w:val="auto"/>
                      <w:spacing w:val="-10"/>
                      <w:szCs w:val="21"/>
                    </w:rPr>
                    <w:t>）</w:t>
                  </w:r>
                </w:p>
              </w:tc>
              <w:tc>
                <w:tcPr>
                  <w:tcW w:w="0" w:type="auto"/>
                  <w:tcBorders>
                    <w:tl2br w:val="nil"/>
                    <w:tr2bl w:val="nil"/>
                  </w:tcBorders>
                  <w:vAlign w:val="center"/>
                </w:tcPr>
                <w:p w14:paraId="4D717157">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非甲烷</w:t>
                  </w:r>
                  <w:r>
                    <w:rPr>
                      <w:rFonts w:ascii="Times New Roman" w:hAnsi="Times New Roman"/>
                      <w:bCs/>
                      <w:color w:val="auto"/>
                      <w:spacing w:val="-10"/>
                      <w:szCs w:val="21"/>
                    </w:rPr>
                    <w:t>总烃</w:t>
                  </w:r>
                </w:p>
              </w:tc>
              <w:tc>
                <w:tcPr>
                  <w:tcW w:w="0" w:type="auto"/>
                  <w:tcBorders>
                    <w:tl2br w:val="nil"/>
                    <w:tr2bl w:val="nil"/>
                  </w:tcBorders>
                  <w:vAlign w:val="center"/>
                </w:tcPr>
                <w:p w14:paraId="236C0B4B">
                  <w:pPr>
                    <w:jc w:val="center"/>
                    <w:rPr>
                      <w:color w:val="auto"/>
                    </w:rPr>
                  </w:pPr>
                  <w:r>
                    <w:rPr>
                      <w:rFonts w:hint="eastAsia" w:ascii="Times New Roman" w:hAnsi="Times New Roman"/>
                      <w:bCs/>
                      <w:color w:val="auto"/>
                      <w:spacing w:val="-10"/>
                      <w:szCs w:val="21"/>
                    </w:rPr>
                    <w:t>600</w:t>
                  </w:r>
                </w:p>
              </w:tc>
              <w:tc>
                <w:tcPr>
                  <w:tcW w:w="0" w:type="auto"/>
                  <w:tcBorders>
                    <w:tl2br w:val="nil"/>
                    <w:tr2bl w:val="nil"/>
                  </w:tcBorders>
                  <w:vAlign w:val="center"/>
                </w:tcPr>
                <w:p w14:paraId="2435DC5C">
                  <w:pPr>
                    <w:spacing w:line="276" w:lineRule="auto"/>
                    <w:jc w:val="center"/>
                    <w:rPr>
                      <w:rFonts w:hint="eastAsia" w:ascii="Times New Roman" w:hAnsi="Times New Roman" w:eastAsiaTheme="minorEastAsia"/>
                      <w:bCs/>
                      <w:color w:val="auto"/>
                      <w:spacing w:val="-10"/>
                      <w:szCs w:val="21"/>
                      <w:lang w:eastAsia="zh-CN"/>
                    </w:rPr>
                  </w:pPr>
                  <w:r>
                    <w:rPr>
                      <w:rFonts w:hint="eastAsia" w:ascii="Times New Roman" w:hAnsi="Times New Roman"/>
                      <w:bCs/>
                      <w:color w:val="auto"/>
                      <w:spacing w:val="-10"/>
                      <w:szCs w:val="21"/>
                    </w:rPr>
                    <w:t>0.020</w:t>
                  </w:r>
                  <w:r>
                    <w:rPr>
                      <w:rFonts w:hint="eastAsia" w:ascii="Times New Roman" w:hAnsi="Times New Roman"/>
                      <w:bCs/>
                      <w:color w:val="auto"/>
                      <w:spacing w:val="-10"/>
                      <w:szCs w:val="21"/>
                      <w:lang w:val="en-US" w:eastAsia="zh-CN"/>
                    </w:rPr>
                    <w:t>3</w:t>
                  </w:r>
                </w:p>
              </w:tc>
              <w:tc>
                <w:tcPr>
                  <w:tcW w:w="734" w:type="dxa"/>
                  <w:tcBorders>
                    <w:tl2br w:val="nil"/>
                    <w:tr2bl w:val="nil"/>
                  </w:tcBorders>
                  <w:vAlign w:val="center"/>
                </w:tcPr>
                <w:p w14:paraId="0C406BD3">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0.03</w:t>
                  </w:r>
                  <w:r>
                    <w:rPr>
                      <w:rFonts w:hint="eastAsia" w:ascii="Times New Roman" w:hAnsi="Times New Roman"/>
                      <w:bCs/>
                      <w:color w:val="auto"/>
                      <w:spacing w:val="-10"/>
                      <w:szCs w:val="21"/>
                      <w:lang w:val="en-US" w:eastAsia="zh-CN"/>
                    </w:rPr>
                    <w:t>38</w:t>
                  </w:r>
                </w:p>
              </w:tc>
              <w:tc>
                <w:tcPr>
                  <w:tcW w:w="748" w:type="dxa"/>
                  <w:tcBorders>
                    <w:tl2br w:val="nil"/>
                    <w:tr2bl w:val="nil"/>
                  </w:tcBorders>
                  <w:vAlign w:val="center"/>
                </w:tcPr>
                <w:p w14:paraId="3327D38A">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22.53</w:t>
                  </w:r>
                </w:p>
              </w:tc>
              <w:tc>
                <w:tcPr>
                  <w:tcW w:w="0" w:type="auto"/>
                  <w:vMerge w:val="restart"/>
                  <w:tcBorders>
                    <w:tl2br w:val="nil"/>
                    <w:tr2bl w:val="nil"/>
                  </w:tcBorders>
                  <w:vAlign w:val="center"/>
                </w:tcPr>
                <w:p w14:paraId="0D6FB04F">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95</w:t>
                  </w:r>
                </w:p>
              </w:tc>
              <w:tc>
                <w:tcPr>
                  <w:tcW w:w="0" w:type="auto"/>
                  <w:tcBorders>
                    <w:tl2br w:val="nil"/>
                    <w:tr2bl w:val="nil"/>
                  </w:tcBorders>
                  <w:vAlign w:val="center"/>
                </w:tcPr>
                <w:p w14:paraId="6A2CF313">
                  <w:pPr>
                    <w:spacing w:line="276" w:lineRule="auto"/>
                    <w:jc w:val="center"/>
                    <w:rPr>
                      <w:rFonts w:ascii="Times New Roman" w:hAnsi="Times New Roman"/>
                      <w:bCs/>
                      <w:color w:val="auto"/>
                      <w:spacing w:val="-10"/>
                      <w:szCs w:val="21"/>
                      <w:highlight w:val="none"/>
                    </w:rPr>
                  </w:pPr>
                  <w:r>
                    <w:rPr>
                      <w:rFonts w:hint="eastAsia" w:ascii="Times New Roman" w:hAnsi="Times New Roman"/>
                      <w:bCs/>
                      <w:color w:val="auto"/>
                      <w:spacing w:val="-10"/>
                      <w:szCs w:val="21"/>
                      <w:highlight w:val="none"/>
                      <w:lang w:val="en-US" w:eastAsia="zh-CN"/>
                    </w:rPr>
                    <w:t>15</w:t>
                  </w:r>
                  <w:r>
                    <w:rPr>
                      <w:rFonts w:hint="eastAsia" w:ascii="Times New Roman" w:hAnsi="Times New Roman"/>
                      <w:bCs/>
                      <w:color w:val="auto"/>
                      <w:spacing w:val="-10"/>
                      <w:szCs w:val="21"/>
                      <w:highlight w:val="none"/>
                    </w:rPr>
                    <w:t>00</w:t>
                  </w:r>
                </w:p>
              </w:tc>
              <w:tc>
                <w:tcPr>
                  <w:tcW w:w="0" w:type="auto"/>
                  <w:vMerge w:val="continue"/>
                  <w:tcBorders>
                    <w:tl2br w:val="nil"/>
                    <w:tr2bl w:val="nil"/>
                  </w:tcBorders>
                  <w:vAlign w:val="center"/>
                </w:tcPr>
                <w:p w14:paraId="097F1F07">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5756F5D0">
                  <w:pPr>
                    <w:spacing w:line="276" w:lineRule="auto"/>
                    <w:jc w:val="center"/>
                    <w:rPr>
                      <w:color w:val="auto"/>
                    </w:rPr>
                  </w:pPr>
                </w:p>
              </w:tc>
              <w:tc>
                <w:tcPr>
                  <w:tcW w:w="0" w:type="auto"/>
                  <w:vMerge w:val="continue"/>
                  <w:tcBorders>
                    <w:tl2br w:val="nil"/>
                    <w:tr2bl w:val="nil"/>
                  </w:tcBorders>
                  <w:vAlign w:val="center"/>
                </w:tcPr>
                <w:p w14:paraId="21368743">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72EAD6D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1C9D7936">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58562DA5">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3265E19D">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289E9CDC">
                  <w:pPr>
                    <w:spacing w:line="276" w:lineRule="auto"/>
                    <w:jc w:val="center"/>
                    <w:rPr>
                      <w:rFonts w:ascii="Times New Roman" w:hAnsi="Times New Roman"/>
                      <w:bCs/>
                      <w:color w:val="auto"/>
                      <w:spacing w:val="-10"/>
                      <w:szCs w:val="21"/>
                    </w:rPr>
                  </w:pPr>
                </w:p>
              </w:tc>
            </w:tr>
            <w:tr w14:paraId="6F6AD226">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326" w:hRule="atLeast"/>
                <w:jc w:val="center"/>
              </w:trPr>
              <w:tc>
                <w:tcPr>
                  <w:tcW w:w="0" w:type="auto"/>
                  <w:vMerge w:val="continue"/>
                  <w:tcBorders>
                    <w:tl2br w:val="nil"/>
                    <w:tr2bl w:val="nil"/>
                  </w:tcBorders>
                  <w:vAlign w:val="center"/>
                </w:tcPr>
                <w:p w14:paraId="2CC448E3">
                  <w:pPr>
                    <w:spacing w:line="276" w:lineRule="auto"/>
                    <w:jc w:val="center"/>
                    <w:rPr>
                      <w:rFonts w:ascii="Times New Roman" w:hAnsi="Times New Roman"/>
                      <w:bCs/>
                      <w:color w:val="auto"/>
                      <w:spacing w:val="-10"/>
                      <w:szCs w:val="21"/>
                    </w:rPr>
                  </w:pPr>
                </w:p>
              </w:tc>
              <w:tc>
                <w:tcPr>
                  <w:tcW w:w="0" w:type="auto"/>
                  <w:vMerge w:val="restart"/>
                  <w:tcBorders>
                    <w:tl2br w:val="nil"/>
                    <w:tr2bl w:val="nil"/>
                  </w:tcBorders>
                  <w:vAlign w:val="center"/>
                </w:tcPr>
                <w:p w14:paraId="609BC2D6">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喷</w:t>
                  </w:r>
                  <w:r>
                    <w:rPr>
                      <w:rFonts w:hint="eastAsia" w:ascii="Times New Roman" w:hAnsi="Times New Roman"/>
                      <w:bCs/>
                      <w:color w:val="auto"/>
                      <w:spacing w:val="-10"/>
                      <w:szCs w:val="21"/>
                    </w:rPr>
                    <w:t>面</w:t>
                  </w:r>
                  <w:r>
                    <w:rPr>
                      <w:rFonts w:ascii="Times New Roman" w:hAnsi="Times New Roman"/>
                      <w:bCs/>
                      <w:color w:val="auto"/>
                      <w:spacing w:val="-10"/>
                      <w:szCs w:val="21"/>
                    </w:rPr>
                    <w:t>漆废气（G</w:t>
                  </w:r>
                  <w:r>
                    <w:rPr>
                      <w:rFonts w:hint="eastAsia" w:ascii="Times New Roman" w:hAnsi="Times New Roman"/>
                      <w:bCs/>
                      <w:color w:val="auto"/>
                      <w:spacing w:val="-10"/>
                      <w:szCs w:val="21"/>
                      <w:vertAlign w:val="subscript"/>
                    </w:rPr>
                    <w:t>5</w:t>
                  </w:r>
                  <w:r>
                    <w:rPr>
                      <w:rFonts w:ascii="Times New Roman" w:hAnsi="Times New Roman"/>
                      <w:bCs/>
                      <w:color w:val="auto"/>
                      <w:spacing w:val="-10"/>
                      <w:szCs w:val="21"/>
                    </w:rPr>
                    <w:t>）</w:t>
                  </w:r>
                </w:p>
              </w:tc>
              <w:tc>
                <w:tcPr>
                  <w:tcW w:w="0" w:type="auto"/>
                  <w:tcBorders>
                    <w:tl2br w:val="nil"/>
                    <w:tr2bl w:val="nil"/>
                  </w:tcBorders>
                  <w:vAlign w:val="center"/>
                </w:tcPr>
                <w:p w14:paraId="06667C3A">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颗粒物</w:t>
                  </w:r>
                </w:p>
              </w:tc>
              <w:tc>
                <w:tcPr>
                  <w:tcW w:w="0" w:type="auto"/>
                  <w:vMerge w:val="restart"/>
                  <w:tcBorders>
                    <w:tl2br w:val="nil"/>
                    <w:tr2bl w:val="nil"/>
                  </w:tcBorders>
                  <w:vAlign w:val="center"/>
                </w:tcPr>
                <w:p w14:paraId="04C7E0BB">
                  <w:pPr>
                    <w:jc w:val="center"/>
                    <w:rPr>
                      <w:rFonts w:ascii="Times New Roman" w:hAnsi="Times New Roman"/>
                      <w:bCs/>
                      <w:color w:val="auto"/>
                      <w:spacing w:val="-10"/>
                      <w:szCs w:val="21"/>
                    </w:rPr>
                  </w:pPr>
                  <w:r>
                    <w:rPr>
                      <w:rFonts w:hint="eastAsia" w:ascii="Times New Roman" w:hAnsi="Times New Roman"/>
                      <w:bCs/>
                      <w:color w:val="auto"/>
                      <w:spacing w:val="-10"/>
                      <w:szCs w:val="21"/>
                    </w:rPr>
                    <w:t>2400</w:t>
                  </w:r>
                </w:p>
              </w:tc>
              <w:tc>
                <w:tcPr>
                  <w:tcW w:w="0" w:type="auto"/>
                  <w:tcBorders>
                    <w:tl2br w:val="nil"/>
                    <w:tr2bl w:val="nil"/>
                  </w:tcBorders>
                  <w:vAlign w:val="center"/>
                </w:tcPr>
                <w:p w14:paraId="4A04B037">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4.</w:t>
                  </w:r>
                  <w:r>
                    <w:rPr>
                      <w:rFonts w:hint="eastAsia" w:ascii="Times New Roman" w:hAnsi="Times New Roman"/>
                      <w:bCs/>
                      <w:color w:val="auto"/>
                      <w:spacing w:val="-10"/>
                      <w:szCs w:val="21"/>
                      <w:lang w:val="en-US" w:eastAsia="zh-CN"/>
                    </w:rPr>
                    <w:t>185</w:t>
                  </w:r>
                </w:p>
              </w:tc>
              <w:tc>
                <w:tcPr>
                  <w:tcW w:w="734" w:type="dxa"/>
                  <w:tcBorders>
                    <w:tl2br w:val="nil"/>
                    <w:tr2bl w:val="nil"/>
                  </w:tcBorders>
                  <w:vAlign w:val="center"/>
                </w:tcPr>
                <w:p w14:paraId="5104ACFC">
                  <w:pPr>
                    <w:spacing w:line="276" w:lineRule="auto"/>
                    <w:jc w:val="center"/>
                    <w:rPr>
                      <w:rFonts w:hint="eastAsia" w:ascii="Times New Roman" w:hAnsi="Times New Roman" w:eastAsiaTheme="minorEastAsia"/>
                      <w:bCs/>
                      <w:color w:val="auto"/>
                      <w:spacing w:val="-10"/>
                      <w:szCs w:val="21"/>
                      <w:lang w:eastAsia="zh-CN"/>
                    </w:rPr>
                  </w:pPr>
                  <w:r>
                    <w:rPr>
                      <w:rFonts w:hint="eastAsia" w:ascii="Times New Roman" w:hAnsi="Times New Roman"/>
                      <w:bCs/>
                      <w:color w:val="auto"/>
                      <w:spacing w:val="-10"/>
                      <w:szCs w:val="21"/>
                    </w:rPr>
                    <w:t>1.7</w:t>
                  </w:r>
                  <w:r>
                    <w:rPr>
                      <w:rFonts w:hint="eastAsia" w:ascii="Times New Roman" w:hAnsi="Times New Roman"/>
                      <w:bCs/>
                      <w:color w:val="auto"/>
                      <w:spacing w:val="-10"/>
                      <w:szCs w:val="21"/>
                      <w:lang w:val="en-US" w:eastAsia="zh-CN"/>
                    </w:rPr>
                    <w:t>4</w:t>
                  </w:r>
                </w:p>
              </w:tc>
              <w:tc>
                <w:tcPr>
                  <w:tcW w:w="748" w:type="dxa"/>
                  <w:tcBorders>
                    <w:tl2br w:val="nil"/>
                    <w:tr2bl w:val="nil"/>
                  </w:tcBorders>
                  <w:vAlign w:val="center"/>
                </w:tcPr>
                <w:p w14:paraId="295AAE95">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174</w:t>
                  </w:r>
                </w:p>
              </w:tc>
              <w:tc>
                <w:tcPr>
                  <w:tcW w:w="0" w:type="auto"/>
                  <w:vMerge w:val="continue"/>
                  <w:tcBorders>
                    <w:tl2br w:val="nil"/>
                    <w:tr2bl w:val="nil"/>
                  </w:tcBorders>
                  <w:vAlign w:val="center"/>
                </w:tcPr>
                <w:p w14:paraId="75E929C0">
                  <w:pPr>
                    <w:spacing w:line="276" w:lineRule="auto"/>
                    <w:jc w:val="center"/>
                    <w:rPr>
                      <w:rFonts w:ascii="Times New Roman" w:hAnsi="Times New Roman"/>
                      <w:bCs/>
                      <w:color w:val="auto"/>
                      <w:spacing w:val="-10"/>
                      <w:szCs w:val="21"/>
                    </w:rPr>
                  </w:pPr>
                </w:p>
              </w:tc>
              <w:tc>
                <w:tcPr>
                  <w:tcW w:w="0" w:type="auto"/>
                  <w:vMerge w:val="restart"/>
                  <w:tcBorders>
                    <w:tl2br w:val="nil"/>
                    <w:tr2bl w:val="nil"/>
                  </w:tcBorders>
                  <w:vAlign w:val="center"/>
                </w:tcPr>
                <w:p w14:paraId="78687E4B">
                  <w:pPr>
                    <w:spacing w:line="276" w:lineRule="auto"/>
                    <w:jc w:val="center"/>
                    <w:rPr>
                      <w:rFonts w:ascii="Times New Roman" w:hAnsi="Times New Roman"/>
                      <w:bCs/>
                      <w:color w:val="auto"/>
                      <w:spacing w:val="-10"/>
                      <w:szCs w:val="21"/>
                      <w:highlight w:val="none"/>
                    </w:rPr>
                  </w:pPr>
                  <w:r>
                    <w:rPr>
                      <w:rFonts w:hint="eastAsia" w:ascii="Times New Roman" w:hAnsi="Times New Roman"/>
                      <w:bCs/>
                      <w:color w:val="auto"/>
                      <w:spacing w:val="-10"/>
                      <w:szCs w:val="21"/>
                      <w:highlight w:val="none"/>
                      <w:lang w:val="en-US" w:eastAsia="zh-CN"/>
                    </w:rPr>
                    <w:t>100</w:t>
                  </w:r>
                  <w:r>
                    <w:rPr>
                      <w:rFonts w:hint="eastAsia" w:ascii="Times New Roman" w:hAnsi="Times New Roman"/>
                      <w:bCs/>
                      <w:color w:val="auto"/>
                      <w:spacing w:val="-10"/>
                      <w:szCs w:val="21"/>
                      <w:highlight w:val="none"/>
                    </w:rPr>
                    <w:t>00</w:t>
                  </w:r>
                </w:p>
              </w:tc>
              <w:tc>
                <w:tcPr>
                  <w:tcW w:w="0" w:type="auto"/>
                  <w:vMerge w:val="continue"/>
                  <w:tcBorders>
                    <w:tl2br w:val="nil"/>
                    <w:tr2bl w:val="nil"/>
                  </w:tcBorders>
                  <w:vAlign w:val="center"/>
                </w:tcPr>
                <w:p w14:paraId="4A8662A5">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shd w:val="clear" w:color="auto" w:fill="auto"/>
                  <w:vAlign w:val="center"/>
                </w:tcPr>
                <w:p w14:paraId="66DBC105">
                  <w:pPr>
                    <w:spacing w:line="276" w:lineRule="auto"/>
                    <w:jc w:val="center"/>
                    <w:rPr>
                      <w:color w:val="auto"/>
                    </w:rPr>
                  </w:pPr>
                </w:p>
              </w:tc>
              <w:tc>
                <w:tcPr>
                  <w:tcW w:w="0" w:type="auto"/>
                  <w:vMerge w:val="continue"/>
                  <w:tcBorders>
                    <w:tl2br w:val="nil"/>
                    <w:tr2bl w:val="nil"/>
                  </w:tcBorders>
                  <w:vAlign w:val="center"/>
                </w:tcPr>
                <w:p w14:paraId="320D90F8">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47229B78">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48A59DA9">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45BC1C71">
                  <w:pPr>
                    <w:spacing w:line="276" w:lineRule="auto"/>
                    <w:jc w:val="center"/>
                    <w:rPr>
                      <w:rFonts w:ascii="Times New Roman" w:hAnsi="Times New Roman" w:eastAsia="黑体"/>
                      <w:bCs/>
                      <w:color w:val="auto"/>
                      <w:spacing w:val="-10"/>
                      <w:szCs w:val="21"/>
                    </w:rPr>
                  </w:pPr>
                </w:p>
              </w:tc>
              <w:tc>
                <w:tcPr>
                  <w:tcW w:w="0" w:type="auto"/>
                  <w:vMerge w:val="continue"/>
                  <w:tcBorders>
                    <w:tl2br w:val="nil"/>
                    <w:tr2bl w:val="nil"/>
                  </w:tcBorders>
                  <w:vAlign w:val="center"/>
                </w:tcPr>
                <w:p w14:paraId="169690C8">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35DEE540">
                  <w:pPr>
                    <w:spacing w:line="276" w:lineRule="auto"/>
                    <w:jc w:val="center"/>
                    <w:rPr>
                      <w:rFonts w:ascii="Times New Roman" w:hAnsi="Times New Roman"/>
                      <w:bCs/>
                      <w:color w:val="auto"/>
                      <w:spacing w:val="-10"/>
                      <w:szCs w:val="21"/>
                    </w:rPr>
                  </w:pPr>
                </w:p>
              </w:tc>
            </w:tr>
            <w:tr w14:paraId="029FE76C">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326" w:hRule="atLeast"/>
                <w:jc w:val="center"/>
              </w:trPr>
              <w:tc>
                <w:tcPr>
                  <w:tcW w:w="0" w:type="auto"/>
                  <w:vMerge w:val="continue"/>
                  <w:tcBorders>
                    <w:tl2br w:val="nil"/>
                    <w:tr2bl w:val="nil"/>
                  </w:tcBorders>
                  <w:vAlign w:val="center"/>
                </w:tcPr>
                <w:p w14:paraId="0244F91F">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0A436256">
                  <w:pPr>
                    <w:spacing w:line="276" w:lineRule="auto"/>
                    <w:jc w:val="center"/>
                    <w:rPr>
                      <w:rFonts w:ascii="Times New Roman" w:hAnsi="Times New Roman"/>
                      <w:bCs/>
                      <w:color w:val="auto"/>
                      <w:spacing w:val="-10"/>
                      <w:szCs w:val="21"/>
                    </w:rPr>
                  </w:pPr>
                </w:p>
              </w:tc>
              <w:tc>
                <w:tcPr>
                  <w:tcW w:w="0" w:type="auto"/>
                  <w:tcBorders>
                    <w:tl2br w:val="nil"/>
                    <w:tr2bl w:val="nil"/>
                  </w:tcBorders>
                  <w:vAlign w:val="center"/>
                </w:tcPr>
                <w:p w14:paraId="70BEE8F4">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非甲烷</w:t>
                  </w:r>
                  <w:r>
                    <w:rPr>
                      <w:rFonts w:ascii="Times New Roman" w:hAnsi="Times New Roman"/>
                      <w:bCs/>
                      <w:color w:val="auto"/>
                      <w:spacing w:val="-10"/>
                      <w:szCs w:val="21"/>
                    </w:rPr>
                    <w:t>总烃</w:t>
                  </w:r>
                </w:p>
              </w:tc>
              <w:tc>
                <w:tcPr>
                  <w:tcW w:w="0" w:type="auto"/>
                  <w:vMerge w:val="continue"/>
                  <w:tcBorders>
                    <w:tl2br w:val="nil"/>
                    <w:tr2bl w:val="nil"/>
                  </w:tcBorders>
                  <w:vAlign w:val="center"/>
                </w:tcPr>
                <w:p w14:paraId="62D8B5EA">
                  <w:pPr>
                    <w:jc w:val="center"/>
                    <w:rPr>
                      <w:rFonts w:ascii="Times New Roman" w:hAnsi="Times New Roman"/>
                      <w:bCs/>
                      <w:color w:val="auto"/>
                      <w:spacing w:val="-10"/>
                      <w:szCs w:val="21"/>
                    </w:rPr>
                  </w:pPr>
                </w:p>
              </w:tc>
              <w:tc>
                <w:tcPr>
                  <w:tcW w:w="0" w:type="auto"/>
                  <w:tcBorders>
                    <w:tl2br w:val="nil"/>
                    <w:tr2bl w:val="nil"/>
                  </w:tcBorders>
                  <w:vAlign w:val="center"/>
                </w:tcPr>
                <w:p w14:paraId="0C64D2A2">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0.4</w:t>
                  </w:r>
                  <w:r>
                    <w:rPr>
                      <w:rFonts w:hint="eastAsia" w:ascii="Times New Roman" w:hAnsi="Times New Roman"/>
                      <w:bCs/>
                      <w:color w:val="auto"/>
                      <w:spacing w:val="-10"/>
                      <w:szCs w:val="21"/>
                      <w:lang w:val="en-US" w:eastAsia="zh-CN"/>
                    </w:rPr>
                    <w:t>06</w:t>
                  </w:r>
                </w:p>
              </w:tc>
              <w:tc>
                <w:tcPr>
                  <w:tcW w:w="734" w:type="dxa"/>
                  <w:tcBorders>
                    <w:tl2br w:val="nil"/>
                    <w:tr2bl w:val="nil"/>
                  </w:tcBorders>
                  <w:vAlign w:val="center"/>
                </w:tcPr>
                <w:p w14:paraId="5E8DEED5">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0.1</w:t>
                  </w:r>
                  <w:r>
                    <w:rPr>
                      <w:rFonts w:hint="eastAsia" w:ascii="Times New Roman" w:hAnsi="Times New Roman"/>
                      <w:bCs/>
                      <w:color w:val="auto"/>
                      <w:spacing w:val="-10"/>
                      <w:szCs w:val="21"/>
                      <w:lang w:val="en-US" w:eastAsia="zh-CN"/>
                    </w:rPr>
                    <w:t>69</w:t>
                  </w:r>
                </w:p>
              </w:tc>
              <w:tc>
                <w:tcPr>
                  <w:tcW w:w="748" w:type="dxa"/>
                  <w:tcBorders>
                    <w:tl2br w:val="nil"/>
                    <w:tr2bl w:val="nil"/>
                  </w:tcBorders>
                  <w:vAlign w:val="center"/>
                </w:tcPr>
                <w:p w14:paraId="2BEDE9F4">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16.9</w:t>
                  </w:r>
                </w:p>
              </w:tc>
              <w:tc>
                <w:tcPr>
                  <w:tcW w:w="0" w:type="auto"/>
                  <w:vMerge w:val="continue"/>
                  <w:tcBorders>
                    <w:tl2br w:val="nil"/>
                    <w:tr2bl w:val="nil"/>
                  </w:tcBorders>
                  <w:vAlign w:val="center"/>
                </w:tcPr>
                <w:p w14:paraId="11A16B58">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19AA79CB">
                  <w:pPr>
                    <w:spacing w:line="276" w:lineRule="auto"/>
                    <w:jc w:val="center"/>
                    <w:rPr>
                      <w:rFonts w:ascii="Times New Roman" w:hAnsi="Times New Roman"/>
                      <w:bCs/>
                      <w:color w:val="auto"/>
                      <w:spacing w:val="-10"/>
                      <w:szCs w:val="21"/>
                      <w:highlight w:val="none"/>
                    </w:rPr>
                  </w:pPr>
                </w:p>
              </w:tc>
              <w:tc>
                <w:tcPr>
                  <w:tcW w:w="0" w:type="auto"/>
                  <w:vMerge w:val="continue"/>
                  <w:tcBorders>
                    <w:tl2br w:val="nil"/>
                    <w:tr2bl w:val="nil"/>
                  </w:tcBorders>
                  <w:vAlign w:val="center"/>
                </w:tcPr>
                <w:p w14:paraId="16C4C25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9E46348">
                  <w:pPr>
                    <w:spacing w:line="276" w:lineRule="auto"/>
                    <w:jc w:val="center"/>
                    <w:rPr>
                      <w:color w:val="auto"/>
                    </w:rPr>
                  </w:pPr>
                </w:p>
              </w:tc>
              <w:tc>
                <w:tcPr>
                  <w:tcW w:w="0" w:type="auto"/>
                  <w:vMerge w:val="continue"/>
                  <w:tcBorders>
                    <w:tl2br w:val="nil"/>
                    <w:tr2bl w:val="nil"/>
                  </w:tcBorders>
                  <w:vAlign w:val="center"/>
                </w:tcPr>
                <w:p w14:paraId="0CDDCC62">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55848906">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5AE09E9">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1F6CED44">
                  <w:pPr>
                    <w:spacing w:line="276" w:lineRule="auto"/>
                    <w:jc w:val="center"/>
                    <w:rPr>
                      <w:rFonts w:ascii="Times New Roman" w:hAnsi="Times New Roman" w:eastAsia="黑体"/>
                      <w:bCs/>
                      <w:color w:val="auto"/>
                      <w:spacing w:val="-10"/>
                      <w:szCs w:val="21"/>
                    </w:rPr>
                  </w:pPr>
                </w:p>
              </w:tc>
              <w:tc>
                <w:tcPr>
                  <w:tcW w:w="0" w:type="auto"/>
                  <w:vMerge w:val="continue"/>
                  <w:tcBorders>
                    <w:tl2br w:val="nil"/>
                    <w:tr2bl w:val="nil"/>
                  </w:tcBorders>
                  <w:vAlign w:val="center"/>
                </w:tcPr>
                <w:p w14:paraId="464EFD7D">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15C1FA8B">
                  <w:pPr>
                    <w:spacing w:line="276" w:lineRule="auto"/>
                    <w:jc w:val="center"/>
                    <w:rPr>
                      <w:rFonts w:ascii="Times New Roman" w:hAnsi="Times New Roman"/>
                      <w:bCs/>
                      <w:color w:val="auto"/>
                      <w:spacing w:val="-10"/>
                      <w:szCs w:val="21"/>
                    </w:rPr>
                  </w:pPr>
                </w:p>
              </w:tc>
            </w:tr>
            <w:tr w14:paraId="5846AE86">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108" w:type="dxa"/>
                  <w:bottom w:w="0" w:type="dxa"/>
                  <w:right w:w="108" w:type="dxa"/>
                </w:tblCellMar>
              </w:tblPrEx>
              <w:trPr>
                <w:trHeight w:val="326" w:hRule="atLeast"/>
                <w:jc w:val="center"/>
              </w:trPr>
              <w:tc>
                <w:tcPr>
                  <w:tcW w:w="0" w:type="auto"/>
                  <w:vMerge w:val="continue"/>
                  <w:tcBorders>
                    <w:tl2br w:val="nil"/>
                    <w:tr2bl w:val="nil"/>
                  </w:tcBorders>
                  <w:vAlign w:val="center"/>
                </w:tcPr>
                <w:p w14:paraId="55523099">
                  <w:pPr>
                    <w:spacing w:line="276" w:lineRule="auto"/>
                    <w:jc w:val="center"/>
                    <w:rPr>
                      <w:rFonts w:ascii="Times New Roman" w:hAnsi="Times New Roman"/>
                      <w:bCs/>
                      <w:color w:val="auto"/>
                      <w:spacing w:val="-10"/>
                      <w:szCs w:val="21"/>
                    </w:rPr>
                  </w:pPr>
                </w:p>
              </w:tc>
              <w:tc>
                <w:tcPr>
                  <w:tcW w:w="0" w:type="auto"/>
                  <w:tcBorders>
                    <w:tl2br w:val="nil"/>
                    <w:tr2bl w:val="nil"/>
                  </w:tcBorders>
                  <w:vAlign w:val="center"/>
                </w:tcPr>
                <w:p w14:paraId="043AA610">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烘干废气（G</w:t>
                  </w:r>
                  <w:r>
                    <w:rPr>
                      <w:rFonts w:hint="eastAsia" w:ascii="Times New Roman" w:hAnsi="Times New Roman"/>
                      <w:bCs/>
                      <w:color w:val="auto"/>
                      <w:spacing w:val="-10"/>
                      <w:szCs w:val="21"/>
                      <w:vertAlign w:val="subscript"/>
                    </w:rPr>
                    <w:t>3</w:t>
                  </w:r>
                  <w:r>
                    <w:rPr>
                      <w:rFonts w:ascii="Times New Roman" w:hAnsi="Times New Roman"/>
                      <w:bCs/>
                      <w:color w:val="auto"/>
                      <w:spacing w:val="-10"/>
                      <w:szCs w:val="21"/>
                    </w:rPr>
                    <w:t>）</w:t>
                  </w:r>
                </w:p>
              </w:tc>
              <w:tc>
                <w:tcPr>
                  <w:tcW w:w="0" w:type="auto"/>
                  <w:vMerge w:val="restart"/>
                  <w:tcBorders>
                    <w:tl2br w:val="nil"/>
                    <w:tr2bl w:val="nil"/>
                  </w:tcBorders>
                  <w:vAlign w:val="center"/>
                </w:tcPr>
                <w:p w14:paraId="4E18FA73">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非甲烷总烃</w:t>
                  </w:r>
                </w:p>
              </w:tc>
              <w:tc>
                <w:tcPr>
                  <w:tcW w:w="0" w:type="auto"/>
                  <w:tcBorders>
                    <w:tl2br w:val="nil"/>
                    <w:tr2bl w:val="nil"/>
                  </w:tcBorders>
                  <w:vAlign w:val="center"/>
                </w:tcPr>
                <w:p w14:paraId="17CE8CD0">
                  <w:pPr>
                    <w:jc w:val="center"/>
                    <w:rPr>
                      <w:color w:val="auto"/>
                    </w:rPr>
                  </w:pPr>
                  <w:r>
                    <w:rPr>
                      <w:rFonts w:hint="eastAsia" w:ascii="Times New Roman" w:hAnsi="Times New Roman"/>
                      <w:bCs/>
                      <w:color w:val="auto"/>
                      <w:spacing w:val="-10"/>
                      <w:szCs w:val="21"/>
                    </w:rPr>
                    <w:t>2400</w:t>
                  </w:r>
                </w:p>
              </w:tc>
              <w:tc>
                <w:tcPr>
                  <w:tcW w:w="0" w:type="auto"/>
                  <w:tcBorders>
                    <w:tl2br w:val="nil"/>
                    <w:tr2bl w:val="nil"/>
                  </w:tcBorders>
                  <w:vAlign w:val="center"/>
                </w:tcPr>
                <w:p w14:paraId="641BA2EA">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1.2</w:t>
                  </w:r>
                  <w:r>
                    <w:rPr>
                      <w:rFonts w:hint="eastAsia" w:ascii="Times New Roman" w:hAnsi="Times New Roman"/>
                      <w:bCs/>
                      <w:color w:val="auto"/>
                      <w:spacing w:val="-10"/>
                      <w:szCs w:val="21"/>
                      <w:lang w:val="en-US" w:eastAsia="zh-CN"/>
                    </w:rPr>
                    <w:t>59</w:t>
                  </w:r>
                </w:p>
              </w:tc>
              <w:tc>
                <w:tcPr>
                  <w:tcW w:w="734" w:type="dxa"/>
                  <w:tcBorders>
                    <w:tl2br w:val="nil"/>
                    <w:tr2bl w:val="nil"/>
                  </w:tcBorders>
                  <w:vAlign w:val="center"/>
                </w:tcPr>
                <w:p w14:paraId="501C7C83">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0.52</w:t>
                  </w:r>
                </w:p>
              </w:tc>
              <w:tc>
                <w:tcPr>
                  <w:tcW w:w="748" w:type="dxa"/>
                  <w:tcBorders>
                    <w:tl2br w:val="nil"/>
                    <w:tr2bl w:val="nil"/>
                  </w:tcBorders>
                  <w:vAlign w:val="center"/>
                </w:tcPr>
                <w:p w14:paraId="03C7AB64">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305.9</w:t>
                  </w:r>
                </w:p>
              </w:tc>
              <w:tc>
                <w:tcPr>
                  <w:tcW w:w="0" w:type="auto"/>
                  <w:tcBorders>
                    <w:tl2br w:val="nil"/>
                    <w:tr2bl w:val="nil"/>
                  </w:tcBorders>
                  <w:vAlign w:val="center"/>
                </w:tcPr>
                <w:p w14:paraId="2CD8C99E">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100</w:t>
                  </w:r>
                </w:p>
              </w:tc>
              <w:tc>
                <w:tcPr>
                  <w:tcW w:w="0" w:type="auto"/>
                  <w:tcBorders>
                    <w:tl2br w:val="nil"/>
                    <w:tr2bl w:val="nil"/>
                  </w:tcBorders>
                  <w:vAlign w:val="center"/>
                </w:tcPr>
                <w:p w14:paraId="47A9DDAC">
                  <w:pPr>
                    <w:spacing w:line="276" w:lineRule="auto"/>
                    <w:jc w:val="center"/>
                    <w:rPr>
                      <w:rFonts w:hint="default" w:ascii="Times New Roman" w:hAnsi="Times New Roman"/>
                      <w:bCs/>
                      <w:color w:val="auto"/>
                      <w:spacing w:val="-10"/>
                      <w:szCs w:val="21"/>
                      <w:highlight w:val="none"/>
                      <w:lang w:val="en-US"/>
                    </w:rPr>
                  </w:pPr>
                  <w:r>
                    <w:rPr>
                      <w:rFonts w:hint="eastAsia" w:ascii="Times New Roman" w:hAnsi="Times New Roman"/>
                      <w:bCs/>
                      <w:color w:val="auto"/>
                      <w:spacing w:val="-10"/>
                      <w:szCs w:val="21"/>
                      <w:highlight w:val="none"/>
                      <w:lang w:val="en-US" w:eastAsia="zh-CN"/>
                    </w:rPr>
                    <w:t>1700</w:t>
                  </w:r>
                </w:p>
              </w:tc>
              <w:tc>
                <w:tcPr>
                  <w:tcW w:w="0" w:type="auto"/>
                  <w:vMerge w:val="continue"/>
                  <w:tcBorders>
                    <w:tl2br w:val="nil"/>
                    <w:tr2bl w:val="nil"/>
                  </w:tcBorders>
                  <w:vAlign w:val="center"/>
                </w:tcPr>
                <w:p w14:paraId="40E63741">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0744D2E9">
                  <w:pPr>
                    <w:spacing w:line="276" w:lineRule="auto"/>
                    <w:jc w:val="center"/>
                    <w:rPr>
                      <w:color w:val="auto"/>
                    </w:rPr>
                  </w:pPr>
                </w:p>
              </w:tc>
              <w:tc>
                <w:tcPr>
                  <w:tcW w:w="0" w:type="auto"/>
                  <w:vMerge w:val="continue"/>
                  <w:tcBorders>
                    <w:tl2br w:val="nil"/>
                    <w:tr2bl w:val="nil"/>
                  </w:tcBorders>
                  <w:vAlign w:val="center"/>
                </w:tcPr>
                <w:p w14:paraId="6CAC7E58">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24D83CCB">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78B6E00C">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7C81AA5D">
                  <w:pPr>
                    <w:spacing w:line="276" w:lineRule="auto"/>
                    <w:jc w:val="center"/>
                    <w:rPr>
                      <w:rFonts w:ascii="Times New Roman" w:hAnsi="Times New Roman" w:eastAsia="黑体"/>
                      <w:bCs/>
                      <w:color w:val="auto"/>
                      <w:spacing w:val="-10"/>
                      <w:szCs w:val="21"/>
                    </w:rPr>
                  </w:pPr>
                </w:p>
              </w:tc>
              <w:tc>
                <w:tcPr>
                  <w:tcW w:w="0" w:type="auto"/>
                  <w:vMerge w:val="continue"/>
                  <w:tcBorders>
                    <w:tl2br w:val="nil"/>
                    <w:tr2bl w:val="nil"/>
                  </w:tcBorders>
                  <w:vAlign w:val="center"/>
                </w:tcPr>
                <w:p w14:paraId="097B7E48">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DDB0454">
                  <w:pPr>
                    <w:spacing w:line="276" w:lineRule="auto"/>
                    <w:jc w:val="center"/>
                    <w:rPr>
                      <w:rFonts w:ascii="Times New Roman" w:hAnsi="Times New Roman"/>
                      <w:bCs/>
                      <w:color w:val="auto"/>
                      <w:spacing w:val="-10"/>
                      <w:szCs w:val="21"/>
                    </w:rPr>
                  </w:pPr>
                </w:p>
              </w:tc>
            </w:tr>
            <w:tr w14:paraId="2A7BD111">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PrEx>
              <w:trPr>
                <w:trHeight w:val="326" w:hRule="atLeast"/>
                <w:jc w:val="center"/>
              </w:trPr>
              <w:tc>
                <w:tcPr>
                  <w:tcW w:w="0" w:type="auto"/>
                  <w:vMerge w:val="continue"/>
                  <w:tcBorders>
                    <w:tl2br w:val="nil"/>
                    <w:tr2bl w:val="nil"/>
                  </w:tcBorders>
                  <w:vAlign w:val="center"/>
                </w:tcPr>
                <w:p w14:paraId="58AB347D">
                  <w:pPr>
                    <w:spacing w:line="276" w:lineRule="auto"/>
                    <w:jc w:val="center"/>
                    <w:rPr>
                      <w:rFonts w:ascii="Times New Roman" w:hAnsi="Times New Roman"/>
                      <w:bCs/>
                      <w:color w:val="auto"/>
                      <w:spacing w:val="-10"/>
                      <w:szCs w:val="21"/>
                    </w:rPr>
                  </w:pPr>
                </w:p>
              </w:tc>
              <w:tc>
                <w:tcPr>
                  <w:tcW w:w="0" w:type="auto"/>
                  <w:tcBorders>
                    <w:tl2br w:val="nil"/>
                    <w:tr2bl w:val="nil"/>
                  </w:tcBorders>
                  <w:vAlign w:val="center"/>
                </w:tcPr>
                <w:p w14:paraId="7EC62F99">
                  <w:pPr>
                    <w:spacing w:line="276" w:lineRule="auto"/>
                    <w:jc w:val="center"/>
                    <w:rPr>
                      <w:rFonts w:ascii="Times New Roman" w:hAnsi="Times New Roman"/>
                      <w:bCs/>
                      <w:color w:val="auto"/>
                      <w:spacing w:val="-10"/>
                      <w:szCs w:val="21"/>
                    </w:rPr>
                  </w:pPr>
                  <w:r>
                    <w:rPr>
                      <w:rFonts w:ascii="Times New Roman" w:hAnsi="Times New Roman"/>
                      <w:bCs/>
                      <w:color w:val="auto"/>
                      <w:spacing w:val="-10"/>
                      <w:szCs w:val="21"/>
                    </w:rPr>
                    <w:t>危废间废气</w:t>
                  </w:r>
                </w:p>
              </w:tc>
              <w:tc>
                <w:tcPr>
                  <w:tcW w:w="0" w:type="auto"/>
                  <w:vMerge w:val="continue"/>
                  <w:tcBorders>
                    <w:tl2br w:val="nil"/>
                    <w:tr2bl w:val="nil"/>
                  </w:tcBorders>
                  <w:vAlign w:val="center"/>
                </w:tcPr>
                <w:p w14:paraId="5652347F">
                  <w:pPr>
                    <w:spacing w:line="276" w:lineRule="auto"/>
                    <w:jc w:val="center"/>
                    <w:rPr>
                      <w:rFonts w:ascii="Times New Roman" w:hAnsi="Times New Roman"/>
                      <w:bCs/>
                      <w:color w:val="auto"/>
                      <w:spacing w:val="-10"/>
                      <w:szCs w:val="21"/>
                    </w:rPr>
                  </w:pPr>
                </w:p>
              </w:tc>
              <w:tc>
                <w:tcPr>
                  <w:tcW w:w="0" w:type="auto"/>
                  <w:tcBorders>
                    <w:tl2br w:val="nil"/>
                    <w:tr2bl w:val="nil"/>
                  </w:tcBorders>
                  <w:vAlign w:val="center"/>
                </w:tcPr>
                <w:p w14:paraId="629ABB78">
                  <w:pPr>
                    <w:jc w:val="center"/>
                    <w:rPr>
                      <w:rFonts w:ascii="Times New Roman" w:hAnsi="Times New Roman"/>
                      <w:bCs/>
                      <w:color w:val="auto"/>
                      <w:spacing w:val="-10"/>
                      <w:szCs w:val="21"/>
                    </w:rPr>
                  </w:pPr>
                  <w:r>
                    <w:rPr>
                      <w:rFonts w:hint="eastAsia" w:ascii="Times New Roman" w:hAnsi="Times New Roman"/>
                      <w:bCs/>
                      <w:color w:val="auto"/>
                      <w:spacing w:val="-10"/>
                      <w:szCs w:val="21"/>
                    </w:rPr>
                    <w:t>7200</w:t>
                  </w:r>
                </w:p>
              </w:tc>
              <w:tc>
                <w:tcPr>
                  <w:tcW w:w="0" w:type="auto"/>
                  <w:tcBorders>
                    <w:tl2br w:val="nil"/>
                    <w:tr2bl w:val="nil"/>
                  </w:tcBorders>
                  <w:vAlign w:val="center"/>
                </w:tcPr>
                <w:p w14:paraId="66AA9055">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0.</w:t>
                  </w:r>
                  <w:r>
                    <w:rPr>
                      <w:rFonts w:hint="eastAsia" w:ascii="Times New Roman" w:hAnsi="Times New Roman"/>
                      <w:bCs/>
                      <w:color w:val="auto"/>
                      <w:spacing w:val="-10"/>
                      <w:szCs w:val="21"/>
                      <w:lang w:val="en-US" w:eastAsia="zh-CN"/>
                    </w:rPr>
                    <w:t>13</w:t>
                  </w:r>
                </w:p>
              </w:tc>
              <w:tc>
                <w:tcPr>
                  <w:tcW w:w="734" w:type="dxa"/>
                  <w:tcBorders>
                    <w:tl2br w:val="nil"/>
                    <w:tr2bl w:val="nil"/>
                  </w:tcBorders>
                  <w:vAlign w:val="center"/>
                </w:tcPr>
                <w:p w14:paraId="746780C3">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rPr>
                    <w:t>0.0</w:t>
                  </w:r>
                  <w:r>
                    <w:rPr>
                      <w:rFonts w:hint="eastAsia" w:ascii="Times New Roman" w:hAnsi="Times New Roman"/>
                      <w:bCs/>
                      <w:color w:val="auto"/>
                      <w:spacing w:val="-10"/>
                      <w:szCs w:val="21"/>
                      <w:lang w:val="en-US" w:eastAsia="zh-CN"/>
                    </w:rPr>
                    <w:t>18</w:t>
                  </w:r>
                </w:p>
              </w:tc>
              <w:tc>
                <w:tcPr>
                  <w:tcW w:w="748" w:type="dxa"/>
                  <w:tcBorders>
                    <w:tl2br w:val="nil"/>
                    <w:tr2bl w:val="nil"/>
                  </w:tcBorders>
                  <w:vAlign w:val="center"/>
                </w:tcPr>
                <w:p w14:paraId="61F7A527">
                  <w:pPr>
                    <w:spacing w:line="276" w:lineRule="auto"/>
                    <w:jc w:val="center"/>
                    <w:rPr>
                      <w:rFonts w:hint="default" w:ascii="Times New Roman" w:hAnsi="Times New Roman" w:eastAsiaTheme="minorEastAsia"/>
                      <w:bCs/>
                      <w:color w:val="auto"/>
                      <w:spacing w:val="-10"/>
                      <w:szCs w:val="21"/>
                      <w:lang w:val="en-US" w:eastAsia="zh-CN"/>
                    </w:rPr>
                  </w:pPr>
                  <w:r>
                    <w:rPr>
                      <w:rFonts w:hint="eastAsia" w:ascii="Times New Roman" w:hAnsi="Times New Roman"/>
                      <w:bCs/>
                      <w:color w:val="auto"/>
                      <w:spacing w:val="-10"/>
                      <w:szCs w:val="21"/>
                      <w:lang w:val="en-US" w:eastAsia="zh-CN"/>
                    </w:rPr>
                    <w:t>15</w:t>
                  </w:r>
                </w:p>
              </w:tc>
              <w:tc>
                <w:tcPr>
                  <w:tcW w:w="0" w:type="auto"/>
                  <w:tcBorders>
                    <w:tl2br w:val="nil"/>
                    <w:tr2bl w:val="nil"/>
                  </w:tcBorders>
                  <w:vAlign w:val="center"/>
                </w:tcPr>
                <w:p w14:paraId="44A92D43">
                  <w:pPr>
                    <w:spacing w:line="276" w:lineRule="auto"/>
                    <w:jc w:val="center"/>
                    <w:rPr>
                      <w:rFonts w:ascii="Times New Roman" w:hAnsi="Times New Roman"/>
                      <w:bCs/>
                      <w:color w:val="auto"/>
                      <w:spacing w:val="-10"/>
                      <w:szCs w:val="21"/>
                    </w:rPr>
                  </w:pPr>
                  <w:r>
                    <w:rPr>
                      <w:rFonts w:hint="eastAsia" w:ascii="Times New Roman" w:hAnsi="Times New Roman"/>
                      <w:bCs/>
                      <w:color w:val="auto"/>
                      <w:spacing w:val="-10"/>
                      <w:szCs w:val="21"/>
                    </w:rPr>
                    <w:t>95</w:t>
                  </w:r>
                </w:p>
              </w:tc>
              <w:tc>
                <w:tcPr>
                  <w:tcW w:w="0" w:type="auto"/>
                  <w:tcBorders>
                    <w:tl2br w:val="nil"/>
                    <w:tr2bl w:val="nil"/>
                  </w:tcBorders>
                  <w:vAlign w:val="center"/>
                </w:tcPr>
                <w:p w14:paraId="39E6FAD2">
                  <w:pPr>
                    <w:spacing w:line="276" w:lineRule="auto"/>
                    <w:jc w:val="center"/>
                    <w:rPr>
                      <w:rFonts w:ascii="Times New Roman" w:hAnsi="Times New Roman"/>
                      <w:bCs/>
                      <w:color w:val="auto"/>
                      <w:spacing w:val="-10"/>
                      <w:szCs w:val="21"/>
                      <w:highlight w:val="none"/>
                    </w:rPr>
                  </w:pPr>
                  <w:r>
                    <w:rPr>
                      <w:rFonts w:hint="eastAsia" w:ascii="Times New Roman" w:hAnsi="Times New Roman"/>
                      <w:bCs/>
                      <w:color w:val="auto"/>
                      <w:spacing w:val="-10"/>
                      <w:szCs w:val="21"/>
                      <w:highlight w:val="none"/>
                    </w:rPr>
                    <w:t>1200</w:t>
                  </w:r>
                </w:p>
              </w:tc>
              <w:tc>
                <w:tcPr>
                  <w:tcW w:w="0" w:type="auto"/>
                  <w:vMerge w:val="continue"/>
                  <w:tcBorders>
                    <w:tl2br w:val="nil"/>
                    <w:tr2bl w:val="nil"/>
                  </w:tcBorders>
                  <w:vAlign w:val="center"/>
                </w:tcPr>
                <w:p w14:paraId="51FD82B6">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0DA7690F">
                  <w:pPr>
                    <w:spacing w:line="276" w:lineRule="auto"/>
                    <w:jc w:val="center"/>
                    <w:rPr>
                      <w:color w:val="auto"/>
                    </w:rPr>
                  </w:pPr>
                </w:p>
              </w:tc>
              <w:tc>
                <w:tcPr>
                  <w:tcW w:w="0" w:type="auto"/>
                  <w:vMerge w:val="continue"/>
                  <w:tcBorders>
                    <w:tl2br w:val="nil"/>
                    <w:tr2bl w:val="nil"/>
                  </w:tcBorders>
                  <w:vAlign w:val="center"/>
                </w:tcPr>
                <w:p w14:paraId="498FF613">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FB62547">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677500E9">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50FA5984">
                  <w:pPr>
                    <w:spacing w:line="276" w:lineRule="auto"/>
                    <w:jc w:val="center"/>
                    <w:rPr>
                      <w:rFonts w:ascii="Times New Roman" w:hAnsi="Times New Roman" w:eastAsia="黑体"/>
                      <w:bCs/>
                      <w:color w:val="auto"/>
                      <w:spacing w:val="-10"/>
                      <w:szCs w:val="21"/>
                    </w:rPr>
                  </w:pPr>
                </w:p>
              </w:tc>
              <w:tc>
                <w:tcPr>
                  <w:tcW w:w="0" w:type="auto"/>
                  <w:vMerge w:val="continue"/>
                  <w:tcBorders>
                    <w:tl2br w:val="nil"/>
                    <w:tr2bl w:val="nil"/>
                  </w:tcBorders>
                  <w:vAlign w:val="center"/>
                </w:tcPr>
                <w:p w14:paraId="2EFAC11A">
                  <w:pPr>
                    <w:spacing w:line="276" w:lineRule="auto"/>
                    <w:jc w:val="center"/>
                    <w:rPr>
                      <w:rFonts w:ascii="Times New Roman" w:hAnsi="Times New Roman"/>
                      <w:bCs/>
                      <w:color w:val="auto"/>
                      <w:spacing w:val="-10"/>
                      <w:szCs w:val="21"/>
                    </w:rPr>
                  </w:pPr>
                </w:p>
              </w:tc>
              <w:tc>
                <w:tcPr>
                  <w:tcW w:w="0" w:type="auto"/>
                  <w:vMerge w:val="continue"/>
                  <w:tcBorders>
                    <w:tl2br w:val="nil"/>
                    <w:tr2bl w:val="nil"/>
                  </w:tcBorders>
                  <w:vAlign w:val="center"/>
                </w:tcPr>
                <w:p w14:paraId="50F65E14">
                  <w:pPr>
                    <w:spacing w:line="276" w:lineRule="auto"/>
                    <w:jc w:val="center"/>
                    <w:rPr>
                      <w:rFonts w:ascii="Times New Roman" w:hAnsi="Times New Roman"/>
                      <w:bCs/>
                      <w:color w:val="auto"/>
                      <w:spacing w:val="-10"/>
                      <w:szCs w:val="21"/>
                    </w:rPr>
                  </w:pPr>
                </w:p>
              </w:tc>
            </w:tr>
          </w:tbl>
          <w:p w14:paraId="29739A09">
            <w:pPr>
              <w:spacing w:line="360" w:lineRule="auto"/>
              <w:ind w:firstLine="480" w:firstLineChars="200"/>
              <w:rPr>
                <w:rFonts w:ascii="Times New Roman" w:hAnsi="Times New Roman" w:cs="Times New Roman"/>
                <w:bCs/>
                <w:color w:val="auto"/>
                <w:sz w:val="24"/>
                <w:szCs w:val="28"/>
              </w:rPr>
            </w:pPr>
            <w:r>
              <w:rPr>
                <w:rFonts w:ascii="Times New Roman" w:hAnsi="Times New Roman" w:cs="Times New Roman"/>
                <w:bCs/>
                <w:color w:val="auto"/>
                <w:sz w:val="24"/>
                <w:szCs w:val="28"/>
              </w:rPr>
              <w:t>本项目无组织废气排放情况见下表：</w:t>
            </w:r>
          </w:p>
          <w:p w14:paraId="1E917ECB">
            <w:pPr>
              <w:pStyle w:val="53"/>
              <w:adjustRightInd/>
              <w:spacing w:line="360" w:lineRule="auto"/>
              <w:ind w:left="0" w:right="0" w:firstLine="0"/>
              <w:jc w:val="center"/>
              <w:rPr>
                <w:rFonts w:ascii="Times New Roman" w:hAnsi="Times New Roman" w:eastAsia="黑体" w:cs="Times New Roman"/>
                <w:bCs/>
                <w:color w:val="auto"/>
              </w:rPr>
            </w:pPr>
            <w:r>
              <w:rPr>
                <w:rFonts w:hint="eastAsia" w:ascii="Times New Roman" w:hAnsi="Times New Roman" w:eastAsia="黑体" w:cs="Times New Roman"/>
                <w:bCs/>
                <w:color w:val="auto"/>
              </w:rPr>
              <w:t>表4-4</w:t>
            </w:r>
            <w:r>
              <w:rPr>
                <w:rFonts w:hint="eastAsia" w:ascii="Times New Roman" w:hAnsi="Times New Roman" w:eastAsia="黑体" w:cs="Times New Roman"/>
                <w:bCs/>
                <w:color w:val="auto"/>
                <w:lang w:val="en-US" w:eastAsia="zh-CN"/>
              </w:rPr>
              <w:t xml:space="preserve">  </w:t>
            </w:r>
            <w:r>
              <w:rPr>
                <w:rFonts w:hint="eastAsia" w:ascii="Times New Roman" w:hAnsi="Times New Roman" w:eastAsia="黑体" w:cs="Times New Roman"/>
                <w:bCs/>
                <w:color w:val="auto"/>
              </w:rPr>
              <w:t>项目无组织废气产生和排放情况表</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2344"/>
              <w:gridCol w:w="1851"/>
              <w:gridCol w:w="1954"/>
              <w:gridCol w:w="1954"/>
              <w:gridCol w:w="1176"/>
              <w:gridCol w:w="2731"/>
            </w:tblGrid>
            <w:tr w14:paraId="319809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48" w:type="dxa"/>
                  <w:vAlign w:val="center"/>
                </w:tcPr>
                <w:p w14:paraId="4C97DBD5">
                  <w:pPr>
                    <w:spacing w:line="276" w:lineRule="auto"/>
                    <w:jc w:val="center"/>
                    <w:rPr>
                      <w:rFonts w:ascii="Times New Roman" w:hAnsi="Times New Roman" w:cs="Times New Roman"/>
                      <w:b/>
                      <w:color w:val="auto"/>
                      <w:szCs w:val="21"/>
                    </w:rPr>
                  </w:pPr>
                  <w:r>
                    <w:rPr>
                      <w:rFonts w:hint="eastAsia" w:ascii="Times New Roman" w:hAnsi="Times New Roman" w:cs="Times New Roman"/>
                      <w:b/>
                      <w:color w:val="auto"/>
                      <w:szCs w:val="21"/>
                    </w:rPr>
                    <w:t>污染源</w:t>
                  </w:r>
                </w:p>
              </w:tc>
              <w:tc>
                <w:tcPr>
                  <w:tcW w:w="2344" w:type="dxa"/>
                  <w:vAlign w:val="center"/>
                </w:tcPr>
                <w:p w14:paraId="40A5D8F1">
                  <w:pPr>
                    <w:spacing w:line="276" w:lineRule="auto"/>
                    <w:jc w:val="center"/>
                    <w:rPr>
                      <w:rFonts w:ascii="Times New Roman" w:hAnsi="Times New Roman" w:cs="Times New Roman"/>
                      <w:b/>
                      <w:color w:val="auto"/>
                      <w:szCs w:val="21"/>
                    </w:rPr>
                  </w:pPr>
                  <w:r>
                    <w:rPr>
                      <w:rFonts w:hint="eastAsia" w:ascii="Times New Roman" w:hAnsi="Times New Roman" w:cs="Times New Roman"/>
                      <w:b/>
                      <w:color w:val="auto"/>
                      <w:szCs w:val="21"/>
                    </w:rPr>
                    <w:t>污染物种类</w:t>
                  </w:r>
                </w:p>
              </w:tc>
              <w:tc>
                <w:tcPr>
                  <w:tcW w:w="1851" w:type="dxa"/>
                  <w:vAlign w:val="center"/>
                </w:tcPr>
                <w:p w14:paraId="31B8268D">
                  <w:pPr>
                    <w:spacing w:line="276" w:lineRule="auto"/>
                    <w:jc w:val="center"/>
                    <w:rPr>
                      <w:rFonts w:ascii="Times New Roman" w:hAnsi="Times New Roman" w:cs="Times New Roman"/>
                      <w:b/>
                      <w:color w:val="auto"/>
                      <w:szCs w:val="21"/>
                    </w:rPr>
                  </w:pPr>
                  <w:r>
                    <w:rPr>
                      <w:rFonts w:hint="eastAsia" w:ascii="Times New Roman" w:hAnsi="Times New Roman" w:cs="Times New Roman"/>
                      <w:b/>
                      <w:color w:val="auto"/>
                      <w:szCs w:val="21"/>
                    </w:rPr>
                    <w:t>产生量</w:t>
                  </w:r>
                </w:p>
              </w:tc>
              <w:tc>
                <w:tcPr>
                  <w:tcW w:w="1954" w:type="dxa"/>
                  <w:vAlign w:val="center"/>
                </w:tcPr>
                <w:p w14:paraId="53C6F8AD">
                  <w:pPr>
                    <w:spacing w:line="276" w:lineRule="auto"/>
                    <w:jc w:val="center"/>
                    <w:rPr>
                      <w:rFonts w:ascii="Times New Roman" w:hAnsi="Times New Roman" w:cs="Times New Roman"/>
                      <w:b/>
                      <w:color w:val="auto"/>
                      <w:szCs w:val="21"/>
                    </w:rPr>
                  </w:pPr>
                  <w:r>
                    <w:rPr>
                      <w:rFonts w:hint="eastAsia" w:ascii="Times New Roman" w:hAnsi="Times New Roman" w:cs="Times New Roman"/>
                      <w:b/>
                      <w:color w:val="auto"/>
                      <w:szCs w:val="21"/>
                    </w:rPr>
                    <w:t>治理措施</w:t>
                  </w:r>
                </w:p>
              </w:tc>
              <w:tc>
                <w:tcPr>
                  <w:tcW w:w="1954" w:type="dxa"/>
                  <w:vAlign w:val="center"/>
                </w:tcPr>
                <w:p w14:paraId="520D1C3B">
                  <w:pPr>
                    <w:spacing w:line="276" w:lineRule="auto"/>
                    <w:jc w:val="center"/>
                    <w:rPr>
                      <w:rFonts w:ascii="Times New Roman" w:hAnsi="Times New Roman" w:cs="Times New Roman"/>
                      <w:b/>
                      <w:color w:val="auto"/>
                      <w:szCs w:val="21"/>
                    </w:rPr>
                  </w:pPr>
                  <w:r>
                    <w:rPr>
                      <w:rFonts w:hint="eastAsia" w:ascii="Times New Roman" w:hAnsi="Times New Roman" w:cs="Times New Roman"/>
                      <w:b/>
                      <w:color w:val="auto"/>
                      <w:szCs w:val="21"/>
                    </w:rPr>
                    <w:t>面源面积</w:t>
                  </w:r>
                </w:p>
              </w:tc>
              <w:tc>
                <w:tcPr>
                  <w:tcW w:w="1176" w:type="dxa"/>
                  <w:vAlign w:val="center"/>
                </w:tcPr>
                <w:p w14:paraId="39DCEADF">
                  <w:pPr>
                    <w:spacing w:line="276" w:lineRule="auto"/>
                    <w:jc w:val="center"/>
                    <w:rPr>
                      <w:rFonts w:ascii="Times New Roman" w:hAnsi="Times New Roman" w:cs="Times New Roman"/>
                      <w:b/>
                      <w:color w:val="auto"/>
                      <w:szCs w:val="21"/>
                    </w:rPr>
                  </w:pPr>
                  <w:r>
                    <w:rPr>
                      <w:rFonts w:hint="eastAsia" w:ascii="Times New Roman" w:hAnsi="Times New Roman" w:cs="Times New Roman"/>
                      <w:b/>
                      <w:color w:val="auto"/>
                      <w:szCs w:val="21"/>
                    </w:rPr>
                    <w:t>高度</w:t>
                  </w:r>
                </w:p>
              </w:tc>
              <w:tc>
                <w:tcPr>
                  <w:tcW w:w="2731" w:type="dxa"/>
                  <w:vAlign w:val="center"/>
                </w:tcPr>
                <w:p w14:paraId="528649A6">
                  <w:pPr>
                    <w:spacing w:line="276" w:lineRule="auto"/>
                    <w:jc w:val="center"/>
                    <w:rPr>
                      <w:rFonts w:ascii="Times New Roman" w:hAnsi="Times New Roman" w:cs="Times New Roman"/>
                      <w:b/>
                      <w:color w:val="auto"/>
                      <w:szCs w:val="21"/>
                    </w:rPr>
                  </w:pPr>
                  <w:r>
                    <w:rPr>
                      <w:rFonts w:hint="eastAsia" w:ascii="Times New Roman" w:hAnsi="Times New Roman" w:cs="Times New Roman"/>
                      <w:b/>
                      <w:color w:val="auto"/>
                      <w:szCs w:val="21"/>
                    </w:rPr>
                    <w:t>污染物排放量</w:t>
                  </w:r>
                </w:p>
              </w:tc>
            </w:tr>
            <w:tr w14:paraId="45CD9E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48" w:type="dxa"/>
                  <w:vMerge w:val="restart"/>
                  <w:vAlign w:val="center"/>
                </w:tcPr>
                <w:p w14:paraId="19B6CA47">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生产厂房</w:t>
                  </w:r>
                </w:p>
              </w:tc>
              <w:tc>
                <w:tcPr>
                  <w:tcW w:w="2344" w:type="dxa"/>
                  <w:vAlign w:val="center"/>
                </w:tcPr>
                <w:p w14:paraId="6906D676">
                  <w:pPr>
                    <w:spacing w:line="276" w:lineRule="auto"/>
                    <w:jc w:val="center"/>
                    <w:rPr>
                      <w:rFonts w:ascii="Times New Roman" w:hAnsi="Times New Roman" w:cs="Times New Roman"/>
                      <w:bCs/>
                      <w:color w:val="auto"/>
                      <w:szCs w:val="21"/>
                    </w:rPr>
                  </w:pPr>
                  <w:r>
                    <w:rPr>
                      <w:rFonts w:hint="eastAsia" w:ascii="Times New Roman" w:hAnsi="Times New Roman" w:cs="Times New Roman"/>
                      <w:bCs/>
                      <w:color w:val="auto"/>
                      <w:szCs w:val="21"/>
                    </w:rPr>
                    <w:t>颗粒物</w:t>
                  </w:r>
                </w:p>
              </w:tc>
              <w:tc>
                <w:tcPr>
                  <w:tcW w:w="1851" w:type="dxa"/>
                  <w:vAlign w:val="center"/>
                </w:tcPr>
                <w:p w14:paraId="7E58D3A4">
                  <w:pPr>
                    <w:spacing w:line="276" w:lineRule="auto"/>
                    <w:jc w:val="center"/>
                    <w:rPr>
                      <w:rFonts w:ascii="Times New Roman" w:hAnsi="Times New Roman" w:cs="Times New Roman"/>
                      <w:bCs/>
                      <w:color w:val="auto"/>
                      <w:szCs w:val="21"/>
                    </w:rPr>
                  </w:pPr>
                  <w:r>
                    <w:rPr>
                      <w:rFonts w:ascii="Times New Roman" w:hAnsi="Times New Roman" w:cs="Times New Roman"/>
                      <w:bCs/>
                      <w:color w:val="auto"/>
                      <w:szCs w:val="21"/>
                    </w:rPr>
                    <w:t>0</w:t>
                  </w:r>
                  <w:r>
                    <w:rPr>
                      <w:rFonts w:hint="eastAsia" w:ascii="Times New Roman" w:hAnsi="Times New Roman" w:cs="Times New Roman"/>
                      <w:bCs/>
                      <w:color w:val="auto"/>
                      <w:szCs w:val="21"/>
                    </w:rPr>
                    <w:t>.46</w:t>
                  </w:r>
                  <w:r>
                    <w:rPr>
                      <w:rFonts w:hint="eastAsia" w:ascii="Times New Roman" w:hAnsi="Times New Roman" w:cs="Times New Roman"/>
                      <w:bCs/>
                      <w:color w:val="auto"/>
                      <w:szCs w:val="21"/>
                      <w:lang w:val="en-US" w:eastAsia="zh-CN"/>
                    </w:rPr>
                    <w:t>6</w:t>
                  </w:r>
                  <w:r>
                    <w:rPr>
                      <w:rFonts w:ascii="Times New Roman" w:hAnsi="Times New Roman" w:cs="Times New Roman"/>
                      <w:color w:val="auto"/>
                      <w:szCs w:val="21"/>
                    </w:rPr>
                    <w:t>t/a</w:t>
                  </w:r>
                </w:p>
              </w:tc>
              <w:tc>
                <w:tcPr>
                  <w:tcW w:w="1954" w:type="dxa"/>
                  <w:vMerge w:val="restart"/>
                  <w:vAlign w:val="center"/>
                </w:tcPr>
                <w:p w14:paraId="3173F2A4">
                  <w:pPr>
                    <w:spacing w:line="276" w:lineRule="auto"/>
                    <w:jc w:val="center"/>
                    <w:rPr>
                      <w:rFonts w:ascii="Times New Roman" w:hAnsi="Times New Roman" w:cs="Times New Roman"/>
                      <w:bCs/>
                      <w:color w:val="auto"/>
                      <w:szCs w:val="21"/>
                    </w:rPr>
                  </w:pPr>
                  <w:r>
                    <w:rPr>
                      <w:rFonts w:ascii="Times New Roman" w:hAnsi="Times New Roman" w:cs="Times New Roman"/>
                      <w:bCs/>
                      <w:color w:val="auto"/>
                      <w:szCs w:val="21"/>
                    </w:rPr>
                    <w:t>/</w:t>
                  </w:r>
                </w:p>
              </w:tc>
              <w:tc>
                <w:tcPr>
                  <w:tcW w:w="1954" w:type="dxa"/>
                  <w:vMerge w:val="restart"/>
                  <w:vAlign w:val="center"/>
                </w:tcPr>
                <w:p w14:paraId="39E9EE9D">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52</w:t>
                  </w:r>
                  <w:r>
                    <w:rPr>
                      <w:rFonts w:ascii="Times New Roman" w:hAnsi="Times New Roman" w:cs="Times New Roman"/>
                      <w:color w:val="auto"/>
                      <w:szCs w:val="21"/>
                    </w:rPr>
                    <w:t>18.5m</w:t>
                  </w:r>
                  <w:r>
                    <w:rPr>
                      <w:rFonts w:ascii="Times New Roman" w:hAnsi="Times New Roman" w:cs="Times New Roman"/>
                      <w:color w:val="auto"/>
                      <w:szCs w:val="21"/>
                      <w:vertAlign w:val="superscript"/>
                    </w:rPr>
                    <w:t>2</w:t>
                  </w:r>
                </w:p>
              </w:tc>
              <w:tc>
                <w:tcPr>
                  <w:tcW w:w="1176" w:type="dxa"/>
                  <w:vMerge w:val="restart"/>
                  <w:vAlign w:val="center"/>
                </w:tcPr>
                <w:p w14:paraId="3867505A">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lang w:val="en-US" w:eastAsia="zh-CN"/>
                    </w:rPr>
                    <w:t>1</w:t>
                  </w:r>
                  <w:r>
                    <w:rPr>
                      <w:rFonts w:ascii="Times New Roman" w:hAnsi="Times New Roman" w:cs="Times New Roman"/>
                      <w:color w:val="auto"/>
                      <w:szCs w:val="21"/>
                    </w:rPr>
                    <w:t>5m</w:t>
                  </w:r>
                </w:p>
              </w:tc>
              <w:tc>
                <w:tcPr>
                  <w:tcW w:w="2731" w:type="dxa"/>
                  <w:vAlign w:val="center"/>
                </w:tcPr>
                <w:p w14:paraId="1076FBF0">
                  <w:pPr>
                    <w:spacing w:line="276" w:lineRule="auto"/>
                    <w:jc w:val="center"/>
                    <w:rPr>
                      <w:rFonts w:ascii="Times New Roman" w:hAnsi="Times New Roman" w:cs="Times New Roman"/>
                      <w:bCs/>
                      <w:color w:val="auto"/>
                      <w:szCs w:val="21"/>
                    </w:rPr>
                  </w:pPr>
                  <w:r>
                    <w:rPr>
                      <w:rFonts w:ascii="Times New Roman" w:hAnsi="Times New Roman" w:cs="Times New Roman"/>
                      <w:bCs/>
                      <w:color w:val="auto"/>
                      <w:szCs w:val="21"/>
                    </w:rPr>
                    <w:t>0</w:t>
                  </w:r>
                  <w:r>
                    <w:rPr>
                      <w:rFonts w:hint="eastAsia" w:ascii="Times New Roman" w:hAnsi="Times New Roman" w:cs="Times New Roman"/>
                      <w:bCs/>
                      <w:color w:val="auto"/>
                      <w:szCs w:val="21"/>
                    </w:rPr>
                    <w:t>.46</w:t>
                  </w:r>
                  <w:r>
                    <w:rPr>
                      <w:rFonts w:hint="eastAsia" w:ascii="Times New Roman" w:hAnsi="Times New Roman" w:cs="Times New Roman"/>
                      <w:bCs/>
                      <w:color w:val="auto"/>
                      <w:szCs w:val="21"/>
                      <w:lang w:val="en-US" w:eastAsia="zh-CN"/>
                    </w:rPr>
                    <w:t>6</w:t>
                  </w:r>
                  <w:r>
                    <w:rPr>
                      <w:rFonts w:ascii="Times New Roman" w:hAnsi="Times New Roman" w:cs="Times New Roman"/>
                      <w:color w:val="auto"/>
                      <w:szCs w:val="21"/>
                    </w:rPr>
                    <w:t>t/a</w:t>
                  </w:r>
                </w:p>
              </w:tc>
            </w:tr>
            <w:tr w14:paraId="7FF5972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48" w:type="dxa"/>
                  <w:vMerge w:val="continue"/>
                  <w:vAlign w:val="center"/>
                </w:tcPr>
                <w:p w14:paraId="0F40A440">
                  <w:pPr>
                    <w:spacing w:line="276" w:lineRule="auto"/>
                    <w:jc w:val="center"/>
                    <w:rPr>
                      <w:rFonts w:ascii="Times New Roman" w:hAnsi="Times New Roman" w:cs="Times New Roman"/>
                      <w:color w:val="auto"/>
                      <w:szCs w:val="21"/>
                    </w:rPr>
                  </w:pPr>
                </w:p>
              </w:tc>
              <w:tc>
                <w:tcPr>
                  <w:tcW w:w="2344" w:type="dxa"/>
                  <w:vAlign w:val="center"/>
                </w:tcPr>
                <w:p w14:paraId="772B220F">
                  <w:pPr>
                    <w:spacing w:line="276" w:lineRule="auto"/>
                    <w:jc w:val="center"/>
                    <w:rPr>
                      <w:rFonts w:ascii="Times New Roman" w:hAnsi="Times New Roman" w:cs="Times New Roman"/>
                      <w:bCs/>
                      <w:color w:val="auto"/>
                      <w:szCs w:val="21"/>
                    </w:rPr>
                  </w:pPr>
                  <w:r>
                    <w:rPr>
                      <w:rFonts w:hint="eastAsia" w:ascii="Times New Roman" w:hAnsi="Times New Roman" w:cs="Times New Roman"/>
                      <w:bCs/>
                      <w:color w:val="auto"/>
                      <w:szCs w:val="21"/>
                    </w:rPr>
                    <w:t>非甲烷总烃</w:t>
                  </w:r>
                </w:p>
              </w:tc>
              <w:tc>
                <w:tcPr>
                  <w:tcW w:w="1851" w:type="dxa"/>
                  <w:vAlign w:val="center"/>
                </w:tcPr>
                <w:p w14:paraId="5A6B2951">
                  <w:pPr>
                    <w:spacing w:line="276" w:lineRule="auto"/>
                    <w:jc w:val="center"/>
                    <w:rPr>
                      <w:rFonts w:ascii="Times New Roman" w:hAnsi="Times New Roman" w:cs="Times New Roman"/>
                      <w:bCs/>
                      <w:color w:val="auto"/>
                      <w:szCs w:val="21"/>
                    </w:rPr>
                  </w:pPr>
                  <w:r>
                    <w:rPr>
                      <w:rFonts w:hint="eastAsia" w:ascii="Times New Roman" w:hAnsi="Times New Roman" w:cs="Times New Roman"/>
                      <w:bCs/>
                      <w:color w:val="auto"/>
                      <w:szCs w:val="21"/>
                    </w:rPr>
                    <w:t>0.0</w:t>
                  </w:r>
                  <w:r>
                    <w:rPr>
                      <w:rFonts w:hint="eastAsia" w:ascii="Times New Roman" w:hAnsi="Times New Roman" w:cs="Times New Roman"/>
                      <w:bCs/>
                      <w:color w:val="auto"/>
                      <w:szCs w:val="21"/>
                      <w:lang w:val="en-US" w:eastAsia="zh-CN"/>
                    </w:rPr>
                    <w:t>52</w:t>
                  </w:r>
                  <w:r>
                    <w:rPr>
                      <w:rFonts w:ascii="Times New Roman" w:hAnsi="Times New Roman" w:cs="Times New Roman"/>
                      <w:bCs/>
                      <w:color w:val="auto"/>
                      <w:szCs w:val="21"/>
                    </w:rPr>
                    <w:t>t</w:t>
                  </w:r>
                  <w:r>
                    <w:rPr>
                      <w:rFonts w:ascii="Times New Roman" w:hAnsi="Times New Roman" w:cs="Times New Roman"/>
                      <w:color w:val="auto"/>
                      <w:szCs w:val="21"/>
                    </w:rPr>
                    <w:t>/a</w:t>
                  </w:r>
                </w:p>
              </w:tc>
              <w:tc>
                <w:tcPr>
                  <w:tcW w:w="1954" w:type="dxa"/>
                  <w:vMerge w:val="continue"/>
                  <w:vAlign w:val="center"/>
                </w:tcPr>
                <w:p w14:paraId="74D02853">
                  <w:pPr>
                    <w:spacing w:line="276" w:lineRule="auto"/>
                    <w:jc w:val="center"/>
                    <w:rPr>
                      <w:rFonts w:ascii="Times New Roman" w:hAnsi="Times New Roman" w:cs="Times New Roman"/>
                      <w:bCs/>
                      <w:color w:val="auto"/>
                      <w:szCs w:val="21"/>
                    </w:rPr>
                  </w:pPr>
                </w:p>
              </w:tc>
              <w:tc>
                <w:tcPr>
                  <w:tcW w:w="1954" w:type="dxa"/>
                  <w:vMerge w:val="continue"/>
                  <w:vAlign w:val="center"/>
                </w:tcPr>
                <w:p w14:paraId="7B4EE3D6">
                  <w:pPr>
                    <w:spacing w:line="276" w:lineRule="auto"/>
                    <w:jc w:val="center"/>
                    <w:rPr>
                      <w:rFonts w:ascii="Times New Roman" w:hAnsi="Times New Roman" w:cs="Times New Roman"/>
                      <w:color w:val="auto"/>
                      <w:szCs w:val="21"/>
                    </w:rPr>
                  </w:pPr>
                </w:p>
              </w:tc>
              <w:tc>
                <w:tcPr>
                  <w:tcW w:w="1176" w:type="dxa"/>
                  <w:vMerge w:val="continue"/>
                  <w:vAlign w:val="center"/>
                </w:tcPr>
                <w:p w14:paraId="1FEC30F0">
                  <w:pPr>
                    <w:spacing w:line="276" w:lineRule="auto"/>
                    <w:jc w:val="center"/>
                    <w:rPr>
                      <w:rFonts w:ascii="Times New Roman" w:hAnsi="Times New Roman" w:cs="Times New Roman"/>
                      <w:color w:val="auto"/>
                      <w:szCs w:val="21"/>
                    </w:rPr>
                  </w:pPr>
                </w:p>
              </w:tc>
              <w:tc>
                <w:tcPr>
                  <w:tcW w:w="2731" w:type="dxa"/>
                  <w:vAlign w:val="center"/>
                </w:tcPr>
                <w:p w14:paraId="05A29D34">
                  <w:pPr>
                    <w:spacing w:line="276" w:lineRule="auto"/>
                    <w:jc w:val="center"/>
                    <w:rPr>
                      <w:rFonts w:ascii="Times New Roman" w:hAnsi="Times New Roman" w:cs="Times New Roman"/>
                      <w:bCs/>
                      <w:color w:val="auto"/>
                      <w:szCs w:val="21"/>
                    </w:rPr>
                  </w:pPr>
                  <w:r>
                    <w:rPr>
                      <w:rFonts w:hint="eastAsia" w:ascii="Times New Roman" w:hAnsi="Times New Roman" w:cs="Times New Roman"/>
                      <w:bCs/>
                      <w:color w:val="auto"/>
                      <w:szCs w:val="21"/>
                    </w:rPr>
                    <w:t>0.0</w:t>
                  </w:r>
                  <w:r>
                    <w:rPr>
                      <w:rFonts w:hint="eastAsia" w:ascii="Times New Roman" w:hAnsi="Times New Roman" w:cs="Times New Roman"/>
                      <w:bCs/>
                      <w:color w:val="auto"/>
                      <w:szCs w:val="21"/>
                      <w:lang w:val="en-US" w:eastAsia="zh-CN"/>
                    </w:rPr>
                    <w:t>52</w:t>
                  </w:r>
                  <w:r>
                    <w:rPr>
                      <w:rFonts w:ascii="Times New Roman" w:hAnsi="Times New Roman" w:cs="Times New Roman"/>
                      <w:bCs/>
                      <w:color w:val="auto"/>
                      <w:szCs w:val="21"/>
                    </w:rPr>
                    <w:t>t</w:t>
                  </w:r>
                  <w:r>
                    <w:rPr>
                      <w:rFonts w:ascii="Times New Roman" w:hAnsi="Times New Roman" w:cs="Times New Roman"/>
                      <w:color w:val="auto"/>
                      <w:szCs w:val="21"/>
                    </w:rPr>
                    <w:t>/a</w:t>
                  </w:r>
                </w:p>
              </w:tc>
            </w:tr>
          </w:tbl>
          <w:p w14:paraId="185BAFC0">
            <w:pPr>
              <w:autoSpaceDE w:val="0"/>
              <w:autoSpaceDN w:val="0"/>
              <w:adjustRightInd w:val="0"/>
              <w:spacing w:line="360" w:lineRule="auto"/>
              <w:jc w:val="center"/>
              <w:rPr>
                <w:rFonts w:ascii="Times New Roman" w:hAnsi="Times New Roman" w:eastAsia="黑体"/>
                <w:bCs/>
                <w:color w:val="auto"/>
                <w:sz w:val="24"/>
              </w:rPr>
            </w:pPr>
          </w:p>
          <w:p w14:paraId="502B22C3">
            <w:pPr>
              <w:autoSpaceDE w:val="0"/>
              <w:autoSpaceDN w:val="0"/>
              <w:adjustRightInd w:val="0"/>
              <w:spacing w:line="360" w:lineRule="auto"/>
              <w:jc w:val="center"/>
              <w:rPr>
                <w:rFonts w:ascii="Times New Roman" w:hAnsi="Times New Roman" w:eastAsia="黑体"/>
                <w:bCs/>
                <w:color w:val="auto"/>
                <w:sz w:val="24"/>
              </w:rPr>
            </w:pPr>
          </w:p>
          <w:p w14:paraId="3A928ADF">
            <w:pPr>
              <w:autoSpaceDE w:val="0"/>
              <w:autoSpaceDN w:val="0"/>
              <w:adjustRightInd w:val="0"/>
              <w:spacing w:line="360" w:lineRule="auto"/>
              <w:jc w:val="center"/>
              <w:rPr>
                <w:rFonts w:ascii="Times New Roman" w:hAnsi="Times New Roman" w:eastAsia="黑体"/>
                <w:bCs/>
                <w:color w:val="auto"/>
                <w:sz w:val="24"/>
              </w:rPr>
            </w:pPr>
            <w:r>
              <w:rPr>
                <w:rFonts w:hint="eastAsia" w:ascii="Times New Roman" w:hAnsi="Times New Roman" w:eastAsia="黑体"/>
                <w:bCs/>
                <w:color w:val="auto"/>
                <w:sz w:val="24"/>
              </w:rPr>
              <w:t>表4-5  项目大气有组织排放基本情况表</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35"/>
              <w:gridCol w:w="1125"/>
              <w:gridCol w:w="512"/>
              <w:gridCol w:w="1416"/>
              <w:gridCol w:w="1319"/>
              <w:gridCol w:w="813"/>
              <w:gridCol w:w="813"/>
              <w:gridCol w:w="865"/>
              <w:gridCol w:w="1058"/>
              <w:gridCol w:w="2367"/>
              <w:gridCol w:w="1373"/>
              <w:gridCol w:w="1035"/>
            </w:tblGrid>
            <w:tr w14:paraId="69ED378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Merge w:val="restart"/>
                  <w:vAlign w:val="center"/>
                </w:tcPr>
                <w:p w14:paraId="27607CAD">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序</w:t>
                  </w:r>
                </w:p>
                <w:p w14:paraId="5F03F8A8">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号</w:t>
                  </w:r>
                </w:p>
              </w:tc>
              <w:tc>
                <w:tcPr>
                  <w:tcW w:w="835" w:type="dxa"/>
                  <w:vMerge w:val="restart"/>
                  <w:vAlign w:val="center"/>
                </w:tcPr>
                <w:p w14:paraId="7B356309">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排放口编号</w:t>
                  </w:r>
                </w:p>
              </w:tc>
              <w:tc>
                <w:tcPr>
                  <w:tcW w:w="1125" w:type="dxa"/>
                  <w:vMerge w:val="restart"/>
                  <w:vAlign w:val="center"/>
                </w:tcPr>
                <w:p w14:paraId="31A5D59A">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排放口</w:t>
                  </w:r>
                </w:p>
                <w:p w14:paraId="06D63B02">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名称</w:t>
                  </w:r>
                </w:p>
              </w:tc>
              <w:tc>
                <w:tcPr>
                  <w:tcW w:w="512" w:type="dxa"/>
                  <w:vMerge w:val="restart"/>
                  <w:vAlign w:val="center"/>
                </w:tcPr>
                <w:p w14:paraId="1D1C18D3">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污染物种类</w:t>
                  </w:r>
                </w:p>
              </w:tc>
              <w:tc>
                <w:tcPr>
                  <w:tcW w:w="2735" w:type="dxa"/>
                  <w:gridSpan w:val="2"/>
                  <w:vAlign w:val="center"/>
                </w:tcPr>
                <w:p w14:paraId="607F7C2B">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排放口地理坐标</w:t>
                  </w:r>
                </w:p>
              </w:tc>
              <w:tc>
                <w:tcPr>
                  <w:tcW w:w="3549" w:type="dxa"/>
                  <w:gridSpan w:val="4"/>
                  <w:vAlign w:val="center"/>
                </w:tcPr>
                <w:p w14:paraId="0D66E7D9">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排气筒参数</w:t>
                  </w:r>
                </w:p>
              </w:tc>
              <w:tc>
                <w:tcPr>
                  <w:tcW w:w="4775" w:type="dxa"/>
                  <w:gridSpan w:val="3"/>
                  <w:vAlign w:val="center"/>
                </w:tcPr>
                <w:p w14:paraId="29145B22">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国家或地方污染物排放标准</w:t>
                  </w:r>
                </w:p>
              </w:tc>
            </w:tr>
            <w:tr w14:paraId="19637CC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Merge w:val="continue"/>
                  <w:vAlign w:val="center"/>
                </w:tcPr>
                <w:p w14:paraId="4993A252">
                  <w:pPr>
                    <w:spacing w:line="276" w:lineRule="auto"/>
                    <w:jc w:val="center"/>
                    <w:rPr>
                      <w:rFonts w:ascii="Times New Roman" w:hAnsi="Times New Roman" w:cs="Times New Roman"/>
                      <w:b/>
                      <w:color w:val="auto"/>
                      <w:szCs w:val="21"/>
                    </w:rPr>
                  </w:pPr>
                </w:p>
              </w:tc>
              <w:tc>
                <w:tcPr>
                  <w:tcW w:w="835" w:type="dxa"/>
                  <w:vMerge w:val="continue"/>
                  <w:vAlign w:val="center"/>
                </w:tcPr>
                <w:p w14:paraId="3F9DBDE3">
                  <w:pPr>
                    <w:spacing w:line="276" w:lineRule="auto"/>
                    <w:jc w:val="center"/>
                    <w:rPr>
                      <w:rFonts w:ascii="Times New Roman" w:hAnsi="Times New Roman" w:cs="Times New Roman"/>
                      <w:b/>
                      <w:color w:val="auto"/>
                      <w:szCs w:val="21"/>
                    </w:rPr>
                  </w:pPr>
                </w:p>
              </w:tc>
              <w:tc>
                <w:tcPr>
                  <w:tcW w:w="1125" w:type="dxa"/>
                  <w:vMerge w:val="continue"/>
                  <w:vAlign w:val="center"/>
                </w:tcPr>
                <w:p w14:paraId="5220C63A">
                  <w:pPr>
                    <w:spacing w:line="276" w:lineRule="auto"/>
                    <w:jc w:val="center"/>
                    <w:rPr>
                      <w:rFonts w:ascii="Times New Roman" w:hAnsi="Times New Roman" w:cs="Times New Roman"/>
                      <w:b/>
                      <w:color w:val="auto"/>
                      <w:szCs w:val="21"/>
                    </w:rPr>
                  </w:pPr>
                </w:p>
              </w:tc>
              <w:tc>
                <w:tcPr>
                  <w:tcW w:w="512" w:type="dxa"/>
                  <w:vMerge w:val="continue"/>
                  <w:vAlign w:val="center"/>
                </w:tcPr>
                <w:p w14:paraId="452B617F">
                  <w:pPr>
                    <w:spacing w:line="276" w:lineRule="auto"/>
                    <w:jc w:val="center"/>
                    <w:rPr>
                      <w:rFonts w:ascii="Times New Roman" w:hAnsi="Times New Roman" w:cs="Times New Roman"/>
                      <w:b/>
                      <w:color w:val="auto"/>
                      <w:szCs w:val="21"/>
                    </w:rPr>
                  </w:pPr>
                </w:p>
              </w:tc>
              <w:tc>
                <w:tcPr>
                  <w:tcW w:w="1416" w:type="dxa"/>
                  <w:vAlign w:val="center"/>
                </w:tcPr>
                <w:p w14:paraId="37755FC6">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经度</w:t>
                  </w:r>
                </w:p>
              </w:tc>
              <w:tc>
                <w:tcPr>
                  <w:tcW w:w="1319" w:type="dxa"/>
                  <w:vAlign w:val="center"/>
                </w:tcPr>
                <w:p w14:paraId="5BAFA224">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纬度</w:t>
                  </w:r>
                </w:p>
              </w:tc>
              <w:tc>
                <w:tcPr>
                  <w:tcW w:w="813" w:type="dxa"/>
                  <w:vAlign w:val="center"/>
                </w:tcPr>
                <w:p w14:paraId="039FB0CA">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高度（m）</w:t>
                  </w:r>
                </w:p>
              </w:tc>
              <w:tc>
                <w:tcPr>
                  <w:tcW w:w="813" w:type="dxa"/>
                  <w:vAlign w:val="center"/>
                </w:tcPr>
                <w:p w14:paraId="32710035">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出口</w:t>
                  </w:r>
                </w:p>
                <w:p w14:paraId="2FD73F6E">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内径（m）</w:t>
                  </w:r>
                </w:p>
              </w:tc>
              <w:tc>
                <w:tcPr>
                  <w:tcW w:w="865" w:type="dxa"/>
                  <w:vAlign w:val="center"/>
                </w:tcPr>
                <w:p w14:paraId="7CB1F887">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排气</w:t>
                  </w:r>
                </w:p>
                <w:p w14:paraId="6D2B44B9">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温度（℃）</w:t>
                  </w:r>
                </w:p>
              </w:tc>
              <w:tc>
                <w:tcPr>
                  <w:tcW w:w="1058" w:type="dxa"/>
                  <w:vAlign w:val="center"/>
                </w:tcPr>
                <w:p w14:paraId="688C2435">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排气量</w:t>
                  </w:r>
                </w:p>
                <w:p w14:paraId="3D969D30">
                  <w:pPr>
                    <w:spacing w:line="276" w:lineRule="auto"/>
                    <w:jc w:val="center"/>
                    <w:rPr>
                      <w:rFonts w:ascii="Times New Roman" w:hAnsi="Times New Roman" w:cs="Times New Roman"/>
                      <w:b/>
                      <w:color w:val="auto"/>
                      <w:szCs w:val="21"/>
                      <w:highlight w:val="none"/>
                    </w:rPr>
                  </w:pPr>
                  <w:r>
                    <w:rPr>
                      <w:rFonts w:ascii="Times New Roman" w:hAnsi="Times New Roman" w:cs="Times New Roman"/>
                      <w:b/>
                      <w:color w:val="auto"/>
                      <w:szCs w:val="21"/>
                      <w:highlight w:val="none"/>
                    </w:rPr>
                    <w:t>（m</w:t>
                  </w:r>
                  <w:r>
                    <w:rPr>
                      <w:rFonts w:ascii="Times New Roman" w:hAnsi="Times New Roman" w:cs="Times New Roman"/>
                      <w:b/>
                      <w:color w:val="auto"/>
                      <w:szCs w:val="21"/>
                      <w:highlight w:val="none"/>
                      <w:vertAlign w:val="superscript"/>
                    </w:rPr>
                    <w:t>3</w:t>
                  </w:r>
                  <w:r>
                    <w:rPr>
                      <w:rFonts w:ascii="Times New Roman" w:hAnsi="Times New Roman" w:cs="Times New Roman"/>
                      <w:b/>
                      <w:color w:val="auto"/>
                      <w:szCs w:val="21"/>
                      <w:highlight w:val="none"/>
                    </w:rPr>
                    <w:t>/h）</w:t>
                  </w:r>
                </w:p>
              </w:tc>
              <w:tc>
                <w:tcPr>
                  <w:tcW w:w="2367" w:type="dxa"/>
                  <w:vAlign w:val="center"/>
                </w:tcPr>
                <w:p w14:paraId="45104FCF">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标准名称</w:t>
                  </w:r>
                </w:p>
              </w:tc>
              <w:tc>
                <w:tcPr>
                  <w:tcW w:w="1373" w:type="dxa"/>
                  <w:vAlign w:val="center"/>
                </w:tcPr>
                <w:p w14:paraId="2180B61E">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浓度限值</w:t>
                  </w:r>
                </w:p>
                <w:p w14:paraId="2858C7A6">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（mg/Nm</w:t>
                  </w:r>
                  <w:r>
                    <w:rPr>
                      <w:rFonts w:ascii="Times New Roman" w:hAnsi="Times New Roman" w:cs="Times New Roman"/>
                      <w:b/>
                      <w:color w:val="auto"/>
                      <w:szCs w:val="21"/>
                      <w:vertAlign w:val="superscript"/>
                    </w:rPr>
                    <w:t>3</w:t>
                  </w:r>
                  <w:r>
                    <w:rPr>
                      <w:rFonts w:ascii="Times New Roman" w:hAnsi="Times New Roman" w:cs="Times New Roman"/>
                      <w:b/>
                      <w:color w:val="auto"/>
                      <w:szCs w:val="21"/>
                    </w:rPr>
                    <w:t>）</w:t>
                  </w:r>
                </w:p>
              </w:tc>
              <w:tc>
                <w:tcPr>
                  <w:tcW w:w="1035" w:type="dxa"/>
                  <w:vAlign w:val="center"/>
                </w:tcPr>
                <w:p w14:paraId="16CE036C">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速率限值</w:t>
                  </w:r>
                </w:p>
                <w:p w14:paraId="46064D17">
                  <w:pPr>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（kg/h）</w:t>
                  </w:r>
                </w:p>
              </w:tc>
            </w:tr>
            <w:tr w14:paraId="045237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Merge w:val="restart"/>
                  <w:vAlign w:val="center"/>
                </w:tcPr>
                <w:p w14:paraId="73BBA0F0">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1</w:t>
                  </w:r>
                </w:p>
              </w:tc>
              <w:tc>
                <w:tcPr>
                  <w:tcW w:w="835" w:type="dxa"/>
                  <w:vMerge w:val="restart"/>
                  <w:vAlign w:val="center"/>
                </w:tcPr>
                <w:p w14:paraId="055120CA">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DA001</w:t>
                  </w:r>
                </w:p>
              </w:tc>
              <w:tc>
                <w:tcPr>
                  <w:tcW w:w="1125" w:type="dxa"/>
                  <w:vMerge w:val="restart"/>
                  <w:vAlign w:val="center"/>
                </w:tcPr>
                <w:p w14:paraId="40FB1128">
                  <w:pPr>
                    <w:spacing w:line="276" w:lineRule="auto"/>
                    <w:jc w:val="center"/>
                    <w:rPr>
                      <w:rFonts w:ascii="Times New Roman" w:hAnsi="Times New Roman" w:cs="Times New Roman"/>
                      <w:color w:val="auto"/>
                      <w:szCs w:val="21"/>
                    </w:rPr>
                  </w:pPr>
                  <w:r>
                    <w:rPr>
                      <w:rFonts w:ascii="Times New Roman" w:hAnsi="Times New Roman" w:cs="Times New Roman"/>
                      <w:color w:val="auto"/>
                      <w:szCs w:val="21"/>
                    </w:rPr>
                    <w:t>调</w:t>
                  </w:r>
                  <w:r>
                    <w:rPr>
                      <w:rFonts w:hint="eastAsia" w:ascii="Times New Roman" w:hAnsi="Times New Roman" w:cs="Times New Roman"/>
                      <w:color w:val="auto"/>
                      <w:szCs w:val="21"/>
                    </w:rPr>
                    <w:t>底</w:t>
                  </w:r>
                  <w:r>
                    <w:rPr>
                      <w:rFonts w:ascii="Times New Roman" w:hAnsi="Times New Roman" w:cs="Times New Roman"/>
                      <w:color w:val="auto"/>
                      <w:szCs w:val="21"/>
                    </w:rPr>
                    <w:t>漆废气（G</w:t>
                  </w:r>
                  <w:r>
                    <w:rPr>
                      <w:rFonts w:hint="eastAsia" w:ascii="Times New Roman" w:hAnsi="Times New Roman" w:cs="Times New Roman"/>
                      <w:color w:val="auto"/>
                      <w:szCs w:val="21"/>
                      <w:vertAlign w:val="subscript"/>
                    </w:rPr>
                    <w:t>1</w:t>
                  </w:r>
                  <w:r>
                    <w:rPr>
                      <w:rFonts w:ascii="Times New Roman" w:hAnsi="Times New Roman" w:cs="Times New Roman"/>
                      <w:color w:val="auto"/>
                      <w:szCs w:val="21"/>
                    </w:rPr>
                    <w:t>）、调</w:t>
                  </w:r>
                  <w:r>
                    <w:rPr>
                      <w:rFonts w:hint="eastAsia" w:ascii="Times New Roman" w:hAnsi="Times New Roman" w:cs="Times New Roman"/>
                      <w:color w:val="auto"/>
                      <w:szCs w:val="21"/>
                    </w:rPr>
                    <w:t>面</w:t>
                  </w:r>
                  <w:r>
                    <w:rPr>
                      <w:rFonts w:ascii="Times New Roman" w:hAnsi="Times New Roman" w:cs="Times New Roman"/>
                      <w:color w:val="auto"/>
                      <w:szCs w:val="21"/>
                    </w:rPr>
                    <w:t>漆废气（G</w:t>
                  </w:r>
                  <w:r>
                    <w:rPr>
                      <w:rFonts w:hint="eastAsia" w:ascii="Times New Roman" w:hAnsi="Times New Roman" w:cs="Times New Roman"/>
                      <w:color w:val="auto"/>
                      <w:szCs w:val="21"/>
                      <w:vertAlign w:val="subscript"/>
                    </w:rPr>
                    <w:t>4</w:t>
                  </w:r>
                  <w:r>
                    <w:rPr>
                      <w:rFonts w:ascii="Times New Roman" w:hAnsi="Times New Roman" w:cs="Times New Roman"/>
                      <w:color w:val="auto"/>
                      <w:szCs w:val="21"/>
                    </w:rPr>
                    <w:t>）、喷底漆废气（G</w:t>
                  </w:r>
                  <w:r>
                    <w:rPr>
                      <w:rFonts w:hint="eastAsia" w:ascii="Times New Roman" w:hAnsi="Times New Roman" w:cs="Times New Roman"/>
                      <w:color w:val="auto"/>
                      <w:szCs w:val="21"/>
                      <w:vertAlign w:val="subscript"/>
                    </w:rPr>
                    <w:t>2</w:t>
                  </w:r>
                  <w:r>
                    <w:rPr>
                      <w:rFonts w:ascii="Times New Roman" w:hAnsi="Times New Roman" w:cs="Times New Roman"/>
                      <w:color w:val="auto"/>
                      <w:szCs w:val="21"/>
                    </w:rPr>
                    <w:t>）、喷面漆废气（G</w:t>
                  </w:r>
                  <w:r>
                    <w:rPr>
                      <w:rFonts w:hint="eastAsia" w:ascii="Times New Roman" w:hAnsi="Times New Roman" w:cs="Times New Roman"/>
                      <w:color w:val="auto"/>
                      <w:szCs w:val="21"/>
                      <w:vertAlign w:val="subscript"/>
                    </w:rPr>
                    <w:t>5</w:t>
                  </w:r>
                  <w:r>
                    <w:rPr>
                      <w:rFonts w:ascii="Times New Roman" w:hAnsi="Times New Roman" w:cs="Times New Roman"/>
                      <w:color w:val="auto"/>
                      <w:szCs w:val="21"/>
                    </w:rPr>
                    <w:t>）、烘干废气（G</w:t>
                  </w:r>
                  <w:r>
                    <w:rPr>
                      <w:rFonts w:hint="eastAsia" w:ascii="Times New Roman" w:hAnsi="Times New Roman" w:cs="Times New Roman"/>
                      <w:color w:val="auto"/>
                      <w:szCs w:val="21"/>
                      <w:vertAlign w:val="subscript"/>
                    </w:rPr>
                    <w:t>3</w:t>
                  </w:r>
                  <w:r>
                    <w:rPr>
                      <w:rFonts w:ascii="Times New Roman" w:hAnsi="Times New Roman" w:cs="Times New Roman"/>
                      <w:color w:val="auto"/>
                      <w:szCs w:val="21"/>
                    </w:rPr>
                    <w:t>）、危废间废气排放口</w:t>
                  </w:r>
                </w:p>
              </w:tc>
              <w:tc>
                <w:tcPr>
                  <w:tcW w:w="512" w:type="dxa"/>
                  <w:vAlign w:val="center"/>
                </w:tcPr>
                <w:p w14:paraId="2E6A642A">
                  <w:pPr>
                    <w:spacing w:line="276" w:lineRule="auto"/>
                    <w:jc w:val="center"/>
                    <w:rPr>
                      <w:rFonts w:ascii="Times New Roman" w:hAnsi="Times New Roman" w:cs="Times New Roman"/>
                      <w:color w:val="auto"/>
                      <w:szCs w:val="21"/>
                    </w:rPr>
                  </w:pPr>
                  <w:r>
                    <w:rPr>
                      <w:rFonts w:ascii="Times New Roman" w:hAnsi="Times New Roman" w:cs="Times New Roman"/>
                      <w:color w:val="auto"/>
                      <w:szCs w:val="21"/>
                    </w:rPr>
                    <w:t>颗粒物</w:t>
                  </w:r>
                </w:p>
              </w:tc>
              <w:tc>
                <w:tcPr>
                  <w:tcW w:w="1416" w:type="dxa"/>
                  <w:vMerge w:val="restart"/>
                  <w:vAlign w:val="center"/>
                </w:tcPr>
                <w:p w14:paraId="363B926F">
                  <w:pPr>
                    <w:spacing w:line="276" w:lineRule="auto"/>
                    <w:jc w:val="center"/>
                    <w:rPr>
                      <w:rFonts w:ascii="Times New Roman" w:hAnsi="Times New Roman" w:cs="Times New Roman"/>
                      <w:color w:val="auto"/>
                      <w:szCs w:val="21"/>
                    </w:rPr>
                  </w:pPr>
                  <w:r>
                    <w:rPr>
                      <w:rFonts w:ascii="Times New Roman" w:hAnsi="Times New Roman" w:cs="Times New Roman"/>
                      <w:color w:val="auto"/>
                    </w:rPr>
                    <w:t>116.90445140</w:t>
                  </w:r>
                </w:p>
              </w:tc>
              <w:tc>
                <w:tcPr>
                  <w:tcW w:w="1319" w:type="dxa"/>
                  <w:vMerge w:val="restart"/>
                  <w:vAlign w:val="center"/>
                </w:tcPr>
                <w:p w14:paraId="15A1AF55">
                  <w:pPr>
                    <w:spacing w:line="276" w:lineRule="auto"/>
                    <w:jc w:val="center"/>
                    <w:rPr>
                      <w:rFonts w:ascii="Times New Roman" w:hAnsi="Times New Roman" w:cs="Times New Roman"/>
                      <w:color w:val="auto"/>
                      <w:szCs w:val="21"/>
                    </w:rPr>
                  </w:pPr>
                  <w:r>
                    <w:rPr>
                      <w:rFonts w:ascii="Times New Roman" w:hAnsi="Times New Roman" w:cs="Times New Roman"/>
                      <w:color w:val="auto"/>
                    </w:rPr>
                    <w:t>32.55917759</w:t>
                  </w:r>
                </w:p>
              </w:tc>
              <w:tc>
                <w:tcPr>
                  <w:tcW w:w="813" w:type="dxa"/>
                  <w:vMerge w:val="restart"/>
                  <w:vAlign w:val="center"/>
                </w:tcPr>
                <w:p w14:paraId="5844BFBC">
                  <w:pPr>
                    <w:wordWrap w:val="0"/>
                    <w:spacing w:line="276" w:lineRule="auto"/>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20</w:t>
                  </w:r>
                </w:p>
              </w:tc>
              <w:tc>
                <w:tcPr>
                  <w:tcW w:w="813" w:type="dxa"/>
                  <w:vMerge w:val="restart"/>
                  <w:vAlign w:val="center"/>
                </w:tcPr>
                <w:p w14:paraId="2CF2CD5B">
                  <w:pPr>
                    <w:wordWrap w:val="0"/>
                    <w:spacing w:line="276" w:lineRule="auto"/>
                    <w:jc w:val="center"/>
                    <w:rPr>
                      <w:rFonts w:hint="default" w:ascii="Times New Roman" w:hAnsi="Times New Roman" w:cs="Times New Roman" w:eastAsiaTheme="minorEastAsia"/>
                      <w:color w:val="auto"/>
                      <w:szCs w:val="21"/>
                      <w:highlight w:val="none"/>
                      <w:lang w:val="en-US" w:eastAsia="zh-CN"/>
                    </w:rPr>
                  </w:pPr>
                  <w:r>
                    <w:rPr>
                      <w:rFonts w:hint="eastAsia" w:ascii="Times New Roman" w:hAnsi="Times New Roman" w:cs="Times New Roman"/>
                      <w:color w:val="auto"/>
                      <w:szCs w:val="21"/>
                      <w:highlight w:val="none"/>
                      <w:lang w:val="en-US" w:eastAsia="zh-CN"/>
                    </w:rPr>
                    <w:t>0.8</w:t>
                  </w:r>
                </w:p>
              </w:tc>
              <w:tc>
                <w:tcPr>
                  <w:tcW w:w="865" w:type="dxa"/>
                  <w:vMerge w:val="restart"/>
                  <w:vAlign w:val="center"/>
                </w:tcPr>
                <w:p w14:paraId="1E6C8DCF">
                  <w:pPr>
                    <w:wordWrap w:val="0"/>
                    <w:spacing w:line="276" w:lineRule="auto"/>
                    <w:jc w:val="center"/>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lang w:val="en-US" w:eastAsia="zh-CN"/>
                    </w:rPr>
                    <w:t>环境温度</w:t>
                  </w:r>
                </w:p>
              </w:tc>
              <w:tc>
                <w:tcPr>
                  <w:tcW w:w="1058" w:type="dxa"/>
                  <w:vMerge w:val="restart"/>
                  <w:vAlign w:val="center"/>
                </w:tcPr>
                <w:p w14:paraId="3A300185">
                  <w:pPr>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2590</w:t>
                  </w:r>
                  <w:r>
                    <w:rPr>
                      <w:rFonts w:ascii="Times New Roman" w:hAnsi="Times New Roman" w:cs="Times New Roman"/>
                      <w:color w:val="auto"/>
                      <w:szCs w:val="21"/>
                      <w:highlight w:val="none"/>
                    </w:rPr>
                    <w:t>0</w:t>
                  </w:r>
                </w:p>
              </w:tc>
              <w:tc>
                <w:tcPr>
                  <w:tcW w:w="2367" w:type="dxa"/>
                  <w:vAlign w:val="center"/>
                </w:tcPr>
                <w:p w14:paraId="10D43250">
                  <w:pPr>
                    <w:adjustRightInd w:val="0"/>
                    <w:snapToGrid w:val="0"/>
                    <w:spacing w:line="360" w:lineRule="auto"/>
                    <w:jc w:val="center"/>
                    <w:rPr>
                      <w:rFonts w:ascii="Times New Roman" w:hAnsi="Times New Roman" w:cs="Times New Roman"/>
                      <w:bCs/>
                      <w:color w:val="auto"/>
                      <w:szCs w:val="21"/>
                    </w:rPr>
                  </w:pPr>
                  <w:r>
                    <w:rPr>
                      <w:rFonts w:hint="eastAsia" w:ascii="Times New Roman" w:hAnsi="Times New Roman" w:cs="Times New Roman"/>
                      <w:bCs/>
                      <w:color w:val="auto"/>
                      <w:szCs w:val="21"/>
                    </w:rPr>
                    <w:t>《大气污染物综合排放标准》（GB16297-1996）</w:t>
                  </w:r>
                </w:p>
              </w:tc>
              <w:tc>
                <w:tcPr>
                  <w:tcW w:w="1373" w:type="dxa"/>
                  <w:vAlign w:val="center"/>
                </w:tcPr>
                <w:p w14:paraId="7E526977">
                  <w:pPr>
                    <w:spacing w:line="276" w:lineRule="auto"/>
                    <w:jc w:val="center"/>
                    <w:rPr>
                      <w:rFonts w:ascii="Times New Roman" w:hAnsi="Times New Roman" w:cs="Times New Roman"/>
                      <w:color w:val="auto"/>
                      <w:szCs w:val="21"/>
                    </w:rPr>
                  </w:pPr>
                  <w:r>
                    <w:rPr>
                      <w:rFonts w:ascii="Times New Roman" w:hAnsi="Times New Roman" w:cs="Times New Roman"/>
                      <w:color w:val="auto"/>
                      <w:szCs w:val="21"/>
                    </w:rPr>
                    <w:t>120</w:t>
                  </w:r>
                </w:p>
              </w:tc>
              <w:tc>
                <w:tcPr>
                  <w:tcW w:w="1035" w:type="dxa"/>
                  <w:vAlign w:val="center"/>
                </w:tcPr>
                <w:p w14:paraId="58E0E5D9">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5.9</w:t>
                  </w:r>
                </w:p>
              </w:tc>
            </w:tr>
            <w:tr w14:paraId="3F0729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Merge w:val="continue"/>
                  <w:vAlign w:val="center"/>
                </w:tcPr>
                <w:p w14:paraId="570C39E4">
                  <w:pPr>
                    <w:spacing w:line="276" w:lineRule="auto"/>
                    <w:jc w:val="center"/>
                    <w:rPr>
                      <w:rFonts w:ascii="Times New Roman" w:hAnsi="Times New Roman" w:cs="Times New Roman"/>
                      <w:color w:val="auto"/>
                      <w:szCs w:val="21"/>
                    </w:rPr>
                  </w:pPr>
                </w:p>
              </w:tc>
              <w:tc>
                <w:tcPr>
                  <w:tcW w:w="835" w:type="dxa"/>
                  <w:vMerge w:val="continue"/>
                  <w:vAlign w:val="center"/>
                </w:tcPr>
                <w:p w14:paraId="16ADED5D">
                  <w:pPr>
                    <w:spacing w:line="276" w:lineRule="auto"/>
                    <w:jc w:val="center"/>
                    <w:rPr>
                      <w:rFonts w:ascii="Times New Roman" w:hAnsi="Times New Roman" w:cs="Times New Roman"/>
                      <w:color w:val="auto"/>
                      <w:szCs w:val="21"/>
                    </w:rPr>
                  </w:pPr>
                </w:p>
              </w:tc>
              <w:tc>
                <w:tcPr>
                  <w:tcW w:w="1125" w:type="dxa"/>
                  <w:vMerge w:val="continue"/>
                  <w:vAlign w:val="center"/>
                </w:tcPr>
                <w:p w14:paraId="5A0E6AF2">
                  <w:pPr>
                    <w:spacing w:line="276" w:lineRule="auto"/>
                    <w:jc w:val="center"/>
                    <w:rPr>
                      <w:rFonts w:ascii="Times New Roman" w:hAnsi="Times New Roman" w:cs="Times New Roman"/>
                      <w:color w:val="auto"/>
                      <w:szCs w:val="21"/>
                    </w:rPr>
                  </w:pPr>
                </w:p>
              </w:tc>
              <w:tc>
                <w:tcPr>
                  <w:tcW w:w="512" w:type="dxa"/>
                  <w:vAlign w:val="center"/>
                </w:tcPr>
                <w:p w14:paraId="0F76EFFC">
                  <w:pPr>
                    <w:spacing w:line="276" w:lineRule="auto"/>
                    <w:jc w:val="center"/>
                    <w:rPr>
                      <w:rFonts w:ascii="Times New Roman" w:hAnsi="Times New Roman" w:cs="Times New Roman"/>
                      <w:color w:val="auto"/>
                      <w:szCs w:val="21"/>
                    </w:rPr>
                  </w:pPr>
                  <w:r>
                    <w:rPr>
                      <w:rFonts w:ascii="Times New Roman" w:hAnsi="Times New Roman" w:cs="Times New Roman"/>
                      <w:color w:val="auto"/>
                      <w:szCs w:val="21"/>
                    </w:rPr>
                    <w:t>非甲烷总烃</w:t>
                  </w:r>
                </w:p>
              </w:tc>
              <w:tc>
                <w:tcPr>
                  <w:tcW w:w="1416" w:type="dxa"/>
                  <w:vMerge w:val="continue"/>
                  <w:vAlign w:val="center"/>
                </w:tcPr>
                <w:p w14:paraId="1AF226C4">
                  <w:pPr>
                    <w:spacing w:line="276" w:lineRule="auto"/>
                    <w:jc w:val="center"/>
                    <w:rPr>
                      <w:rFonts w:ascii="Times New Roman" w:hAnsi="Times New Roman" w:cs="Times New Roman"/>
                      <w:color w:val="auto"/>
                      <w:szCs w:val="21"/>
                    </w:rPr>
                  </w:pPr>
                </w:p>
              </w:tc>
              <w:tc>
                <w:tcPr>
                  <w:tcW w:w="1319" w:type="dxa"/>
                  <w:vMerge w:val="continue"/>
                  <w:vAlign w:val="center"/>
                </w:tcPr>
                <w:p w14:paraId="63EF471F">
                  <w:pPr>
                    <w:spacing w:line="276" w:lineRule="auto"/>
                    <w:jc w:val="center"/>
                    <w:rPr>
                      <w:rFonts w:ascii="Times New Roman" w:hAnsi="Times New Roman" w:cs="Times New Roman"/>
                      <w:color w:val="auto"/>
                      <w:szCs w:val="21"/>
                    </w:rPr>
                  </w:pPr>
                </w:p>
              </w:tc>
              <w:tc>
                <w:tcPr>
                  <w:tcW w:w="813" w:type="dxa"/>
                  <w:vMerge w:val="continue"/>
                  <w:vAlign w:val="center"/>
                </w:tcPr>
                <w:p w14:paraId="029CD297">
                  <w:pPr>
                    <w:wordWrap w:val="0"/>
                    <w:spacing w:line="276" w:lineRule="auto"/>
                    <w:jc w:val="center"/>
                    <w:rPr>
                      <w:rFonts w:ascii="Times New Roman" w:hAnsi="Times New Roman" w:cs="Times New Roman"/>
                      <w:color w:val="auto"/>
                      <w:szCs w:val="21"/>
                    </w:rPr>
                  </w:pPr>
                </w:p>
              </w:tc>
              <w:tc>
                <w:tcPr>
                  <w:tcW w:w="813" w:type="dxa"/>
                  <w:vMerge w:val="continue"/>
                  <w:vAlign w:val="center"/>
                </w:tcPr>
                <w:p w14:paraId="6D23F8EE">
                  <w:pPr>
                    <w:wordWrap w:val="0"/>
                    <w:spacing w:line="276" w:lineRule="auto"/>
                    <w:jc w:val="center"/>
                    <w:rPr>
                      <w:rFonts w:ascii="Times New Roman" w:hAnsi="Times New Roman" w:cs="Times New Roman"/>
                      <w:color w:val="auto"/>
                      <w:szCs w:val="21"/>
                    </w:rPr>
                  </w:pPr>
                </w:p>
              </w:tc>
              <w:tc>
                <w:tcPr>
                  <w:tcW w:w="865" w:type="dxa"/>
                  <w:vMerge w:val="continue"/>
                  <w:vAlign w:val="center"/>
                </w:tcPr>
                <w:p w14:paraId="2E5349A6">
                  <w:pPr>
                    <w:wordWrap w:val="0"/>
                    <w:spacing w:line="276" w:lineRule="auto"/>
                    <w:jc w:val="center"/>
                    <w:rPr>
                      <w:rFonts w:ascii="Times New Roman" w:hAnsi="Times New Roman" w:cs="Times New Roman"/>
                      <w:color w:val="auto"/>
                      <w:szCs w:val="21"/>
                    </w:rPr>
                  </w:pPr>
                </w:p>
              </w:tc>
              <w:tc>
                <w:tcPr>
                  <w:tcW w:w="1058" w:type="dxa"/>
                  <w:vMerge w:val="continue"/>
                  <w:vAlign w:val="center"/>
                </w:tcPr>
                <w:p w14:paraId="4D750C78">
                  <w:pPr>
                    <w:spacing w:line="276" w:lineRule="auto"/>
                    <w:jc w:val="center"/>
                    <w:rPr>
                      <w:rFonts w:ascii="Times New Roman" w:hAnsi="Times New Roman" w:cs="Times New Roman"/>
                      <w:color w:val="auto"/>
                      <w:szCs w:val="21"/>
                    </w:rPr>
                  </w:pPr>
                </w:p>
              </w:tc>
              <w:tc>
                <w:tcPr>
                  <w:tcW w:w="2367" w:type="dxa"/>
                  <w:vAlign w:val="center"/>
                </w:tcPr>
                <w:p w14:paraId="15F755E9">
                  <w:pPr>
                    <w:adjustRightInd w:val="0"/>
                    <w:snapToGrid w:val="0"/>
                    <w:spacing w:line="360" w:lineRule="auto"/>
                    <w:jc w:val="center"/>
                    <w:rPr>
                      <w:rFonts w:ascii="Times New Roman" w:hAnsi="Times New Roman" w:cs="Times New Roman"/>
                      <w:bCs/>
                      <w:color w:val="auto"/>
                      <w:szCs w:val="21"/>
                    </w:rPr>
                  </w:pPr>
                  <w:r>
                    <w:rPr>
                      <w:rFonts w:ascii="Times New Roman" w:hAnsi="Times New Roman" w:cs="Times New Roman"/>
                      <w:bCs/>
                      <w:color w:val="auto"/>
                      <w:szCs w:val="21"/>
                    </w:rPr>
                    <w:t>《</w:t>
                  </w:r>
                  <w:r>
                    <w:rPr>
                      <w:rFonts w:hint="eastAsia" w:ascii="Times New Roman" w:hAnsi="Times New Roman" w:cs="Times New Roman"/>
                      <w:bCs/>
                      <w:color w:val="auto"/>
                      <w:szCs w:val="21"/>
                    </w:rPr>
                    <w:t>固定源挥发性有机物综合排放标准 第6部分：其他行业》（DB34/4812.6-2024）</w:t>
                  </w:r>
                </w:p>
              </w:tc>
              <w:tc>
                <w:tcPr>
                  <w:tcW w:w="1373" w:type="dxa"/>
                  <w:vAlign w:val="center"/>
                </w:tcPr>
                <w:p w14:paraId="610CA02A">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60</w:t>
                  </w:r>
                </w:p>
              </w:tc>
              <w:tc>
                <w:tcPr>
                  <w:tcW w:w="1035" w:type="dxa"/>
                  <w:vAlign w:val="center"/>
                </w:tcPr>
                <w:p w14:paraId="7886A00E">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2.0</w:t>
                  </w:r>
                </w:p>
              </w:tc>
            </w:tr>
          </w:tbl>
          <w:p w14:paraId="5E0FE7D7">
            <w:pPr>
              <w:tabs>
                <w:tab w:val="left" w:pos="885"/>
              </w:tabs>
              <w:rPr>
                <w:rFonts w:ascii="Times New Roman" w:hAnsi="Times New Roman" w:eastAsia="黑体" w:cs="Times New Roman"/>
                <w:color w:val="auto"/>
                <w:sz w:val="24"/>
                <w:szCs w:val="24"/>
              </w:rPr>
            </w:pPr>
          </w:p>
        </w:tc>
      </w:tr>
    </w:tbl>
    <w:p w14:paraId="41B3841A">
      <w:pPr>
        <w:rPr>
          <w:rFonts w:ascii="Times New Roman" w:hAnsi="Times New Roman"/>
          <w:color w:val="auto"/>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7"/>
        <w:tblW w:w="491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6"/>
        <w:gridCol w:w="7794"/>
      </w:tblGrid>
      <w:tr w14:paraId="270E8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72" w:hRule="atLeast"/>
          <w:jc w:val="center"/>
        </w:trPr>
        <w:tc>
          <w:tcPr>
            <w:tcW w:w="299" w:type="pct"/>
            <w:tcMar>
              <w:left w:w="28" w:type="dxa"/>
              <w:right w:w="28" w:type="dxa"/>
            </w:tcMar>
            <w:vAlign w:val="center"/>
          </w:tcPr>
          <w:p w14:paraId="4D638554">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运营期环境影响和保护措施</w:t>
            </w:r>
          </w:p>
        </w:tc>
        <w:tc>
          <w:tcPr>
            <w:tcW w:w="4701" w:type="pct"/>
          </w:tcPr>
          <w:p w14:paraId="70F39449">
            <w:pPr>
              <w:spacing w:line="360" w:lineRule="auto"/>
              <w:ind w:firstLine="482" w:firstLineChars="200"/>
              <w:jc w:val="left"/>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2、非正常工况</w:t>
            </w:r>
          </w:p>
          <w:p w14:paraId="6520BCBE">
            <w:pPr>
              <w:spacing w:line="360" w:lineRule="auto"/>
              <w:ind w:firstLine="480" w:firstLineChars="200"/>
              <w:jc w:val="left"/>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该项目非正常排放考虑污染物排放控制措施达不到应有效率从而发生非正常排放，去除效率降为零。一般事故的非正常排放效率约每年1-3次，为小概率事件。本次评价取2次/年，每次持续时间30分钟。根据污染源核算中的污染物产生情况，本项目非正常排放源强见下表所示：</w:t>
            </w:r>
          </w:p>
          <w:p w14:paraId="7ACC7B0C">
            <w:pPr>
              <w:pStyle w:val="53"/>
              <w:adjustRightInd/>
              <w:spacing w:line="360" w:lineRule="auto"/>
              <w:ind w:left="0" w:right="0" w:firstLine="0"/>
              <w:jc w:val="center"/>
              <w:rPr>
                <w:rFonts w:ascii="Times New Roman" w:hAnsi="Times New Roman" w:eastAsia="黑体" w:cs="Times New Roman"/>
                <w:bCs/>
                <w:color w:val="auto"/>
              </w:rPr>
            </w:pPr>
            <w:r>
              <w:rPr>
                <w:rFonts w:ascii="Times New Roman" w:hAnsi="Times New Roman" w:eastAsia="黑体" w:cs="Times New Roman"/>
                <w:bCs/>
                <w:color w:val="auto"/>
              </w:rPr>
              <w:t>表4-</w:t>
            </w:r>
            <w:r>
              <w:rPr>
                <w:rFonts w:hint="eastAsia" w:ascii="Times New Roman" w:hAnsi="Times New Roman" w:eastAsia="黑体" w:cs="Times New Roman"/>
                <w:bCs/>
                <w:color w:val="auto"/>
              </w:rPr>
              <w:t>6  项目非正常</w:t>
            </w:r>
            <w:r>
              <w:rPr>
                <w:rFonts w:ascii="Times New Roman" w:hAnsi="Times New Roman" w:eastAsia="黑体" w:cs="Times New Roman"/>
                <w:bCs/>
                <w:color w:val="auto"/>
              </w:rPr>
              <w:t>工况排放参数表</w:t>
            </w:r>
          </w:p>
          <w:tbl>
            <w:tblPr>
              <w:tblStyle w:val="1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1122"/>
              <w:gridCol w:w="1464"/>
              <w:gridCol w:w="1119"/>
              <w:gridCol w:w="1476"/>
              <w:gridCol w:w="1208"/>
            </w:tblGrid>
            <w:tr w14:paraId="2DA5D8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tcBorders>
                    <w:bottom w:val="single" w:color="auto" w:sz="4" w:space="0"/>
                  </w:tcBorders>
                  <w:vAlign w:val="center"/>
                </w:tcPr>
                <w:p w14:paraId="77331A4B">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非正常排放源</w:t>
                  </w:r>
                </w:p>
              </w:tc>
              <w:tc>
                <w:tcPr>
                  <w:tcW w:w="740" w:type="pct"/>
                  <w:tcBorders>
                    <w:bottom w:val="single" w:color="auto" w:sz="4" w:space="0"/>
                  </w:tcBorders>
                  <w:vAlign w:val="center"/>
                </w:tcPr>
                <w:p w14:paraId="2D137CFF">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非正常排放原因</w:t>
                  </w:r>
                </w:p>
              </w:tc>
              <w:tc>
                <w:tcPr>
                  <w:tcW w:w="966" w:type="pct"/>
                  <w:tcBorders>
                    <w:bottom w:val="single" w:color="auto" w:sz="4" w:space="0"/>
                  </w:tcBorders>
                  <w:vAlign w:val="center"/>
                </w:tcPr>
                <w:p w14:paraId="132F190F">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污染物</w:t>
                  </w:r>
                </w:p>
              </w:tc>
              <w:tc>
                <w:tcPr>
                  <w:tcW w:w="738" w:type="pct"/>
                  <w:vAlign w:val="center"/>
                </w:tcPr>
                <w:p w14:paraId="4AB2EC7F">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单次持续时间（h）</w:t>
                  </w:r>
                </w:p>
              </w:tc>
              <w:tc>
                <w:tcPr>
                  <w:tcW w:w="974" w:type="pct"/>
                  <w:vAlign w:val="center"/>
                </w:tcPr>
                <w:p w14:paraId="39D05EE9">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非正常排放速率（kg/h）</w:t>
                  </w:r>
                </w:p>
              </w:tc>
              <w:tc>
                <w:tcPr>
                  <w:tcW w:w="797" w:type="pct"/>
                  <w:vAlign w:val="center"/>
                </w:tcPr>
                <w:p w14:paraId="71D52A9D">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年发生频次（次）</w:t>
                  </w:r>
                </w:p>
              </w:tc>
            </w:tr>
            <w:tr w14:paraId="5F12BE0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restart"/>
                  <w:vAlign w:val="center"/>
                </w:tcPr>
                <w:p w14:paraId="641DD006">
                  <w:pPr>
                    <w:widowControl/>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DA001</w:t>
                  </w:r>
                </w:p>
              </w:tc>
              <w:tc>
                <w:tcPr>
                  <w:tcW w:w="740" w:type="pct"/>
                  <w:vMerge w:val="restart"/>
                  <w:vAlign w:val="center"/>
                </w:tcPr>
                <w:p w14:paraId="1168DB4C">
                  <w:pPr>
                    <w:widowControl/>
                    <w:spacing w:line="276" w:lineRule="auto"/>
                    <w:jc w:val="center"/>
                    <w:rPr>
                      <w:rFonts w:ascii="Times New Roman" w:hAnsi="Times New Roman" w:cs="Times New Roman"/>
                      <w:color w:val="auto"/>
                      <w:szCs w:val="21"/>
                    </w:rPr>
                  </w:pPr>
                  <w:r>
                    <w:rPr>
                      <w:rFonts w:ascii="Times New Roman" w:hAnsi="Times New Roman" w:cs="Times New Roman"/>
                      <w:color w:val="auto"/>
                      <w:szCs w:val="21"/>
                    </w:rPr>
                    <w:t>废气治理设施故障</w:t>
                  </w:r>
                </w:p>
              </w:tc>
              <w:tc>
                <w:tcPr>
                  <w:tcW w:w="966" w:type="pct"/>
                  <w:vAlign w:val="center"/>
                </w:tcPr>
                <w:p w14:paraId="4C7B973A">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颗粒物</w:t>
                  </w:r>
                </w:p>
              </w:tc>
              <w:tc>
                <w:tcPr>
                  <w:tcW w:w="738" w:type="pct"/>
                  <w:vMerge w:val="restart"/>
                  <w:vAlign w:val="center"/>
                </w:tcPr>
                <w:p w14:paraId="3A6CA442">
                  <w:pPr>
                    <w:widowControl/>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0.5</w:t>
                  </w:r>
                </w:p>
              </w:tc>
              <w:tc>
                <w:tcPr>
                  <w:tcW w:w="974" w:type="pct"/>
                  <w:vAlign w:val="center"/>
                </w:tcPr>
                <w:p w14:paraId="55CB951A">
                  <w:pPr>
                    <w:widowControl/>
                    <w:spacing w:line="276" w:lineRule="auto"/>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3.88</w:t>
                  </w:r>
                </w:p>
              </w:tc>
              <w:tc>
                <w:tcPr>
                  <w:tcW w:w="797" w:type="pct"/>
                  <w:vMerge w:val="restart"/>
                  <w:vAlign w:val="center"/>
                </w:tcPr>
                <w:p w14:paraId="3EBC6AD7">
                  <w:pPr>
                    <w:widowControl/>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2</w:t>
                  </w:r>
                </w:p>
              </w:tc>
            </w:tr>
            <w:tr w14:paraId="6AFF1C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85" w:type="pct"/>
                  <w:vMerge w:val="continue"/>
                  <w:vAlign w:val="center"/>
                </w:tcPr>
                <w:p w14:paraId="07E6141F">
                  <w:pPr>
                    <w:widowControl/>
                    <w:spacing w:line="276" w:lineRule="auto"/>
                    <w:jc w:val="center"/>
                    <w:rPr>
                      <w:rFonts w:ascii="Times New Roman" w:hAnsi="Times New Roman" w:cs="Times New Roman"/>
                      <w:color w:val="auto"/>
                      <w:szCs w:val="21"/>
                    </w:rPr>
                  </w:pPr>
                </w:p>
              </w:tc>
              <w:tc>
                <w:tcPr>
                  <w:tcW w:w="740" w:type="pct"/>
                  <w:vMerge w:val="continue"/>
                  <w:vAlign w:val="center"/>
                </w:tcPr>
                <w:p w14:paraId="2FE77BD1">
                  <w:pPr>
                    <w:widowControl/>
                    <w:spacing w:line="276" w:lineRule="auto"/>
                    <w:jc w:val="center"/>
                    <w:rPr>
                      <w:rFonts w:ascii="Times New Roman" w:hAnsi="Times New Roman" w:cs="Times New Roman"/>
                      <w:color w:val="auto"/>
                      <w:szCs w:val="21"/>
                    </w:rPr>
                  </w:pPr>
                </w:p>
              </w:tc>
              <w:tc>
                <w:tcPr>
                  <w:tcW w:w="966" w:type="pct"/>
                  <w:vAlign w:val="center"/>
                </w:tcPr>
                <w:p w14:paraId="2EE96CEA">
                  <w:pPr>
                    <w:widowControl/>
                    <w:spacing w:line="276" w:lineRule="auto"/>
                    <w:jc w:val="center"/>
                    <w:rPr>
                      <w:rFonts w:ascii="Times New Roman" w:hAnsi="Times New Roman" w:cs="Times New Roman"/>
                      <w:color w:val="auto"/>
                      <w:szCs w:val="21"/>
                    </w:rPr>
                  </w:pPr>
                  <w:r>
                    <w:rPr>
                      <w:rFonts w:ascii="Times New Roman" w:hAnsi="Times New Roman" w:cs="Times New Roman"/>
                      <w:color w:val="auto"/>
                      <w:szCs w:val="21"/>
                    </w:rPr>
                    <w:t>非甲烷总烃</w:t>
                  </w:r>
                </w:p>
              </w:tc>
              <w:tc>
                <w:tcPr>
                  <w:tcW w:w="738" w:type="pct"/>
                  <w:vMerge w:val="continue"/>
                  <w:vAlign w:val="center"/>
                </w:tcPr>
                <w:p w14:paraId="3E83F57C">
                  <w:pPr>
                    <w:widowControl/>
                    <w:spacing w:line="276" w:lineRule="auto"/>
                    <w:jc w:val="center"/>
                    <w:rPr>
                      <w:rFonts w:ascii="Times New Roman" w:hAnsi="Times New Roman" w:cs="Times New Roman"/>
                      <w:color w:val="auto"/>
                      <w:szCs w:val="21"/>
                    </w:rPr>
                  </w:pPr>
                </w:p>
              </w:tc>
              <w:tc>
                <w:tcPr>
                  <w:tcW w:w="974" w:type="pct"/>
                  <w:vAlign w:val="center"/>
                </w:tcPr>
                <w:p w14:paraId="7115145E">
                  <w:pPr>
                    <w:widowControl/>
                    <w:spacing w:line="276" w:lineRule="auto"/>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rPr>
                    <w:t>0.</w:t>
                  </w:r>
                  <w:r>
                    <w:rPr>
                      <w:rFonts w:hint="eastAsia" w:ascii="Times New Roman" w:hAnsi="Times New Roman" w:cs="Times New Roman"/>
                      <w:color w:val="auto"/>
                      <w:szCs w:val="21"/>
                      <w:lang w:val="en-US" w:eastAsia="zh-CN"/>
                    </w:rPr>
                    <w:t>96</w:t>
                  </w:r>
                </w:p>
              </w:tc>
              <w:tc>
                <w:tcPr>
                  <w:tcW w:w="797" w:type="pct"/>
                  <w:vMerge w:val="continue"/>
                  <w:vAlign w:val="center"/>
                </w:tcPr>
                <w:p w14:paraId="599E1E6D">
                  <w:pPr>
                    <w:widowControl/>
                    <w:spacing w:line="276" w:lineRule="auto"/>
                    <w:jc w:val="center"/>
                    <w:rPr>
                      <w:rFonts w:ascii="Times New Roman" w:hAnsi="Times New Roman" w:cs="Times New Roman"/>
                      <w:color w:val="auto"/>
                      <w:szCs w:val="21"/>
                    </w:rPr>
                  </w:pPr>
                </w:p>
              </w:tc>
            </w:tr>
          </w:tbl>
          <w:p w14:paraId="5668D976">
            <w:pPr>
              <w:spacing w:line="360" w:lineRule="auto"/>
              <w:ind w:firstLine="480" w:firstLineChars="200"/>
              <w:jc w:val="lef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由上表可知，本项目在污染治理设施非正常运行时，短时间内污染物排放浓度较大，但由于持续时间较短，污染物的排放量不会明显增加。此外，为保证废气治理设施处理效率，企业应：</w:t>
            </w:r>
          </w:p>
          <w:p w14:paraId="73B1ECEA">
            <w:pPr>
              <w:spacing w:line="360" w:lineRule="auto"/>
              <w:ind w:firstLine="480" w:firstLineChars="200"/>
              <w:jc w:val="left"/>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①建设单位要定期对废气处理系统等环保设施进行维护和保养，一旦发现设施运行异常，应立即停止生产，迅速抢修或更换，待废气处理设施运行正常后恢复生产。</w:t>
            </w:r>
          </w:p>
          <w:p w14:paraId="39EF9834">
            <w:pPr>
              <w:spacing w:line="360" w:lineRule="auto"/>
              <w:ind w:firstLine="480" w:firstLineChars="200"/>
              <w:jc w:val="left"/>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②应设有备用电源、备用处理设备和备用零件，以备停电或设备出现故障时保障及时更换，使废气全部达标排放。</w:t>
            </w:r>
          </w:p>
          <w:p w14:paraId="3856F474">
            <w:pPr>
              <w:spacing w:line="360" w:lineRule="auto"/>
              <w:ind w:firstLine="480" w:firstLineChars="200"/>
              <w:jc w:val="left"/>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③对员工进行岗位培训。做好值班记录，实行岗位责任制。</w:t>
            </w:r>
          </w:p>
          <w:p w14:paraId="79BAF310">
            <w:pPr>
              <w:spacing w:line="360" w:lineRule="auto"/>
              <w:ind w:firstLine="482" w:firstLineChars="200"/>
              <w:jc w:val="left"/>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2</w:t>
            </w:r>
            <w:r>
              <w:rPr>
                <w:rFonts w:ascii="Times New Roman" w:hAnsi="Times New Roman" w:eastAsia="宋体" w:cs="Times New Roman"/>
                <w:b/>
                <w:bCs/>
                <w:color w:val="auto"/>
                <w:sz w:val="24"/>
                <w:szCs w:val="24"/>
              </w:rPr>
              <w:t>、运营期</w:t>
            </w:r>
            <w:r>
              <w:rPr>
                <w:rFonts w:hint="eastAsia" w:ascii="Times New Roman" w:hAnsi="Times New Roman" w:eastAsia="宋体" w:cs="Times New Roman"/>
                <w:b/>
                <w:bCs/>
                <w:color w:val="auto"/>
                <w:sz w:val="24"/>
                <w:szCs w:val="24"/>
              </w:rPr>
              <w:t>环境</w:t>
            </w:r>
            <w:r>
              <w:rPr>
                <w:rFonts w:ascii="Times New Roman" w:hAnsi="Times New Roman" w:eastAsia="宋体" w:cs="Times New Roman"/>
                <w:b/>
                <w:bCs/>
                <w:color w:val="auto"/>
                <w:sz w:val="24"/>
                <w:szCs w:val="24"/>
              </w:rPr>
              <w:t>保护措施</w:t>
            </w:r>
          </w:p>
          <w:p w14:paraId="0CA9D2C8">
            <w:pPr>
              <w:spacing w:line="360" w:lineRule="auto"/>
              <w:ind w:firstLine="482" w:firstLineChars="200"/>
              <w:jc w:val="left"/>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（1）大气环境保护措施</w:t>
            </w:r>
          </w:p>
          <w:p w14:paraId="50F045A6">
            <w:pPr>
              <w:spacing w:line="360" w:lineRule="auto"/>
              <w:ind w:firstLine="480" w:firstLineChars="200"/>
              <w:jc w:val="left"/>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本项目废气主要包含有组织废气和无组织废气。</w:t>
            </w:r>
          </w:p>
          <w:p w14:paraId="58949D0B">
            <w:pPr>
              <w:spacing w:line="358" w:lineRule="auto"/>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有组织废气包括：调漆废气（G</w:t>
            </w:r>
            <w:r>
              <w:rPr>
                <w:rFonts w:hint="eastAsia" w:ascii="Times New Roman" w:hAnsi="Times New Roman" w:eastAsia="宋体" w:cs="Times New Roman"/>
                <w:bCs/>
                <w:color w:val="auto"/>
                <w:sz w:val="24"/>
                <w:szCs w:val="24"/>
                <w:vertAlign w:val="subscript"/>
              </w:rPr>
              <w:t>1</w:t>
            </w:r>
            <w:r>
              <w:rPr>
                <w:rFonts w:hint="eastAsia" w:ascii="Times New Roman" w:hAnsi="Times New Roman" w:eastAsia="宋体" w:cs="Times New Roman"/>
                <w:bCs/>
                <w:color w:val="auto"/>
                <w:sz w:val="24"/>
                <w:szCs w:val="24"/>
              </w:rPr>
              <w:t>、G</w:t>
            </w:r>
            <w:r>
              <w:rPr>
                <w:rFonts w:hint="eastAsia" w:ascii="Times New Roman" w:hAnsi="Times New Roman" w:eastAsia="宋体" w:cs="Times New Roman"/>
                <w:bCs/>
                <w:color w:val="auto"/>
                <w:sz w:val="24"/>
                <w:szCs w:val="24"/>
                <w:vertAlign w:val="subscript"/>
              </w:rPr>
              <w:t>4</w:t>
            </w:r>
            <w:r>
              <w:rPr>
                <w:rFonts w:hint="eastAsia" w:ascii="Times New Roman" w:hAnsi="Times New Roman" w:eastAsia="宋体" w:cs="Times New Roman"/>
                <w:bCs/>
                <w:color w:val="auto"/>
                <w:sz w:val="24"/>
                <w:szCs w:val="24"/>
              </w:rPr>
              <w:t>）、喷底漆废气（G</w:t>
            </w:r>
            <w:r>
              <w:rPr>
                <w:rFonts w:hint="eastAsia" w:ascii="Times New Roman" w:hAnsi="Times New Roman" w:eastAsia="宋体" w:cs="Times New Roman"/>
                <w:bCs/>
                <w:color w:val="auto"/>
                <w:sz w:val="24"/>
                <w:szCs w:val="24"/>
                <w:vertAlign w:val="subscript"/>
              </w:rPr>
              <w:t>2</w:t>
            </w:r>
            <w:r>
              <w:rPr>
                <w:rFonts w:hint="eastAsia" w:ascii="Times New Roman" w:hAnsi="Times New Roman" w:eastAsia="宋体" w:cs="Times New Roman"/>
                <w:bCs/>
                <w:color w:val="auto"/>
                <w:sz w:val="24"/>
                <w:szCs w:val="24"/>
              </w:rPr>
              <w:t>）、喷面漆废气（G</w:t>
            </w:r>
            <w:r>
              <w:rPr>
                <w:rFonts w:hint="eastAsia" w:ascii="Times New Roman" w:hAnsi="Times New Roman" w:eastAsia="宋体" w:cs="Times New Roman"/>
                <w:bCs/>
                <w:color w:val="auto"/>
                <w:sz w:val="24"/>
                <w:szCs w:val="24"/>
                <w:vertAlign w:val="subscript"/>
              </w:rPr>
              <w:t>5</w:t>
            </w:r>
            <w:r>
              <w:rPr>
                <w:rFonts w:hint="eastAsia" w:ascii="Times New Roman" w:hAnsi="Times New Roman" w:eastAsia="宋体" w:cs="Times New Roman"/>
                <w:bCs/>
                <w:color w:val="auto"/>
                <w:sz w:val="24"/>
                <w:szCs w:val="24"/>
              </w:rPr>
              <w:t>）、烘干废气（G</w:t>
            </w:r>
            <w:r>
              <w:rPr>
                <w:rFonts w:hint="eastAsia" w:ascii="Times New Roman" w:hAnsi="Times New Roman" w:eastAsia="宋体" w:cs="Times New Roman"/>
                <w:bCs/>
                <w:color w:val="auto"/>
                <w:sz w:val="24"/>
                <w:szCs w:val="24"/>
                <w:vertAlign w:val="subscript"/>
              </w:rPr>
              <w:t>3</w:t>
            </w:r>
            <w:r>
              <w:rPr>
                <w:rFonts w:hint="eastAsia" w:ascii="Times New Roman" w:hAnsi="Times New Roman" w:eastAsia="宋体" w:cs="Times New Roman"/>
                <w:bCs/>
                <w:color w:val="auto"/>
                <w:sz w:val="24"/>
                <w:szCs w:val="24"/>
              </w:rPr>
              <w:t>）和危险废物暂存库废气。</w:t>
            </w:r>
          </w:p>
          <w:p w14:paraId="2E1DF54C">
            <w:pPr>
              <w:spacing w:line="358" w:lineRule="auto"/>
              <w:ind w:firstLine="480" w:firstLineChars="200"/>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喷底漆废气</w:t>
            </w:r>
            <w:r>
              <w:rPr>
                <w:rFonts w:hint="eastAsia" w:ascii="Times New Roman" w:hAnsi="Times New Roman" w:eastAsia="宋体" w:cs="Times New Roman"/>
                <w:bCs/>
                <w:color w:val="auto"/>
                <w:sz w:val="24"/>
                <w:szCs w:val="24"/>
              </w:rPr>
              <w:t>（G</w:t>
            </w:r>
            <w:r>
              <w:rPr>
                <w:rFonts w:hint="eastAsia" w:ascii="Times New Roman" w:hAnsi="Times New Roman" w:eastAsia="宋体" w:cs="Times New Roman"/>
                <w:bCs/>
                <w:color w:val="auto"/>
                <w:sz w:val="24"/>
                <w:szCs w:val="24"/>
                <w:vertAlign w:val="subscript"/>
              </w:rPr>
              <w:t>2</w:t>
            </w:r>
            <w:r>
              <w:rPr>
                <w:rFonts w:hint="eastAsia" w:ascii="Times New Roman" w:hAnsi="Times New Roman" w:eastAsia="宋体" w:cs="Times New Roman"/>
                <w:bCs/>
                <w:color w:val="auto"/>
                <w:sz w:val="24"/>
                <w:szCs w:val="24"/>
              </w:rPr>
              <w:t>）、</w:t>
            </w:r>
            <w:r>
              <w:rPr>
                <w:rFonts w:ascii="Times New Roman" w:hAnsi="Times New Roman" w:eastAsia="宋体" w:cs="Times New Roman"/>
                <w:bCs/>
                <w:color w:val="auto"/>
                <w:sz w:val="24"/>
                <w:szCs w:val="24"/>
              </w:rPr>
              <w:t>喷</w:t>
            </w:r>
            <w:r>
              <w:rPr>
                <w:rFonts w:hint="eastAsia" w:ascii="Times New Roman" w:hAnsi="Times New Roman" w:eastAsia="宋体" w:cs="Times New Roman"/>
                <w:bCs/>
                <w:color w:val="auto"/>
                <w:sz w:val="24"/>
                <w:szCs w:val="24"/>
              </w:rPr>
              <w:t>面</w:t>
            </w:r>
            <w:r>
              <w:rPr>
                <w:rFonts w:ascii="Times New Roman" w:hAnsi="Times New Roman" w:eastAsia="宋体" w:cs="Times New Roman"/>
                <w:bCs/>
                <w:color w:val="auto"/>
                <w:sz w:val="24"/>
                <w:szCs w:val="24"/>
              </w:rPr>
              <w:t>漆废气</w:t>
            </w:r>
            <w:r>
              <w:rPr>
                <w:rFonts w:hint="eastAsia" w:ascii="Times New Roman" w:hAnsi="Times New Roman" w:eastAsia="宋体" w:cs="Times New Roman"/>
                <w:bCs/>
                <w:color w:val="auto"/>
                <w:sz w:val="24"/>
                <w:szCs w:val="24"/>
              </w:rPr>
              <w:t>（G</w:t>
            </w:r>
            <w:r>
              <w:rPr>
                <w:rFonts w:hint="eastAsia" w:ascii="Times New Roman" w:hAnsi="Times New Roman" w:eastAsia="宋体" w:cs="Times New Roman"/>
                <w:bCs/>
                <w:color w:val="auto"/>
                <w:sz w:val="24"/>
                <w:szCs w:val="24"/>
                <w:vertAlign w:val="subscript"/>
              </w:rPr>
              <w:t>5</w:t>
            </w:r>
            <w:r>
              <w:rPr>
                <w:rFonts w:hint="eastAsia" w:ascii="Times New Roman" w:hAnsi="Times New Roman" w:eastAsia="宋体" w:cs="Times New Roman"/>
                <w:bCs/>
                <w:color w:val="auto"/>
                <w:sz w:val="24"/>
                <w:szCs w:val="24"/>
              </w:rPr>
              <w:t>）经</w:t>
            </w:r>
            <w:r>
              <w:rPr>
                <w:rFonts w:hint="eastAsia" w:ascii="Times New Roman" w:hAnsi="Times New Roman" w:eastAsia="宋体" w:cs="Times New Roman"/>
                <w:bCs/>
                <w:color w:val="auto"/>
                <w:sz w:val="24"/>
                <w:szCs w:val="24"/>
                <w:lang w:val="en-US" w:eastAsia="zh-CN"/>
              </w:rPr>
              <w:t>负压</w:t>
            </w:r>
            <w:r>
              <w:rPr>
                <w:rFonts w:hint="eastAsia" w:ascii="Times New Roman" w:hAnsi="Times New Roman" w:eastAsia="宋体" w:cs="Times New Roman"/>
                <w:bCs/>
                <w:color w:val="auto"/>
                <w:sz w:val="24"/>
                <w:szCs w:val="24"/>
              </w:rPr>
              <w:t>收集后通过“水帘除漆雾装置+两级过滤棉”与经密闭车间负压收集后的调底漆废气（G</w:t>
            </w:r>
            <w:r>
              <w:rPr>
                <w:rFonts w:hint="eastAsia" w:ascii="Times New Roman" w:hAnsi="Times New Roman" w:eastAsia="宋体" w:cs="Times New Roman"/>
                <w:bCs/>
                <w:color w:val="auto"/>
                <w:sz w:val="24"/>
                <w:szCs w:val="24"/>
                <w:vertAlign w:val="subscript"/>
              </w:rPr>
              <w:t>1</w:t>
            </w:r>
            <w:r>
              <w:rPr>
                <w:rFonts w:hint="eastAsia" w:ascii="Times New Roman" w:hAnsi="Times New Roman" w:eastAsia="宋体" w:cs="Times New Roman"/>
                <w:bCs/>
                <w:color w:val="auto"/>
                <w:sz w:val="24"/>
                <w:szCs w:val="24"/>
              </w:rPr>
              <w:t>）、调面漆废气（G</w:t>
            </w:r>
            <w:r>
              <w:rPr>
                <w:rFonts w:hint="eastAsia" w:ascii="Times New Roman" w:hAnsi="Times New Roman" w:eastAsia="宋体" w:cs="Times New Roman"/>
                <w:bCs/>
                <w:color w:val="auto"/>
                <w:sz w:val="24"/>
                <w:szCs w:val="24"/>
                <w:vertAlign w:val="subscript"/>
              </w:rPr>
              <w:t>2</w:t>
            </w:r>
            <w:r>
              <w:rPr>
                <w:rFonts w:hint="eastAsia" w:ascii="Times New Roman" w:hAnsi="Times New Roman" w:eastAsia="宋体" w:cs="Times New Roman"/>
                <w:bCs/>
                <w:color w:val="auto"/>
                <w:sz w:val="24"/>
                <w:szCs w:val="24"/>
              </w:rPr>
              <w:t>）、烘干废气（G</w:t>
            </w:r>
            <w:r>
              <w:rPr>
                <w:rFonts w:hint="eastAsia" w:ascii="Times New Roman" w:hAnsi="Times New Roman" w:eastAsia="宋体" w:cs="Times New Roman"/>
                <w:bCs/>
                <w:color w:val="auto"/>
                <w:sz w:val="24"/>
                <w:szCs w:val="24"/>
                <w:vertAlign w:val="subscript"/>
              </w:rPr>
              <w:t>3</w:t>
            </w:r>
            <w:r>
              <w:rPr>
                <w:rFonts w:hint="eastAsia" w:ascii="Times New Roman" w:hAnsi="Times New Roman" w:eastAsia="宋体" w:cs="Times New Roman"/>
                <w:bCs/>
                <w:color w:val="auto"/>
                <w:sz w:val="24"/>
                <w:szCs w:val="24"/>
              </w:rPr>
              <w:t>）、危险废物暂存库废气一并经“两级活性炭吸附装置”（TA001）处理后由20m高排气筒DA001排放。</w:t>
            </w:r>
          </w:p>
          <w:p w14:paraId="6E8694D8">
            <w:pPr>
              <w:spacing w:line="360" w:lineRule="auto"/>
              <w:ind w:firstLine="482" w:firstLineChars="200"/>
              <w:jc w:val="left"/>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（2）废气处理可行性分析</w:t>
            </w:r>
          </w:p>
          <w:p w14:paraId="1944F18C">
            <w:pPr>
              <w:widowControl/>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参照《</w:t>
            </w:r>
            <w:r>
              <w:rPr>
                <w:rFonts w:ascii="Times New Roman" w:hAnsi="Times New Roman" w:cs="Times New Roman"/>
                <w:color w:val="auto"/>
                <w:sz w:val="24"/>
                <w:szCs w:val="24"/>
              </w:rPr>
              <w:t>排污许可证申请与核发技术规范</w:t>
            </w:r>
            <w:r>
              <w:rPr>
                <w:rFonts w:hint="eastAsia" w:ascii="Times New Roman" w:hAnsi="Times New Roman" w:cs="Times New Roman"/>
                <w:color w:val="auto"/>
                <w:sz w:val="24"/>
                <w:szCs w:val="24"/>
              </w:rPr>
              <w:t xml:space="preserve"> 总则》（HJ942-2018）、《</w:t>
            </w:r>
            <w:r>
              <w:rPr>
                <w:rFonts w:ascii="Times New Roman" w:hAnsi="Times New Roman" w:cs="Times New Roman"/>
                <w:color w:val="auto"/>
                <w:sz w:val="24"/>
                <w:szCs w:val="24"/>
              </w:rPr>
              <w:t>排污许可证申请与核发技术规范</w:t>
            </w:r>
            <w:r>
              <w:rPr>
                <w:rFonts w:hint="eastAsia" w:ascii="Times New Roman" w:hAnsi="Times New Roman" w:cs="Times New Roman"/>
                <w:color w:val="auto"/>
                <w:sz w:val="24"/>
                <w:szCs w:val="24"/>
              </w:rPr>
              <w:t xml:space="preserve"> </w:t>
            </w:r>
            <w:r>
              <w:rPr>
                <w:rFonts w:hint="eastAsia" w:ascii="Times New Roman" w:hAnsi="Times New Roman" w:cs="Times New Roman"/>
                <w:color w:val="auto"/>
                <w:sz w:val="24"/>
                <w:szCs w:val="24"/>
                <w:lang w:val="en-US" w:eastAsia="zh-CN"/>
              </w:rPr>
              <w:t>橡胶和塑料制品工</w:t>
            </w:r>
            <w:r>
              <w:rPr>
                <w:rFonts w:hint="eastAsia" w:ascii="Times New Roman" w:hAnsi="Times New Roman" w:cs="Times New Roman"/>
                <w:color w:val="auto"/>
                <w:sz w:val="24"/>
                <w:szCs w:val="24"/>
              </w:rPr>
              <w:t>业》（</w:t>
            </w:r>
            <w:r>
              <w:rPr>
                <w:rFonts w:ascii="Times New Roman" w:hAnsi="Times New Roman" w:cs="Times New Roman"/>
                <w:color w:val="auto"/>
                <w:sz w:val="24"/>
                <w:szCs w:val="24"/>
              </w:rPr>
              <w:t>HJ</w:t>
            </w:r>
            <w:r>
              <w:rPr>
                <w:rFonts w:hint="eastAsia" w:ascii="Times New Roman" w:hAnsi="Times New Roman" w:cs="Times New Roman"/>
                <w:color w:val="auto"/>
                <w:sz w:val="24"/>
                <w:szCs w:val="24"/>
                <w:lang w:val="en-US" w:eastAsia="zh-CN"/>
              </w:rPr>
              <w:t>1122</w:t>
            </w:r>
            <w:r>
              <w:rPr>
                <w:rFonts w:hint="eastAsia" w:ascii="Times New Roman" w:hAnsi="Times New Roman" w:cs="Times New Roman"/>
                <w:color w:val="auto"/>
                <w:sz w:val="24"/>
                <w:szCs w:val="24"/>
              </w:rPr>
              <w:t>-</w:t>
            </w:r>
            <w:r>
              <w:rPr>
                <w:rFonts w:ascii="Times New Roman" w:hAnsi="Times New Roman" w:cs="Times New Roman"/>
                <w:color w:val="auto"/>
                <w:sz w:val="24"/>
                <w:szCs w:val="24"/>
              </w:rPr>
              <w:t>20</w:t>
            </w:r>
            <w:r>
              <w:rPr>
                <w:rFonts w:hint="eastAsia" w:ascii="Times New Roman" w:hAnsi="Times New Roman" w:cs="Times New Roman"/>
                <w:color w:val="auto"/>
                <w:sz w:val="24"/>
                <w:szCs w:val="24"/>
                <w:lang w:val="en-US" w:eastAsia="zh-CN"/>
              </w:rPr>
              <w:t>20</w:t>
            </w:r>
            <w:r>
              <w:rPr>
                <w:rFonts w:hint="eastAsia" w:ascii="Times New Roman" w:hAnsi="Times New Roman" w:cs="Times New Roman"/>
                <w:color w:val="auto"/>
                <w:sz w:val="24"/>
                <w:szCs w:val="24"/>
              </w:rPr>
              <w:t>）中废气污染防治可行技术，分析见下表。</w:t>
            </w:r>
          </w:p>
          <w:p w14:paraId="3245EB48">
            <w:pPr>
              <w:widowControl/>
              <w:spacing w:line="360" w:lineRule="auto"/>
              <w:jc w:val="center"/>
              <w:rPr>
                <w:rFonts w:ascii="Times New Roman" w:hAnsi="Times New Roman" w:eastAsia="黑体" w:cs="Times New Roman"/>
                <w:color w:val="auto"/>
                <w:sz w:val="24"/>
                <w:szCs w:val="24"/>
              </w:rPr>
            </w:pPr>
            <w:r>
              <w:rPr>
                <w:rFonts w:ascii="Times New Roman" w:hAnsi="黑体" w:eastAsia="黑体" w:cs="Times New Roman"/>
                <w:color w:val="auto"/>
                <w:sz w:val="24"/>
                <w:szCs w:val="24"/>
              </w:rPr>
              <w:t>表</w:t>
            </w:r>
            <w:r>
              <w:rPr>
                <w:rFonts w:ascii="Times New Roman" w:hAnsi="Times New Roman" w:eastAsia="黑体" w:cs="Times New Roman"/>
                <w:color w:val="auto"/>
                <w:sz w:val="24"/>
                <w:szCs w:val="24"/>
              </w:rPr>
              <w:t>4-</w:t>
            </w:r>
            <w:r>
              <w:rPr>
                <w:rFonts w:hint="eastAsia" w:ascii="Times New Roman" w:hAnsi="Times New Roman" w:eastAsia="黑体" w:cs="Times New Roman"/>
                <w:color w:val="auto"/>
                <w:sz w:val="24"/>
                <w:szCs w:val="24"/>
              </w:rPr>
              <w:t xml:space="preserve">7  </w:t>
            </w:r>
            <w:r>
              <w:rPr>
                <w:rFonts w:hint="eastAsia" w:ascii="Times New Roman" w:hAnsi="黑体" w:eastAsia="黑体" w:cs="Times New Roman"/>
                <w:color w:val="auto"/>
                <w:sz w:val="24"/>
                <w:szCs w:val="24"/>
              </w:rPr>
              <w:t>喷漆、烘干废气</w:t>
            </w:r>
            <w:r>
              <w:rPr>
                <w:rFonts w:ascii="Times New Roman" w:hAnsi="黑体" w:eastAsia="黑体" w:cs="Times New Roman"/>
                <w:color w:val="auto"/>
                <w:sz w:val="24"/>
                <w:szCs w:val="24"/>
              </w:rPr>
              <w:t>污染防治措施可行性技术分析表</w:t>
            </w:r>
          </w:p>
          <w:tbl>
            <w:tblPr>
              <w:tblStyle w:val="18"/>
              <w:tblW w:w="5000" w:type="pct"/>
              <w:jc w:val="center"/>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55"/>
              <w:gridCol w:w="1373"/>
              <w:gridCol w:w="1326"/>
              <w:gridCol w:w="2426"/>
              <w:gridCol w:w="1181"/>
              <w:gridCol w:w="717"/>
            </w:tblGrid>
            <w:tr w14:paraId="3A556C40">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75" w:hRule="atLeast"/>
                <w:jc w:val="center"/>
              </w:trPr>
              <w:tc>
                <w:tcPr>
                  <w:tcW w:w="366" w:type="pct"/>
                  <w:vAlign w:val="center"/>
                </w:tcPr>
                <w:p w14:paraId="26C57442">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生产单元</w:t>
                  </w:r>
                </w:p>
              </w:tc>
              <w:tc>
                <w:tcPr>
                  <w:tcW w:w="905" w:type="pct"/>
                  <w:vAlign w:val="center"/>
                </w:tcPr>
                <w:p w14:paraId="1F4D68DA">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主要设施名称</w:t>
                  </w:r>
                </w:p>
              </w:tc>
              <w:tc>
                <w:tcPr>
                  <w:tcW w:w="874" w:type="pct"/>
                  <w:vAlign w:val="center"/>
                </w:tcPr>
                <w:p w14:paraId="25248CFC">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大气污染物</w:t>
                  </w:r>
                </w:p>
              </w:tc>
              <w:tc>
                <w:tcPr>
                  <w:tcW w:w="1600" w:type="pct"/>
                  <w:vAlign w:val="center"/>
                </w:tcPr>
                <w:p w14:paraId="3A20B67B">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推荐可行技术</w:t>
                  </w:r>
                </w:p>
              </w:tc>
              <w:tc>
                <w:tcPr>
                  <w:tcW w:w="779" w:type="pct"/>
                  <w:vAlign w:val="center"/>
                </w:tcPr>
                <w:p w14:paraId="033B58BE">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本项目防治措施</w:t>
                  </w:r>
                </w:p>
              </w:tc>
              <w:tc>
                <w:tcPr>
                  <w:tcW w:w="473" w:type="pct"/>
                  <w:vAlign w:val="center"/>
                </w:tcPr>
                <w:p w14:paraId="440B8F47">
                  <w:pPr>
                    <w:widowControl/>
                    <w:spacing w:line="276" w:lineRule="auto"/>
                    <w:jc w:val="center"/>
                    <w:rPr>
                      <w:rFonts w:ascii="Times New Roman" w:hAnsi="Times New Roman" w:cs="Times New Roman"/>
                      <w:b/>
                      <w:color w:val="auto"/>
                      <w:szCs w:val="21"/>
                    </w:rPr>
                  </w:pPr>
                  <w:r>
                    <w:rPr>
                      <w:rFonts w:ascii="Times New Roman" w:hAnsi="Times New Roman" w:cs="Times New Roman"/>
                      <w:b/>
                      <w:color w:val="auto"/>
                      <w:szCs w:val="21"/>
                    </w:rPr>
                    <w:t>是否为可行性技术</w:t>
                  </w:r>
                </w:p>
              </w:tc>
            </w:tr>
            <w:tr w14:paraId="6A434933">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1" w:hRule="atLeast"/>
                <w:jc w:val="center"/>
              </w:trPr>
              <w:tc>
                <w:tcPr>
                  <w:tcW w:w="366" w:type="pct"/>
                  <w:vMerge w:val="restart"/>
                  <w:vAlign w:val="center"/>
                </w:tcPr>
                <w:p w14:paraId="785AA2C1">
                  <w:pPr>
                    <w:widowControl/>
                    <w:spacing w:line="276" w:lineRule="auto"/>
                    <w:jc w:val="center"/>
                    <w:rPr>
                      <w:rFonts w:ascii="Times New Roman" w:cs="Times New Roman"/>
                      <w:color w:val="auto"/>
                      <w:szCs w:val="21"/>
                      <w:highlight w:val="none"/>
                    </w:rPr>
                  </w:pPr>
                  <w:r>
                    <w:rPr>
                      <w:rFonts w:ascii="Times New Roman" w:cs="Times New Roman"/>
                      <w:color w:val="auto"/>
                      <w:szCs w:val="21"/>
                      <w:highlight w:val="none"/>
                    </w:rPr>
                    <w:t>喷漆</w:t>
                  </w:r>
                </w:p>
              </w:tc>
              <w:tc>
                <w:tcPr>
                  <w:tcW w:w="905" w:type="pct"/>
                  <w:vMerge w:val="restart"/>
                  <w:vAlign w:val="center"/>
                </w:tcPr>
                <w:p w14:paraId="515D1770">
                  <w:pPr>
                    <w:widowControl/>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喷底漆</w:t>
                  </w:r>
                  <w:r>
                    <w:rPr>
                      <w:rFonts w:ascii="Times New Roman" w:hAnsi="Times New Roman" w:cs="Times New Roman"/>
                      <w:color w:val="auto"/>
                      <w:szCs w:val="21"/>
                      <w:highlight w:val="none"/>
                    </w:rPr>
                    <w:t>房、喷面漆房、</w:t>
                  </w:r>
                  <w:r>
                    <w:rPr>
                      <w:rFonts w:hint="eastAsia" w:ascii="Times New Roman" w:hAnsi="Times New Roman" w:cs="Times New Roman"/>
                      <w:color w:val="auto"/>
                      <w:szCs w:val="21"/>
                      <w:highlight w:val="none"/>
                    </w:rPr>
                    <w:t>烘烤箱</w:t>
                  </w:r>
                </w:p>
              </w:tc>
              <w:tc>
                <w:tcPr>
                  <w:tcW w:w="874" w:type="pct"/>
                  <w:vMerge w:val="restart"/>
                  <w:vAlign w:val="center"/>
                </w:tcPr>
                <w:p w14:paraId="4C9A9601">
                  <w:pPr>
                    <w:widowControl/>
                    <w:spacing w:line="276" w:lineRule="auto"/>
                    <w:jc w:val="center"/>
                    <w:rPr>
                      <w:rFonts w:ascii="Times New Roman" w:hAnsi="Times New Roman" w:cs="Times New Roman"/>
                      <w:color w:val="auto"/>
                      <w:szCs w:val="21"/>
                      <w:highlight w:val="none"/>
                    </w:rPr>
                  </w:pPr>
                  <w:r>
                    <w:rPr>
                      <w:rFonts w:ascii="Times New Roman" w:hAnsi="Times New Roman" w:cs="Times New Roman"/>
                      <w:color w:val="auto"/>
                      <w:szCs w:val="21"/>
                      <w:highlight w:val="none"/>
                    </w:rPr>
                    <w:t>颗粒物（漆雾）</w:t>
                  </w:r>
                  <w:r>
                    <w:rPr>
                      <w:rFonts w:hint="eastAsia" w:ascii="Times New Roman" w:hAnsi="Times New Roman" w:cs="Times New Roman"/>
                      <w:color w:val="auto"/>
                      <w:szCs w:val="21"/>
                      <w:highlight w:val="none"/>
                      <w:lang w:eastAsia="zh-CN"/>
                    </w:rPr>
                    <w:t>、</w:t>
                  </w:r>
                  <w:r>
                    <w:rPr>
                      <w:rFonts w:ascii="Times New Roman" w:hAnsi="Times New Roman" w:cs="Times New Roman"/>
                      <w:color w:val="auto"/>
                      <w:szCs w:val="21"/>
                      <w:highlight w:val="none"/>
                    </w:rPr>
                    <w:t>非甲烷总烃</w:t>
                  </w:r>
                </w:p>
              </w:tc>
              <w:tc>
                <w:tcPr>
                  <w:tcW w:w="1600" w:type="pct"/>
                  <w:vMerge w:val="restart"/>
                  <w:vAlign w:val="center"/>
                </w:tcPr>
                <w:p w14:paraId="0AE024C9">
                  <w:pPr>
                    <w:widowControl/>
                    <w:spacing w:line="276" w:lineRule="auto"/>
                    <w:jc w:val="center"/>
                    <w:rPr>
                      <w:rFonts w:hint="default" w:ascii="Times New Roman" w:hAnsi="Times New Roman" w:eastAsia="宋体" w:cs="Times New Roman"/>
                      <w:snapToGrid w:val="0"/>
                      <w:color w:val="auto"/>
                      <w:kern w:val="21"/>
                      <w:szCs w:val="21"/>
                      <w:highlight w:val="none"/>
                      <w:lang w:val="en-US" w:eastAsia="zh-CN"/>
                    </w:rPr>
                  </w:pPr>
                  <w:r>
                    <w:rPr>
                      <w:rFonts w:hint="eastAsia" w:ascii="Times New Roman" w:hAnsi="Times New Roman" w:eastAsia="宋体" w:cs="Times New Roman"/>
                      <w:snapToGrid w:val="0"/>
                      <w:color w:val="auto"/>
                      <w:kern w:val="21"/>
                      <w:szCs w:val="21"/>
                      <w:highlight w:val="none"/>
                      <w:lang w:val="en-US" w:eastAsia="zh-CN"/>
                    </w:rPr>
                    <w:t>袋式除尘；滤筒/滤芯除尘；喷淋；吸附；吸附浓缩+热力燃烧/催化燃烧</w:t>
                  </w:r>
                </w:p>
              </w:tc>
              <w:tc>
                <w:tcPr>
                  <w:tcW w:w="779" w:type="pct"/>
                  <w:vAlign w:val="center"/>
                </w:tcPr>
                <w:p w14:paraId="74916563">
                  <w:pPr>
                    <w:widowControl/>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水帘除漆雾装置</w:t>
                  </w:r>
                </w:p>
              </w:tc>
              <w:tc>
                <w:tcPr>
                  <w:tcW w:w="473" w:type="pct"/>
                  <w:vAlign w:val="center"/>
                </w:tcPr>
                <w:p w14:paraId="65767960">
                  <w:pPr>
                    <w:widowControl/>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是</w:t>
                  </w:r>
                </w:p>
              </w:tc>
            </w:tr>
            <w:tr w14:paraId="11337946">
              <w:tblPrEx>
                <w:tblBorders>
                  <w:top w:val="single" w:color="000000" w:themeColor="text1" w:sz="12" w:space="0"/>
                  <w:left w:val="none" w:color="auto" w:sz="0" w:space="0"/>
                  <w:bottom w:val="single" w:color="000000" w:themeColor="text1" w:sz="12" w:space="0"/>
                  <w:right w:val="none" w:color="auto" w:sz="0"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1" w:hRule="atLeast"/>
                <w:jc w:val="center"/>
              </w:trPr>
              <w:tc>
                <w:tcPr>
                  <w:tcW w:w="366" w:type="pct"/>
                  <w:vMerge w:val="continue"/>
                  <w:vAlign w:val="center"/>
                </w:tcPr>
                <w:p w14:paraId="02E77D06">
                  <w:pPr>
                    <w:widowControl/>
                    <w:spacing w:line="276" w:lineRule="auto"/>
                    <w:jc w:val="center"/>
                    <w:rPr>
                      <w:rFonts w:ascii="Times New Roman" w:cs="Times New Roman"/>
                      <w:color w:val="auto"/>
                      <w:szCs w:val="21"/>
                      <w:highlight w:val="none"/>
                    </w:rPr>
                  </w:pPr>
                </w:p>
              </w:tc>
              <w:tc>
                <w:tcPr>
                  <w:tcW w:w="905" w:type="pct"/>
                  <w:vMerge w:val="continue"/>
                  <w:vAlign w:val="center"/>
                </w:tcPr>
                <w:p w14:paraId="0FD6E4EA">
                  <w:pPr>
                    <w:widowControl/>
                    <w:spacing w:line="276" w:lineRule="auto"/>
                    <w:jc w:val="center"/>
                    <w:rPr>
                      <w:rFonts w:ascii="Times New Roman" w:hAnsi="Times New Roman" w:cs="Times New Roman"/>
                      <w:color w:val="auto"/>
                      <w:szCs w:val="21"/>
                      <w:highlight w:val="none"/>
                    </w:rPr>
                  </w:pPr>
                </w:p>
              </w:tc>
              <w:tc>
                <w:tcPr>
                  <w:tcW w:w="874" w:type="pct"/>
                  <w:vMerge w:val="continue"/>
                  <w:vAlign w:val="center"/>
                </w:tcPr>
                <w:p w14:paraId="679AE274">
                  <w:pPr>
                    <w:widowControl/>
                    <w:spacing w:line="276" w:lineRule="auto"/>
                    <w:jc w:val="center"/>
                    <w:rPr>
                      <w:rFonts w:ascii="Times New Roman" w:hAnsi="Times New Roman" w:cs="Times New Roman"/>
                      <w:color w:val="auto"/>
                      <w:szCs w:val="21"/>
                      <w:highlight w:val="none"/>
                    </w:rPr>
                  </w:pPr>
                </w:p>
              </w:tc>
              <w:tc>
                <w:tcPr>
                  <w:tcW w:w="1600" w:type="pct"/>
                  <w:vMerge w:val="continue"/>
                  <w:vAlign w:val="center"/>
                </w:tcPr>
                <w:p w14:paraId="7C2E48DE">
                  <w:pPr>
                    <w:widowControl/>
                    <w:spacing w:line="276" w:lineRule="auto"/>
                    <w:jc w:val="center"/>
                    <w:rPr>
                      <w:rFonts w:hint="default" w:ascii="Times New Roman" w:hAnsi="Times New Roman" w:eastAsia="宋体" w:cs="Times New Roman"/>
                      <w:snapToGrid w:val="0"/>
                      <w:color w:val="auto"/>
                      <w:kern w:val="21"/>
                      <w:szCs w:val="21"/>
                      <w:highlight w:val="none"/>
                      <w:lang w:val="en-US" w:eastAsia="zh-CN"/>
                    </w:rPr>
                  </w:pPr>
                </w:p>
              </w:tc>
              <w:tc>
                <w:tcPr>
                  <w:tcW w:w="779" w:type="pct"/>
                  <w:vAlign w:val="center"/>
                </w:tcPr>
                <w:p w14:paraId="17F7FD5C">
                  <w:pPr>
                    <w:widowControl/>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两级活性炭吸附装置</w:t>
                  </w:r>
                </w:p>
              </w:tc>
              <w:tc>
                <w:tcPr>
                  <w:tcW w:w="473" w:type="pct"/>
                  <w:vAlign w:val="center"/>
                </w:tcPr>
                <w:p w14:paraId="4DB22DAB">
                  <w:pPr>
                    <w:widowControl/>
                    <w:spacing w:line="276" w:lineRule="auto"/>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lang w:val="en-US" w:eastAsia="zh-CN"/>
                    </w:rPr>
                    <w:t>是</w:t>
                  </w:r>
                </w:p>
              </w:tc>
            </w:tr>
          </w:tbl>
          <w:p w14:paraId="0E9020E9">
            <w:pPr>
              <w:widowControl/>
              <w:spacing w:line="360" w:lineRule="auto"/>
              <w:ind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rPr>
              <w:t>本项目喷漆</w:t>
            </w:r>
            <w:r>
              <w:rPr>
                <w:rFonts w:hint="eastAsia" w:ascii="Times New Roman" w:hAnsi="Times New Roman" w:cs="Times New Roman"/>
                <w:color w:val="auto"/>
                <w:sz w:val="24"/>
                <w:szCs w:val="24"/>
              </w:rPr>
              <w:t>废气中的漆雾采用</w:t>
            </w:r>
            <w:r>
              <w:rPr>
                <w:rFonts w:ascii="Times New Roman" w:hAnsi="Times New Roman" w:cs="Times New Roman"/>
                <w:color w:val="auto"/>
                <w:sz w:val="24"/>
                <w:szCs w:val="24"/>
              </w:rPr>
              <w:t>“水帘除漆雾装置+两级过滤棉”处理</w:t>
            </w:r>
            <w:r>
              <w:rPr>
                <w:rFonts w:hint="eastAsia" w:ascii="Times New Roman" w:hAnsi="Times New Roman" w:cs="Times New Roman"/>
                <w:color w:val="auto"/>
                <w:sz w:val="24"/>
                <w:szCs w:val="24"/>
                <w:lang w:val="en-US" w:eastAsia="zh-CN"/>
              </w:rPr>
              <w:t>和</w:t>
            </w:r>
            <w:r>
              <w:rPr>
                <w:rFonts w:ascii="Times New Roman" w:hAnsi="Times New Roman" w:cs="Times New Roman"/>
                <w:color w:val="auto"/>
                <w:sz w:val="24"/>
                <w:szCs w:val="24"/>
                <w:highlight w:val="none"/>
              </w:rPr>
              <w:t>喷漆</w:t>
            </w:r>
            <w:r>
              <w:rPr>
                <w:rFonts w:hint="eastAsia" w:ascii="Times New Roman" w:hAnsi="Times New Roman" w:cs="Times New Roman"/>
                <w:color w:val="auto"/>
                <w:sz w:val="24"/>
                <w:szCs w:val="24"/>
                <w:highlight w:val="none"/>
              </w:rPr>
              <w:t>废气中的非甲烷总烃和</w:t>
            </w:r>
            <w:r>
              <w:rPr>
                <w:rFonts w:ascii="Times New Roman" w:hAnsi="Times New Roman" w:cs="Times New Roman"/>
                <w:color w:val="auto"/>
                <w:sz w:val="24"/>
                <w:szCs w:val="24"/>
                <w:highlight w:val="none"/>
              </w:rPr>
              <w:t>烘干废气采用“两级活性炭吸附装置”处理</w:t>
            </w:r>
            <w:r>
              <w:rPr>
                <w:rFonts w:hint="eastAsia" w:ascii="Times New Roman" w:hAnsi="Times New Roman" w:cs="Times New Roman"/>
                <w:color w:val="auto"/>
                <w:sz w:val="24"/>
                <w:szCs w:val="24"/>
                <w:highlight w:val="none"/>
              </w:rPr>
              <w:t>，</w:t>
            </w:r>
            <w:r>
              <w:rPr>
                <w:rFonts w:hint="eastAsia" w:ascii="Times New Roman" w:hAnsi="Times New Roman" w:cs="Times New Roman"/>
                <w:color w:val="auto"/>
                <w:sz w:val="24"/>
                <w:szCs w:val="24"/>
                <w:highlight w:val="none"/>
                <w:lang w:val="en-US" w:eastAsia="zh-CN"/>
              </w:rPr>
              <w:t>均</w:t>
            </w:r>
            <w:r>
              <w:rPr>
                <w:rFonts w:hint="eastAsia" w:ascii="Times New Roman" w:hAnsi="Times New Roman" w:cs="Times New Roman"/>
                <w:color w:val="auto"/>
                <w:sz w:val="24"/>
                <w:szCs w:val="24"/>
                <w:highlight w:val="none"/>
              </w:rPr>
              <w:t>为可行性技术</w:t>
            </w:r>
            <w:r>
              <w:rPr>
                <w:rFonts w:hint="eastAsia" w:ascii="Times New Roman" w:hAnsi="Times New Roman" w:cs="Times New Roman"/>
                <w:color w:val="auto"/>
                <w:sz w:val="24"/>
                <w:szCs w:val="24"/>
                <w:highlight w:val="none"/>
                <w:lang w:eastAsia="zh-CN"/>
              </w:rPr>
              <w:t>。</w:t>
            </w:r>
          </w:p>
          <w:p w14:paraId="1CA49B84">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本项目活性炭吸附装置设计应满足《吸附法工业有机废气治理工程技术规范》（HJ2026-2013）要求，具体如下：</w:t>
            </w:r>
          </w:p>
          <w:p w14:paraId="01B0415A">
            <w:pPr>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1）</w:t>
            </w:r>
            <w:r>
              <w:rPr>
                <w:rFonts w:ascii="Times New Roman" w:hAnsi="Times New Roman" w:eastAsia="宋体" w:cs="Times New Roman"/>
                <w:color w:val="auto"/>
                <w:sz w:val="24"/>
                <w:szCs w:val="24"/>
              </w:rPr>
              <w:t>进入吸附装置的颗粒物含量宜低于1mg/m</w:t>
            </w:r>
            <w:r>
              <w:rPr>
                <w:rFonts w:ascii="Times New Roman" w:hAnsi="Times New Roman" w:eastAsia="宋体" w:cs="Times New Roman"/>
                <w:color w:val="auto"/>
                <w:sz w:val="24"/>
                <w:szCs w:val="24"/>
                <w:vertAlign w:val="superscript"/>
              </w:rPr>
              <w:t>3</w:t>
            </w:r>
            <w:r>
              <w:rPr>
                <w:rFonts w:ascii="Times New Roman" w:hAnsi="Times New Roman" w:eastAsia="宋体" w:cs="Times New Roman"/>
                <w:color w:val="auto"/>
                <w:sz w:val="24"/>
                <w:szCs w:val="24"/>
              </w:rPr>
              <w:t>；</w:t>
            </w:r>
          </w:p>
          <w:p w14:paraId="7AFF327F">
            <w:pPr>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2）</w:t>
            </w:r>
            <w:r>
              <w:rPr>
                <w:rFonts w:ascii="Times New Roman" w:hAnsi="Times New Roman" w:eastAsia="宋体" w:cs="Times New Roman"/>
                <w:color w:val="auto"/>
                <w:sz w:val="24"/>
                <w:szCs w:val="24"/>
              </w:rPr>
              <w:t>进入吸附装置的废气温度宜低于40℃；</w:t>
            </w:r>
          </w:p>
          <w:p w14:paraId="08704261">
            <w:pPr>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3）</w:t>
            </w:r>
            <w:r>
              <w:rPr>
                <w:rFonts w:ascii="Times New Roman" w:hAnsi="Times New Roman" w:eastAsia="宋体" w:cs="Times New Roman"/>
                <w:color w:val="auto"/>
                <w:sz w:val="24"/>
                <w:szCs w:val="24"/>
              </w:rPr>
              <w:t>当排气浓度不能满足设计或排放要求时应更换吸附剂；</w:t>
            </w:r>
          </w:p>
          <w:p w14:paraId="4DC1F5E8">
            <w:pPr>
              <w:widowControl/>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4）</w:t>
            </w:r>
            <w:r>
              <w:rPr>
                <w:rFonts w:ascii="Times New Roman" w:hAnsi="Times New Roman" w:eastAsia="宋体" w:cs="Times New Roman"/>
                <w:color w:val="auto"/>
                <w:sz w:val="24"/>
                <w:szCs w:val="24"/>
              </w:rPr>
              <w:t>活性炭碘值不得低于800毫克/克</w:t>
            </w:r>
            <w:r>
              <w:rPr>
                <w:rFonts w:hint="eastAsia" w:ascii="Times New Roman" w:hAnsi="Times New Roman" w:eastAsia="宋体" w:cs="Times New Roman"/>
                <w:color w:val="auto"/>
                <w:sz w:val="24"/>
                <w:szCs w:val="24"/>
              </w:rPr>
              <w:t>；</w:t>
            </w:r>
          </w:p>
          <w:p w14:paraId="51DC9B2C">
            <w:pPr>
              <w:widowControl/>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5）吸附装置的净化效率不得低于90%。</w:t>
            </w:r>
          </w:p>
          <w:p w14:paraId="3AB321D0">
            <w:pPr>
              <w:spacing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项目二级活性炭吸附装置采用蜂窝活性炭作为吸附介质，具有高吸附容量、净化效果好、风阻小等特点，其体积密度为0.5g/cm</w:t>
            </w:r>
            <w:r>
              <w:rPr>
                <w:rFonts w:hint="eastAsia" w:ascii="Times New Roman" w:hAnsi="Times New Roman" w:eastAsia="宋体" w:cs="Times New Roman"/>
                <w:color w:val="auto"/>
                <w:sz w:val="24"/>
                <w:szCs w:val="24"/>
                <w:vertAlign w:val="superscript"/>
              </w:rPr>
              <w:t>3</w:t>
            </w:r>
            <w:r>
              <w:rPr>
                <w:rFonts w:hint="eastAsia" w:ascii="Times New Roman" w:hAnsi="Times New Roman" w:eastAsia="宋体" w:cs="Times New Roman"/>
                <w:color w:val="auto"/>
                <w:sz w:val="24"/>
                <w:szCs w:val="24"/>
              </w:rPr>
              <w:t>、碘值为800mg/g、规格为100mm*100mm*100mm，选用2.4m×2.4m的活性炭箱作为本项目的吸附装置。</w:t>
            </w:r>
          </w:p>
          <w:p w14:paraId="7134BDAB">
            <w:pPr>
              <w:spacing w:line="360" w:lineRule="auto"/>
              <w:ind w:firstLine="482" w:firstLineChars="200"/>
              <w:rPr>
                <w:rFonts w:ascii="Times New Roman" w:hAnsi="Times New Roman" w:cs="Times New Roman"/>
                <w:b/>
                <w:color w:val="auto"/>
                <w:sz w:val="24"/>
              </w:rPr>
            </w:pPr>
            <w:r>
              <w:rPr>
                <w:rFonts w:hint="eastAsia" w:ascii="Times New Roman" w:hAnsi="Times New Roman" w:cs="Times New Roman"/>
                <w:b/>
                <w:color w:val="auto"/>
                <w:sz w:val="24"/>
              </w:rPr>
              <w:t>3、</w:t>
            </w:r>
            <w:r>
              <w:rPr>
                <w:rFonts w:ascii="Times New Roman" w:hAnsi="Times New Roman" w:cs="Times New Roman"/>
                <w:b/>
                <w:color w:val="auto"/>
                <w:sz w:val="24"/>
              </w:rPr>
              <w:t>监测计划</w:t>
            </w:r>
          </w:p>
          <w:p w14:paraId="3A3A4B44">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本项目生产</w:t>
            </w:r>
            <w:r>
              <w:rPr>
                <w:rFonts w:hint="eastAsia" w:ascii="Times New Roman" w:hAnsi="Times New Roman" w:cs="Times New Roman"/>
                <w:color w:val="auto"/>
                <w:sz w:val="24"/>
              </w:rPr>
              <w:t>汽车零部件</w:t>
            </w:r>
            <w:r>
              <w:rPr>
                <w:rFonts w:ascii="Times New Roman" w:hAnsi="Times New Roman" w:cs="Times New Roman"/>
                <w:color w:val="auto"/>
                <w:sz w:val="24"/>
              </w:rPr>
              <w:t>，根据《国民经济行业分类》（GB/T4754-2017），属于C</w:t>
            </w:r>
            <w:r>
              <w:rPr>
                <w:rFonts w:ascii="Times New Roman" w:hAnsi="Times New Roman" w:eastAsia="宋体" w:cs="Times New Roman"/>
                <w:color w:val="auto"/>
                <w:sz w:val="24"/>
              </w:rPr>
              <w:t>3670</w:t>
            </w:r>
            <w:r>
              <w:rPr>
                <w:rFonts w:hint="eastAsia" w:ascii="Times New Roman" w:hAnsi="Times New Roman" w:eastAsia="宋体" w:cs="Times New Roman"/>
                <w:color w:val="auto"/>
                <w:sz w:val="24"/>
              </w:rPr>
              <w:t>汽车零部件及配件制造</w:t>
            </w:r>
            <w:r>
              <w:rPr>
                <w:rFonts w:ascii="Times New Roman" w:hAnsi="Times New Roman" w:cs="Times New Roman"/>
                <w:color w:val="auto"/>
                <w:sz w:val="24"/>
              </w:rPr>
              <w:t>，根据《固定污染源排污许可分类管理名录》（2019年版）规定，企业属于登记管理，无需申领排污许可证，故亦无需开展自行监测；鉴于企业运营期有污染物排放，根据《排污单位自行监测技术指南总则》（HJ 819-2017）</w:t>
            </w:r>
            <w:r>
              <w:rPr>
                <w:rFonts w:hint="eastAsia" w:ascii="Times New Roman" w:hAnsi="Times New Roman" w:cs="Times New Roman"/>
                <w:color w:val="auto"/>
                <w:sz w:val="24"/>
              </w:rPr>
              <w:t>、</w:t>
            </w:r>
            <w:r>
              <w:rPr>
                <w:rFonts w:ascii="Times New Roman" w:hAnsi="Times New Roman" w:cs="Times New Roman"/>
                <w:color w:val="auto"/>
                <w:sz w:val="24"/>
              </w:rPr>
              <w:t>《排污</w:t>
            </w:r>
            <w:r>
              <w:rPr>
                <w:rFonts w:hint="eastAsia" w:ascii="Times New Roman" w:hAnsi="Times New Roman" w:cs="Times New Roman"/>
                <w:color w:val="auto"/>
                <w:sz w:val="24"/>
              </w:rPr>
              <w:t>单位</w:t>
            </w:r>
            <w:r>
              <w:rPr>
                <w:rFonts w:ascii="Times New Roman" w:hAnsi="Times New Roman" w:cs="Times New Roman"/>
                <w:color w:val="auto"/>
                <w:sz w:val="24"/>
              </w:rPr>
              <w:t>自行监测技术指南</w:t>
            </w:r>
            <w:r>
              <w:rPr>
                <w:rFonts w:hint="eastAsia" w:ascii="Times New Roman" w:hAnsi="Times New Roman" w:cs="Times New Roman"/>
                <w:color w:val="auto"/>
                <w:sz w:val="24"/>
              </w:rPr>
              <w:t xml:space="preserve"> 涂装</w:t>
            </w:r>
            <w:r>
              <w:rPr>
                <w:rFonts w:ascii="Times New Roman" w:hAnsi="Times New Roman" w:cs="Times New Roman"/>
                <w:color w:val="auto"/>
                <w:sz w:val="24"/>
              </w:rPr>
              <w:t>》（HJ</w:t>
            </w:r>
            <w:r>
              <w:rPr>
                <w:rFonts w:hint="eastAsia" w:ascii="Times New Roman" w:hAnsi="Times New Roman" w:cs="Times New Roman"/>
                <w:color w:val="auto"/>
                <w:sz w:val="24"/>
              </w:rPr>
              <w:t>1086-2020</w:t>
            </w:r>
            <w:r>
              <w:rPr>
                <w:rFonts w:ascii="Times New Roman" w:hAnsi="Times New Roman" w:cs="Times New Roman"/>
                <w:color w:val="auto"/>
                <w:sz w:val="24"/>
              </w:rPr>
              <w:t>）、</w:t>
            </w:r>
            <w:r>
              <w:rPr>
                <w:rFonts w:hint="eastAsia" w:ascii="Times New Roman" w:hAnsi="Times New Roman" w:cs="Times New Roman"/>
                <w:color w:val="auto"/>
                <w:sz w:val="24"/>
              </w:rPr>
              <w:t>《排污许可证申请与核发技术规范 汽车制造业》（HJ971-2018）要求</w:t>
            </w:r>
            <w:r>
              <w:rPr>
                <w:rFonts w:ascii="Times New Roman" w:hAnsi="Times New Roman" w:cs="Times New Roman"/>
                <w:color w:val="auto"/>
                <w:sz w:val="24"/>
              </w:rPr>
              <w:t>，本项目运行后，污染物废气监测计划如下表所示</w:t>
            </w:r>
            <w:r>
              <w:rPr>
                <w:rFonts w:hint="eastAsia" w:ascii="Times New Roman" w:hAnsi="Times New Roman" w:cs="Times New Roman"/>
                <w:color w:val="auto"/>
                <w:sz w:val="24"/>
              </w:rPr>
              <w:t>。</w:t>
            </w:r>
          </w:p>
          <w:p w14:paraId="5F04BF22">
            <w:pPr>
              <w:spacing w:line="360" w:lineRule="auto"/>
              <w:ind w:firstLine="480" w:firstLineChars="200"/>
              <w:jc w:val="center"/>
              <w:rPr>
                <w:rFonts w:ascii="Times New Roman" w:hAnsi="Times New Roman" w:eastAsia="黑体"/>
                <w:bCs/>
                <w:color w:val="auto"/>
              </w:rPr>
            </w:pPr>
            <w:r>
              <w:rPr>
                <w:rFonts w:ascii="Times New Roman" w:hAnsi="Times New Roman" w:eastAsia="黑体"/>
                <w:bCs/>
                <w:color w:val="auto"/>
                <w:sz w:val="24"/>
                <w:szCs w:val="24"/>
              </w:rPr>
              <w:t>表</w:t>
            </w:r>
            <w:r>
              <w:rPr>
                <w:rFonts w:hint="eastAsia" w:ascii="Times New Roman" w:hAnsi="Times New Roman" w:eastAsia="黑体" w:cs="Times New Roman"/>
                <w:bCs/>
                <w:color w:val="auto"/>
                <w:sz w:val="24"/>
                <w:szCs w:val="24"/>
              </w:rPr>
              <w:t xml:space="preserve">4-8  </w:t>
            </w:r>
            <w:r>
              <w:rPr>
                <w:rFonts w:ascii="Times New Roman" w:hAnsi="Times New Roman" w:eastAsia="黑体"/>
                <w:bCs/>
                <w:color w:val="auto"/>
                <w:sz w:val="24"/>
                <w:szCs w:val="24"/>
              </w:rPr>
              <w:t>废气监测计划一览表</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28"/>
              <w:gridCol w:w="1349"/>
              <w:gridCol w:w="1064"/>
              <w:gridCol w:w="3240"/>
            </w:tblGrid>
            <w:tr w14:paraId="23E2CF1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0" w:type="pct"/>
                  <w:vAlign w:val="center"/>
                </w:tcPr>
                <w:p w14:paraId="4A0F0AEC">
                  <w:pPr>
                    <w:spacing w:line="276" w:lineRule="auto"/>
                    <w:jc w:val="center"/>
                    <w:rPr>
                      <w:rFonts w:ascii="Times New Roman" w:hAnsi="Times New Roman" w:cs="Times New Roman"/>
                      <w:b/>
                      <w:color w:val="auto"/>
                      <w:szCs w:val="21"/>
                    </w:rPr>
                  </w:pPr>
                  <w:r>
                    <w:rPr>
                      <w:rFonts w:ascii="Times New Roman" w:cs="Times New Roman"/>
                      <w:b/>
                      <w:color w:val="auto"/>
                      <w:szCs w:val="21"/>
                    </w:rPr>
                    <w:t>类别</w:t>
                  </w:r>
                </w:p>
              </w:tc>
              <w:tc>
                <w:tcPr>
                  <w:tcW w:w="810" w:type="pct"/>
                  <w:vAlign w:val="center"/>
                </w:tcPr>
                <w:p w14:paraId="4998025D">
                  <w:pPr>
                    <w:spacing w:line="276" w:lineRule="auto"/>
                    <w:jc w:val="center"/>
                    <w:rPr>
                      <w:rFonts w:ascii="Times New Roman" w:hAnsi="Times New Roman" w:cs="Times New Roman"/>
                      <w:b/>
                      <w:color w:val="auto"/>
                      <w:szCs w:val="21"/>
                    </w:rPr>
                  </w:pPr>
                  <w:r>
                    <w:rPr>
                      <w:rFonts w:ascii="Times New Roman" w:cs="Times New Roman"/>
                      <w:b/>
                      <w:color w:val="auto"/>
                      <w:szCs w:val="21"/>
                    </w:rPr>
                    <w:t>监测点位</w:t>
                  </w:r>
                </w:p>
              </w:tc>
              <w:tc>
                <w:tcPr>
                  <w:tcW w:w="890" w:type="pct"/>
                  <w:vAlign w:val="center"/>
                </w:tcPr>
                <w:p w14:paraId="32E58FD0">
                  <w:pPr>
                    <w:spacing w:line="276" w:lineRule="auto"/>
                    <w:jc w:val="center"/>
                    <w:rPr>
                      <w:rFonts w:ascii="Times New Roman" w:hAnsi="Times New Roman" w:cs="Times New Roman"/>
                      <w:b/>
                      <w:color w:val="auto"/>
                      <w:szCs w:val="21"/>
                    </w:rPr>
                  </w:pPr>
                  <w:r>
                    <w:rPr>
                      <w:rFonts w:ascii="Times New Roman" w:cs="Times New Roman"/>
                      <w:b/>
                      <w:color w:val="auto"/>
                      <w:szCs w:val="21"/>
                    </w:rPr>
                    <w:t>监测因子</w:t>
                  </w:r>
                </w:p>
              </w:tc>
              <w:tc>
                <w:tcPr>
                  <w:tcW w:w="702" w:type="pct"/>
                  <w:vAlign w:val="center"/>
                </w:tcPr>
                <w:p w14:paraId="7D35EDCB">
                  <w:pPr>
                    <w:spacing w:line="276" w:lineRule="auto"/>
                    <w:jc w:val="center"/>
                    <w:rPr>
                      <w:rFonts w:ascii="Times New Roman" w:hAnsi="Times New Roman" w:cs="Times New Roman"/>
                      <w:b/>
                      <w:color w:val="auto"/>
                      <w:szCs w:val="21"/>
                    </w:rPr>
                  </w:pPr>
                  <w:r>
                    <w:rPr>
                      <w:rFonts w:ascii="Times New Roman" w:cs="Times New Roman"/>
                      <w:b/>
                      <w:color w:val="auto"/>
                      <w:szCs w:val="21"/>
                    </w:rPr>
                    <w:t>监测频次</w:t>
                  </w:r>
                </w:p>
              </w:tc>
              <w:tc>
                <w:tcPr>
                  <w:tcW w:w="2138" w:type="pct"/>
                  <w:vAlign w:val="center"/>
                </w:tcPr>
                <w:p w14:paraId="65D2CF3E">
                  <w:pPr>
                    <w:spacing w:line="276" w:lineRule="auto"/>
                    <w:jc w:val="center"/>
                    <w:rPr>
                      <w:rFonts w:ascii="Times New Roman" w:hAnsi="Times New Roman" w:cs="Times New Roman"/>
                      <w:b/>
                      <w:color w:val="auto"/>
                      <w:szCs w:val="21"/>
                    </w:rPr>
                  </w:pPr>
                  <w:r>
                    <w:rPr>
                      <w:rFonts w:ascii="Times New Roman" w:cs="Times New Roman"/>
                      <w:b/>
                      <w:color w:val="auto"/>
                      <w:szCs w:val="21"/>
                    </w:rPr>
                    <w:t>执行排放标准</w:t>
                  </w:r>
                </w:p>
              </w:tc>
            </w:tr>
            <w:tr w14:paraId="2708D48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460" w:type="pct"/>
                  <w:vMerge w:val="restart"/>
                  <w:vAlign w:val="center"/>
                </w:tcPr>
                <w:p w14:paraId="32D28EA4">
                  <w:pPr>
                    <w:widowControl/>
                    <w:spacing w:line="276" w:lineRule="auto"/>
                    <w:jc w:val="center"/>
                    <w:rPr>
                      <w:rFonts w:ascii="Times New Roman" w:hAnsi="Times New Roman" w:cs="Times New Roman"/>
                      <w:color w:val="auto"/>
                      <w:szCs w:val="21"/>
                    </w:rPr>
                  </w:pPr>
                  <w:r>
                    <w:rPr>
                      <w:rFonts w:ascii="Times New Roman" w:cs="Times New Roman"/>
                      <w:color w:val="auto"/>
                      <w:szCs w:val="21"/>
                    </w:rPr>
                    <w:t>有组织</w:t>
                  </w:r>
                </w:p>
              </w:tc>
              <w:tc>
                <w:tcPr>
                  <w:tcW w:w="810" w:type="pct"/>
                  <w:vMerge w:val="restart"/>
                  <w:vAlign w:val="center"/>
                </w:tcPr>
                <w:p w14:paraId="775BD52E">
                  <w:pPr>
                    <w:widowControl/>
                    <w:spacing w:line="276" w:lineRule="auto"/>
                    <w:jc w:val="center"/>
                    <w:rPr>
                      <w:color w:val="auto"/>
                    </w:rPr>
                  </w:pPr>
                  <w:r>
                    <w:rPr>
                      <w:rFonts w:ascii="Times New Roman" w:hAnsi="Times New Roman" w:cs="Times New Roman"/>
                      <w:color w:val="auto"/>
                      <w:szCs w:val="21"/>
                    </w:rPr>
                    <w:t>排气筒（</w:t>
                  </w:r>
                  <w:r>
                    <w:rPr>
                      <w:rFonts w:hint="eastAsia" w:ascii="Times New Roman" w:hAnsi="Times New Roman" w:cs="Times New Roman"/>
                      <w:color w:val="auto"/>
                      <w:szCs w:val="21"/>
                    </w:rPr>
                    <w:t>DA001</w:t>
                  </w:r>
                  <w:r>
                    <w:rPr>
                      <w:rFonts w:ascii="Times New Roman" w:hAnsi="Times New Roman" w:cs="Times New Roman"/>
                      <w:color w:val="auto"/>
                      <w:szCs w:val="21"/>
                    </w:rPr>
                    <w:t>）</w:t>
                  </w:r>
                </w:p>
              </w:tc>
              <w:tc>
                <w:tcPr>
                  <w:tcW w:w="890" w:type="pct"/>
                  <w:vAlign w:val="center"/>
                </w:tcPr>
                <w:p w14:paraId="5C86EEC3">
                  <w:pPr>
                    <w:spacing w:line="276" w:lineRule="auto"/>
                    <w:jc w:val="center"/>
                    <w:rPr>
                      <w:rFonts w:ascii="Times New Roman" w:hAnsi="Times New Roman" w:cs="Times New Roman"/>
                      <w:color w:val="auto"/>
                      <w:szCs w:val="21"/>
                    </w:rPr>
                  </w:pPr>
                  <w:r>
                    <w:rPr>
                      <w:rFonts w:ascii="Times New Roman" w:cs="Times New Roman"/>
                      <w:color w:val="auto"/>
                      <w:szCs w:val="21"/>
                    </w:rPr>
                    <w:t>颗粒物</w:t>
                  </w:r>
                </w:p>
              </w:tc>
              <w:tc>
                <w:tcPr>
                  <w:tcW w:w="702" w:type="pct"/>
                  <w:vAlign w:val="center"/>
                </w:tcPr>
                <w:p w14:paraId="12C40302">
                  <w:pPr>
                    <w:jc w:val="center"/>
                    <w:rPr>
                      <w:color w:val="auto"/>
                    </w:rPr>
                  </w:pPr>
                  <w:r>
                    <w:rPr>
                      <w:rFonts w:hint="eastAsia" w:ascii="Times New Roman" w:cs="Times New Roman"/>
                      <w:color w:val="auto"/>
                      <w:szCs w:val="21"/>
                    </w:rPr>
                    <w:t>1次/</w:t>
                  </w:r>
                  <w:r>
                    <w:rPr>
                      <w:rFonts w:ascii="Times New Roman" w:cs="Times New Roman"/>
                      <w:color w:val="auto"/>
                      <w:szCs w:val="21"/>
                    </w:rPr>
                    <w:t>年</w:t>
                  </w:r>
                </w:p>
              </w:tc>
              <w:tc>
                <w:tcPr>
                  <w:tcW w:w="2138" w:type="pct"/>
                  <w:vAlign w:val="center"/>
                </w:tcPr>
                <w:p w14:paraId="28431BA0">
                  <w:pPr>
                    <w:spacing w:line="276" w:lineRule="auto"/>
                    <w:jc w:val="center"/>
                    <w:rPr>
                      <w:rFonts w:ascii="Times New Roman" w:hAnsi="Times New Roman" w:cs="Times New Roman"/>
                      <w:color w:val="auto"/>
                      <w:szCs w:val="21"/>
                    </w:rPr>
                  </w:pPr>
                  <w:r>
                    <w:rPr>
                      <w:rFonts w:hint="eastAsia" w:ascii="Times New Roman" w:cs="Times New Roman"/>
                      <w:color w:val="auto"/>
                      <w:szCs w:val="21"/>
                    </w:rPr>
                    <w:t>《大气污染物综合排放标准》</w:t>
                  </w:r>
                  <w:r>
                    <w:rPr>
                      <w:rFonts w:hint="eastAsia" w:ascii="Times New Roman" w:cs="Times New Roman"/>
                      <w:bCs/>
                      <w:color w:val="auto"/>
                      <w:szCs w:val="21"/>
                    </w:rPr>
                    <w:t>（</w:t>
                  </w:r>
                  <w:r>
                    <w:rPr>
                      <w:rFonts w:ascii="Times New Roman" w:hAnsi="Times New Roman" w:cs="Times New Roman"/>
                      <w:bCs/>
                      <w:color w:val="auto"/>
                      <w:szCs w:val="21"/>
                    </w:rPr>
                    <w:t>GB16297-1996</w:t>
                  </w:r>
                  <w:r>
                    <w:rPr>
                      <w:rFonts w:hint="eastAsia" w:ascii="Times New Roman" w:cs="Times New Roman"/>
                      <w:bCs/>
                      <w:color w:val="auto"/>
                      <w:szCs w:val="21"/>
                    </w:rPr>
                    <w:t>）</w:t>
                  </w:r>
                </w:p>
              </w:tc>
            </w:tr>
            <w:tr w14:paraId="26336E2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60" w:type="pct"/>
                  <w:vMerge w:val="continue"/>
                  <w:vAlign w:val="center"/>
                </w:tcPr>
                <w:p w14:paraId="6C6AF526">
                  <w:pPr>
                    <w:widowControl/>
                    <w:spacing w:line="276" w:lineRule="auto"/>
                    <w:jc w:val="center"/>
                    <w:rPr>
                      <w:rFonts w:ascii="Times New Roman" w:hAnsi="Times New Roman" w:cs="Times New Roman"/>
                      <w:color w:val="auto"/>
                      <w:szCs w:val="21"/>
                    </w:rPr>
                  </w:pPr>
                </w:p>
              </w:tc>
              <w:tc>
                <w:tcPr>
                  <w:tcW w:w="810" w:type="pct"/>
                  <w:vMerge w:val="continue"/>
                  <w:vAlign w:val="center"/>
                </w:tcPr>
                <w:p w14:paraId="3AF9CCAF">
                  <w:pPr>
                    <w:widowControl/>
                    <w:spacing w:line="276" w:lineRule="auto"/>
                    <w:jc w:val="center"/>
                    <w:rPr>
                      <w:rFonts w:ascii="Times New Roman" w:hAnsi="Times New Roman" w:cs="Times New Roman"/>
                      <w:color w:val="auto"/>
                      <w:szCs w:val="21"/>
                    </w:rPr>
                  </w:pPr>
                </w:p>
              </w:tc>
              <w:tc>
                <w:tcPr>
                  <w:tcW w:w="890" w:type="pct"/>
                  <w:vAlign w:val="center"/>
                </w:tcPr>
                <w:p w14:paraId="5B2FD0DA">
                  <w:pPr>
                    <w:spacing w:line="276" w:lineRule="auto"/>
                    <w:jc w:val="center"/>
                    <w:rPr>
                      <w:rFonts w:ascii="Times New Roman" w:cs="Times New Roman"/>
                      <w:color w:val="auto"/>
                      <w:szCs w:val="21"/>
                    </w:rPr>
                  </w:pPr>
                  <w:r>
                    <w:rPr>
                      <w:rFonts w:ascii="Times New Roman" w:cs="Times New Roman"/>
                      <w:color w:val="auto"/>
                      <w:szCs w:val="21"/>
                    </w:rPr>
                    <w:t>非甲烷总烃</w:t>
                  </w:r>
                </w:p>
              </w:tc>
              <w:tc>
                <w:tcPr>
                  <w:tcW w:w="702" w:type="pct"/>
                  <w:vAlign w:val="center"/>
                </w:tcPr>
                <w:p w14:paraId="15A99858">
                  <w:pPr>
                    <w:jc w:val="center"/>
                    <w:rPr>
                      <w:rFonts w:ascii="Times New Roman" w:cs="Times New Roman"/>
                      <w:color w:val="auto"/>
                      <w:szCs w:val="21"/>
                    </w:rPr>
                  </w:pPr>
                  <w:r>
                    <w:rPr>
                      <w:rFonts w:hint="eastAsia" w:ascii="Times New Roman" w:cs="Times New Roman"/>
                      <w:color w:val="auto"/>
                      <w:szCs w:val="21"/>
                    </w:rPr>
                    <w:t>1次/年</w:t>
                  </w:r>
                </w:p>
              </w:tc>
              <w:tc>
                <w:tcPr>
                  <w:tcW w:w="2138" w:type="pct"/>
                  <w:vAlign w:val="center"/>
                </w:tcPr>
                <w:p w14:paraId="19336D5A">
                  <w:pPr>
                    <w:spacing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《固定源挥发性有机物综合排放标准第6部分：其他行业》（DB34/4812.6-2024）</w:t>
                  </w:r>
                </w:p>
              </w:tc>
            </w:tr>
            <w:tr w14:paraId="52DB706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460" w:type="pct"/>
                  <w:vMerge w:val="restart"/>
                  <w:vAlign w:val="center"/>
                </w:tcPr>
                <w:p w14:paraId="56273650">
                  <w:pPr>
                    <w:spacing w:line="276" w:lineRule="auto"/>
                    <w:jc w:val="center"/>
                    <w:rPr>
                      <w:rFonts w:ascii="Times New Roman" w:cs="Times New Roman"/>
                      <w:color w:val="auto"/>
                      <w:szCs w:val="21"/>
                    </w:rPr>
                  </w:pPr>
                  <w:r>
                    <w:rPr>
                      <w:rFonts w:ascii="Times New Roman" w:cs="Times New Roman"/>
                      <w:color w:val="auto"/>
                      <w:szCs w:val="21"/>
                    </w:rPr>
                    <w:t>无组织</w:t>
                  </w:r>
                </w:p>
              </w:tc>
              <w:tc>
                <w:tcPr>
                  <w:tcW w:w="810" w:type="pct"/>
                  <w:vMerge w:val="restart"/>
                  <w:vAlign w:val="center"/>
                </w:tcPr>
                <w:p w14:paraId="3E7C1E81">
                  <w:pPr>
                    <w:widowControl/>
                    <w:spacing w:line="276" w:lineRule="auto"/>
                    <w:jc w:val="center"/>
                    <w:rPr>
                      <w:rFonts w:ascii="Times New Roman" w:cs="Times New Roman"/>
                      <w:color w:val="auto"/>
                      <w:szCs w:val="21"/>
                    </w:rPr>
                  </w:pPr>
                  <w:r>
                    <w:rPr>
                      <w:rFonts w:hint="eastAsia" w:ascii="Times New Roman" w:cs="Times New Roman"/>
                      <w:color w:val="auto"/>
                      <w:szCs w:val="21"/>
                    </w:rPr>
                    <w:t>厂界</w:t>
                  </w:r>
                </w:p>
              </w:tc>
              <w:tc>
                <w:tcPr>
                  <w:tcW w:w="890" w:type="pct"/>
                  <w:vAlign w:val="center"/>
                </w:tcPr>
                <w:p w14:paraId="7798B97C">
                  <w:pPr>
                    <w:spacing w:line="276" w:lineRule="auto"/>
                    <w:jc w:val="center"/>
                    <w:rPr>
                      <w:rFonts w:ascii="Times New Roman" w:cs="Times New Roman"/>
                      <w:color w:val="auto"/>
                      <w:szCs w:val="21"/>
                    </w:rPr>
                  </w:pPr>
                  <w:r>
                    <w:rPr>
                      <w:rFonts w:hint="eastAsia" w:ascii="Times New Roman" w:cs="Times New Roman"/>
                      <w:color w:val="auto"/>
                      <w:szCs w:val="21"/>
                    </w:rPr>
                    <w:t>颗粒物</w:t>
                  </w:r>
                </w:p>
              </w:tc>
              <w:tc>
                <w:tcPr>
                  <w:tcW w:w="702" w:type="pct"/>
                  <w:vMerge w:val="restart"/>
                  <w:vAlign w:val="center"/>
                </w:tcPr>
                <w:p w14:paraId="5154DC53">
                  <w:pPr>
                    <w:jc w:val="center"/>
                    <w:rPr>
                      <w:rFonts w:ascii="Times New Roman" w:cs="Times New Roman"/>
                      <w:color w:val="auto"/>
                      <w:szCs w:val="21"/>
                    </w:rPr>
                  </w:pPr>
                  <w:r>
                    <w:rPr>
                      <w:rFonts w:hint="eastAsia" w:ascii="Times New Roman" w:cs="Times New Roman"/>
                      <w:color w:val="auto"/>
                      <w:szCs w:val="21"/>
                    </w:rPr>
                    <w:t>1次/</w:t>
                  </w:r>
                  <w:r>
                    <w:rPr>
                      <w:rFonts w:ascii="Times New Roman" w:cs="Times New Roman"/>
                      <w:color w:val="auto"/>
                      <w:szCs w:val="21"/>
                    </w:rPr>
                    <w:t>年</w:t>
                  </w:r>
                </w:p>
              </w:tc>
              <w:tc>
                <w:tcPr>
                  <w:tcW w:w="2138" w:type="pct"/>
                  <w:vMerge w:val="restart"/>
                  <w:vAlign w:val="center"/>
                </w:tcPr>
                <w:p w14:paraId="66BB91BF">
                  <w:pPr>
                    <w:widowControl/>
                    <w:spacing w:line="276" w:lineRule="auto"/>
                    <w:jc w:val="center"/>
                    <w:rPr>
                      <w:rFonts w:ascii="Times New Roman" w:cs="Times New Roman"/>
                      <w:color w:val="auto"/>
                      <w:szCs w:val="21"/>
                    </w:rPr>
                  </w:pPr>
                  <w:r>
                    <w:rPr>
                      <w:rFonts w:hint="eastAsia" w:ascii="Times New Roman" w:cs="Times New Roman"/>
                      <w:color w:val="auto"/>
                      <w:szCs w:val="21"/>
                    </w:rPr>
                    <w:t>《大气污染物综合排放标准》</w:t>
                  </w:r>
                  <w:r>
                    <w:rPr>
                      <w:rFonts w:hint="eastAsia" w:ascii="Times New Roman" w:cs="Times New Roman"/>
                      <w:bCs/>
                      <w:color w:val="auto"/>
                      <w:szCs w:val="21"/>
                    </w:rPr>
                    <w:t>（</w:t>
                  </w:r>
                  <w:r>
                    <w:rPr>
                      <w:rFonts w:ascii="Times New Roman" w:hAnsi="Times New Roman" w:cs="Times New Roman"/>
                      <w:bCs/>
                      <w:color w:val="auto"/>
                      <w:szCs w:val="21"/>
                    </w:rPr>
                    <w:t>GB16297-1996</w:t>
                  </w:r>
                  <w:r>
                    <w:rPr>
                      <w:rFonts w:hint="eastAsia" w:ascii="Times New Roman" w:cs="Times New Roman"/>
                      <w:bCs/>
                      <w:color w:val="auto"/>
                      <w:szCs w:val="21"/>
                    </w:rPr>
                    <w:t>）</w:t>
                  </w:r>
                </w:p>
              </w:tc>
            </w:tr>
            <w:tr w14:paraId="4F067BF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60" w:type="pct"/>
                  <w:vMerge w:val="continue"/>
                  <w:vAlign w:val="center"/>
                </w:tcPr>
                <w:p w14:paraId="57E02499">
                  <w:pPr>
                    <w:widowControl/>
                    <w:spacing w:line="276" w:lineRule="auto"/>
                    <w:jc w:val="center"/>
                    <w:rPr>
                      <w:rFonts w:ascii="Times New Roman" w:cs="Times New Roman"/>
                      <w:color w:val="auto"/>
                      <w:szCs w:val="21"/>
                    </w:rPr>
                  </w:pPr>
                </w:p>
              </w:tc>
              <w:tc>
                <w:tcPr>
                  <w:tcW w:w="810" w:type="pct"/>
                  <w:vMerge w:val="continue"/>
                  <w:vAlign w:val="center"/>
                </w:tcPr>
                <w:p w14:paraId="62505A15">
                  <w:pPr>
                    <w:widowControl/>
                    <w:spacing w:line="276" w:lineRule="auto"/>
                    <w:jc w:val="center"/>
                    <w:rPr>
                      <w:rFonts w:ascii="Times New Roman" w:cs="Times New Roman"/>
                      <w:color w:val="auto"/>
                      <w:szCs w:val="21"/>
                    </w:rPr>
                  </w:pPr>
                </w:p>
              </w:tc>
              <w:tc>
                <w:tcPr>
                  <w:tcW w:w="890" w:type="pct"/>
                  <w:vAlign w:val="center"/>
                </w:tcPr>
                <w:p w14:paraId="37D04036">
                  <w:pPr>
                    <w:spacing w:line="276" w:lineRule="auto"/>
                    <w:jc w:val="center"/>
                    <w:rPr>
                      <w:rFonts w:ascii="Times New Roman" w:cs="Times New Roman"/>
                      <w:color w:val="auto"/>
                      <w:szCs w:val="21"/>
                    </w:rPr>
                  </w:pPr>
                  <w:r>
                    <w:rPr>
                      <w:rFonts w:ascii="Times New Roman" w:cs="Times New Roman"/>
                      <w:color w:val="auto"/>
                      <w:szCs w:val="21"/>
                    </w:rPr>
                    <w:t>非甲烷总烃</w:t>
                  </w:r>
                </w:p>
              </w:tc>
              <w:tc>
                <w:tcPr>
                  <w:tcW w:w="702" w:type="pct"/>
                  <w:vMerge w:val="continue"/>
                  <w:vAlign w:val="center"/>
                </w:tcPr>
                <w:p w14:paraId="484C4A59">
                  <w:pPr>
                    <w:jc w:val="center"/>
                    <w:rPr>
                      <w:rFonts w:ascii="Times New Roman" w:cs="Times New Roman"/>
                      <w:color w:val="auto"/>
                      <w:szCs w:val="21"/>
                    </w:rPr>
                  </w:pPr>
                </w:p>
              </w:tc>
              <w:tc>
                <w:tcPr>
                  <w:tcW w:w="2138" w:type="pct"/>
                  <w:vMerge w:val="continue"/>
                  <w:vAlign w:val="center"/>
                </w:tcPr>
                <w:p w14:paraId="067576CF">
                  <w:pPr>
                    <w:widowControl/>
                    <w:spacing w:line="276" w:lineRule="auto"/>
                    <w:jc w:val="center"/>
                    <w:rPr>
                      <w:rFonts w:ascii="Times New Roman" w:cs="Times New Roman"/>
                      <w:color w:val="auto"/>
                      <w:szCs w:val="21"/>
                    </w:rPr>
                  </w:pPr>
                </w:p>
              </w:tc>
            </w:tr>
            <w:tr w14:paraId="4CC1D6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0" w:type="pct"/>
                  <w:vMerge w:val="continue"/>
                  <w:vAlign w:val="center"/>
                </w:tcPr>
                <w:p w14:paraId="48962E6C">
                  <w:pPr>
                    <w:widowControl/>
                    <w:spacing w:line="276" w:lineRule="auto"/>
                    <w:jc w:val="center"/>
                    <w:rPr>
                      <w:rFonts w:ascii="Times New Roman" w:cs="Times New Roman"/>
                      <w:color w:val="auto"/>
                      <w:szCs w:val="21"/>
                    </w:rPr>
                  </w:pPr>
                </w:p>
              </w:tc>
              <w:tc>
                <w:tcPr>
                  <w:tcW w:w="810" w:type="pct"/>
                  <w:vAlign w:val="center"/>
                </w:tcPr>
                <w:p w14:paraId="4B1A3DDB">
                  <w:pPr>
                    <w:widowControl/>
                    <w:spacing w:line="276" w:lineRule="auto"/>
                    <w:jc w:val="center"/>
                    <w:rPr>
                      <w:rFonts w:ascii="Times New Roman" w:cs="Times New Roman"/>
                      <w:color w:val="auto"/>
                      <w:szCs w:val="21"/>
                    </w:rPr>
                  </w:pPr>
                  <w:r>
                    <w:rPr>
                      <w:rFonts w:ascii="Times New Roman" w:cs="Times New Roman"/>
                      <w:color w:val="auto"/>
                      <w:szCs w:val="21"/>
                    </w:rPr>
                    <w:t>厂区内</w:t>
                  </w:r>
                </w:p>
              </w:tc>
              <w:tc>
                <w:tcPr>
                  <w:tcW w:w="890" w:type="pct"/>
                  <w:vAlign w:val="center"/>
                </w:tcPr>
                <w:p w14:paraId="2FE71300">
                  <w:pPr>
                    <w:spacing w:line="276" w:lineRule="auto"/>
                    <w:jc w:val="center"/>
                    <w:rPr>
                      <w:rFonts w:ascii="Times New Roman" w:cs="Times New Roman"/>
                      <w:color w:val="auto"/>
                      <w:szCs w:val="21"/>
                    </w:rPr>
                  </w:pPr>
                  <w:r>
                    <w:rPr>
                      <w:rFonts w:ascii="Times New Roman" w:cs="Times New Roman"/>
                      <w:color w:val="auto"/>
                      <w:szCs w:val="21"/>
                    </w:rPr>
                    <w:t>非甲烷总烃</w:t>
                  </w:r>
                </w:p>
              </w:tc>
              <w:tc>
                <w:tcPr>
                  <w:tcW w:w="702" w:type="pct"/>
                  <w:vAlign w:val="center"/>
                </w:tcPr>
                <w:p w14:paraId="4C447917">
                  <w:pPr>
                    <w:jc w:val="center"/>
                    <w:rPr>
                      <w:color w:val="auto"/>
                    </w:rPr>
                  </w:pPr>
                  <w:r>
                    <w:rPr>
                      <w:rFonts w:hint="eastAsia" w:ascii="Times New Roman" w:cs="Times New Roman"/>
                      <w:color w:val="auto"/>
                      <w:szCs w:val="21"/>
                    </w:rPr>
                    <w:t>1次/</w:t>
                  </w:r>
                  <w:r>
                    <w:rPr>
                      <w:rFonts w:ascii="Times New Roman" w:cs="Times New Roman"/>
                      <w:color w:val="auto"/>
                      <w:szCs w:val="21"/>
                    </w:rPr>
                    <w:t>年</w:t>
                  </w:r>
                </w:p>
              </w:tc>
              <w:tc>
                <w:tcPr>
                  <w:tcW w:w="2138" w:type="pct"/>
                  <w:vAlign w:val="center"/>
                </w:tcPr>
                <w:p w14:paraId="2DFC4ACE">
                  <w:pPr>
                    <w:widowControl/>
                    <w:spacing w:line="276" w:lineRule="auto"/>
                    <w:jc w:val="center"/>
                    <w:rPr>
                      <w:rFonts w:ascii="Times New Roman" w:cs="Times New Roman"/>
                      <w:color w:val="auto"/>
                      <w:szCs w:val="21"/>
                    </w:rPr>
                  </w:pPr>
                  <w:r>
                    <w:rPr>
                      <w:rFonts w:hint="eastAsia" w:ascii="Times New Roman" w:cs="Times New Roman"/>
                      <w:color w:val="auto"/>
                      <w:szCs w:val="21"/>
                    </w:rPr>
                    <w:t>《挥发性有机物无组织排放控制标准》（GB37822-2019）</w:t>
                  </w:r>
                </w:p>
              </w:tc>
            </w:tr>
          </w:tbl>
          <w:p w14:paraId="4142E600">
            <w:pPr>
              <w:spacing w:line="360" w:lineRule="auto"/>
              <w:ind w:firstLine="472" w:firstLineChars="196"/>
              <w:rPr>
                <w:rFonts w:ascii="Times New Roman" w:hAnsi="Times New Roman" w:eastAsia="宋体" w:cs="Times New Roman"/>
                <w:b/>
                <w:bCs/>
                <w:color w:val="auto"/>
                <w:sz w:val="24"/>
                <w:szCs w:val="24"/>
              </w:rPr>
            </w:pPr>
            <w:r>
              <w:rPr>
                <w:rFonts w:hint="eastAsia" w:ascii="Times New Roman" w:hAnsi="Times New Roman" w:eastAsia="宋体" w:cs="Times New Roman"/>
                <w:b/>
                <w:bCs/>
                <w:color w:val="auto"/>
                <w:sz w:val="24"/>
                <w:szCs w:val="24"/>
              </w:rPr>
              <w:t>三、噪声</w:t>
            </w:r>
            <w:r>
              <w:rPr>
                <w:rFonts w:hint="eastAsia" w:ascii="Times New Roman" w:hAnsi="Times New Roman" w:eastAsia="宋体" w:cs="宋体"/>
                <w:b/>
                <w:bCs/>
                <w:color w:val="auto"/>
                <w:sz w:val="24"/>
                <w:szCs w:val="24"/>
              </w:rPr>
              <w:t>环境保护措施</w:t>
            </w:r>
          </w:p>
          <w:p w14:paraId="3DED0EEF">
            <w:pPr>
              <w:pStyle w:val="48"/>
              <w:adjustRightInd/>
              <w:spacing w:line="360" w:lineRule="auto"/>
              <w:ind w:firstLine="480" w:firstLineChars="200"/>
              <w:jc w:val="both"/>
              <w:rPr>
                <w:rFonts w:ascii="Times New Roman"/>
                <w:color w:val="auto"/>
                <w:kern w:val="2"/>
              </w:rPr>
            </w:pPr>
            <w:r>
              <w:rPr>
                <w:rFonts w:ascii="Times New Roman"/>
                <w:color w:val="auto"/>
                <w:kern w:val="2"/>
              </w:rPr>
              <w:t>1、运营期声环境影响分析</w:t>
            </w:r>
          </w:p>
          <w:p w14:paraId="084A9666">
            <w:pPr>
              <w:spacing w:line="360" w:lineRule="auto"/>
              <w:ind w:firstLine="540" w:firstLineChars="225"/>
              <w:rPr>
                <w:rFonts w:ascii="Times New Roman" w:hAnsi="Times New Roman" w:eastAsia="宋体" w:cs="Times New Roman"/>
                <w:bCs/>
                <w:color w:val="auto"/>
                <w:sz w:val="24"/>
              </w:rPr>
            </w:pPr>
            <w:r>
              <w:rPr>
                <w:rFonts w:ascii="Times New Roman" w:hAnsi="Times New Roman" w:eastAsia="宋体" w:cs="Times New Roman"/>
                <w:color w:val="auto"/>
                <w:sz w:val="24"/>
                <w:szCs w:val="24"/>
              </w:rPr>
              <w:t>本项目噪声污染源主要为各类设备运行噪声，项目采用减振、隔声措施后，能有效减低噪声环境影响。具体设备噪声源强见下表：</w:t>
            </w:r>
          </w:p>
          <w:p w14:paraId="576F0A47">
            <w:pPr>
              <w:spacing w:line="360" w:lineRule="auto"/>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表4-</w:t>
            </w:r>
            <w:r>
              <w:rPr>
                <w:rFonts w:hint="eastAsia" w:ascii="Times New Roman" w:hAnsi="Times New Roman" w:eastAsia="黑体" w:cs="Times New Roman"/>
                <w:color w:val="auto"/>
                <w:sz w:val="24"/>
                <w:szCs w:val="24"/>
              </w:rPr>
              <w:t xml:space="preserve">9  </w:t>
            </w:r>
            <w:r>
              <w:rPr>
                <w:rFonts w:ascii="Times New Roman" w:hAnsi="Times New Roman" w:eastAsia="黑体" w:cs="Times New Roman"/>
                <w:color w:val="auto"/>
                <w:sz w:val="24"/>
                <w:szCs w:val="24"/>
              </w:rPr>
              <w:t>工业企业噪声源强调查清单（室外声源）</w:t>
            </w:r>
          </w:p>
          <w:tbl>
            <w:tblPr>
              <w:tblStyle w:val="17"/>
              <w:tblW w:w="0" w:type="auto"/>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500"/>
              <w:gridCol w:w="649"/>
              <w:gridCol w:w="525"/>
              <w:gridCol w:w="525"/>
              <w:gridCol w:w="507"/>
              <w:gridCol w:w="1122"/>
              <w:gridCol w:w="2917"/>
              <w:gridCol w:w="833"/>
            </w:tblGrid>
            <w:tr w14:paraId="04D29C3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500" w:type="dxa"/>
                  <w:vMerge w:val="restart"/>
                  <w:vAlign w:val="center"/>
                </w:tcPr>
                <w:p w14:paraId="0F9132CB">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序号</w:t>
                  </w:r>
                </w:p>
              </w:tc>
              <w:tc>
                <w:tcPr>
                  <w:tcW w:w="649" w:type="dxa"/>
                  <w:vMerge w:val="restart"/>
                  <w:vAlign w:val="center"/>
                </w:tcPr>
                <w:p w14:paraId="422E39F2">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声源名称</w:t>
                  </w:r>
                </w:p>
              </w:tc>
              <w:tc>
                <w:tcPr>
                  <w:tcW w:w="1557" w:type="dxa"/>
                  <w:gridSpan w:val="3"/>
                  <w:vAlign w:val="center"/>
                </w:tcPr>
                <w:p w14:paraId="310DA2AE">
                  <w:pPr>
                    <w:spacing w:before="100" w:beforeAutospacing="1" w:after="100" w:afterAutospacing="1" w:line="276" w:lineRule="auto"/>
                    <w:jc w:val="center"/>
                    <w:rPr>
                      <w:rFonts w:ascii="Times New Roman" w:hAnsi="Times New Roman" w:cs="Times New Roman"/>
                      <w:b/>
                      <w:color w:val="auto"/>
                      <w:szCs w:val="21"/>
                    </w:rPr>
                  </w:pPr>
                  <w:r>
                    <w:rPr>
                      <w:rFonts w:hint="eastAsia" w:ascii="Times New Roman" w:hAnsi="Times New Roman" w:cs="Times New Roman"/>
                      <w:b/>
                      <w:color w:val="auto"/>
                      <w:szCs w:val="21"/>
                    </w:rPr>
                    <w:t>空间相对位置/m</w:t>
                  </w:r>
                </w:p>
              </w:tc>
              <w:tc>
                <w:tcPr>
                  <w:tcW w:w="1122" w:type="dxa"/>
                  <w:vAlign w:val="center"/>
                </w:tcPr>
                <w:p w14:paraId="65A717F4">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声源源强</w:t>
                  </w:r>
                </w:p>
              </w:tc>
              <w:tc>
                <w:tcPr>
                  <w:tcW w:w="2917" w:type="dxa"/>
                  <w:vMerge w:val="restart"/>
                  <w:vAlign w:val="center"/>
                </w:tcPr>
                <w:p w14:paraId="5F3823E5">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声源控制措施</w:t>
                  </w:r>
                </w:p>
              </w:tc>
              <w:tc>
                <w:tcPr>
                  <w:tcW w:w="833" w:type="dxa"/>
                  <w:vMerge w:val="restart"/>
                  <w:vAlign w:val="center"/>
                </w:tcPr>
                <w:p w14:paraId="621A8C34">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运行时段</w:t>
                  </w:r>
                </w:p>
              </w:tc>
            </w:tr>
            <w:tr w14:paraId="2A3550A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500" w:type="dxa"/>
                  <w:vMerge w:val="continue"/>
                  <w:vAlign w:val="center"/>
                </w:tcPr>
                <w:p w14:paraId="04DE0BEA">
                  <w:pPr>
                    <w:spacing w:before="100" w:beforeAutospacing="1" w:after="100" w:afterAutospacing="1" w:line="276" w:lineRule="auto"/>
                    <w:jc w:val="center"/>
                    <w:rPr>
                      <w:rFonts w:ascii="Times New Roman" w:hAnsi="Times New Roman" w:cs="Times New Roman"/>
                      <w:color w:val="auto"/>
                      <w:szCs w:val="21"/>
                    </w:rPr>
                  </w:pPr>
                </w:p>
              </w:tc>
              <w:tc>
                <w:tcPr>
                  <w:tcW w:w="649" w:type="dxa"/>
                  <w:vMerge w:val="continue"/>
                  <w:vAlign w:val="center"/>
                </w:tcPr>
                <w:p w14:paraId="542C6DD9">
                  <w:pPr>
                    <w:spacing w:before="100" w:beforeAutospacing="1" w:after="100" w:afterAutospacing="1" w:line="276" w:lineRule="auto"/>
                    <w:jc w:val="center"/>
                    <w:rPr>
                      <w:rFonts w:ascii="Times New Roman" w:hAnsi="Times New Roman" w:cs="Times New Roman"/>
                      <w:color w:val="auto"/>
                      <w:szCs w:val="21"/>
                    </w:rPr>
                  </w:pPr>
                </w:p>
              </w:tc>
              <w:tc>
                <w:tcPr>
                  <w:tcW w:w="525" w:type="dxa"/>
                  <w:vAlign w:val="center"/>
                </w:tcPr>
                <w:p w14:paraId="359BFA07">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X</w:t>
                  </w:r>
                </w:p>
              </w:tc>
              <w:tc>
                <w:tcPr>
                  <w:tcW w:w="525" w:type="dxa"/>
                  <w:vAlign w:val="center"/>
                </w:tcPr>
                <w:p w14:paraId="6D34B859">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Y</w:t>
                  </w:r>
                </w:p>
              </w:tc>
              <w:tc>
                <w:tcPr>
                  <w:tcW w:w="507" w:type="dxa"/>
                  <w:vAlign w:val="center"/>
                </w:tcPr>
                <w:p w14:paraId="232AB523">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Z</w:t>
                  </w:r>
                </w:p>
              </w:tc>
              <w:tc>
                <w:tcPr>
                  <w:tcW w:w="1122" w:type="dxa"/>
                  <w:vAlign w:val="center"/>
                </w:tcPr>
                <w:p w14:paraId="1E2429C7">
                  <w:pPr>
                    <w:spacing w:before="100" w:beforeAutospacing="1" w:after="100" w:afterAutospacing="1" w:line="276" w:lineRule="auto"/>
                    <w:jc w:val="center"/>
                    <w:rPr>
                      <w:rFonts w:ascii="Times New Roman" w:hAnsi="Times New Roman" w:cs="Times New Roman"/>
                      <w:b/>
                      <w:color w:val="auto"/>
                      <w:szCs w:val="21"/>
                    </w:rPr>
                  </w:pPr>
                  <w:r>
                    <w:rPr>
                      <w:rFonts w:ascii="Times New Roman" w:hAnsi="Times New Roman" w:cs="Times New Roman"/>
                      <w:b/>
                      <w:color w:val="auto"/>
                      <w:szCs w:val="21"/>
                    </w:rPr>
                    <w:t>声压级/dB（A）</w:t>
                  </w:r>
                </w:p>
              </w:tc>
              <w:tc>
                <w:tcPr>
                  <w:tcW w:w="2917" w:type="dxa"/>
                  <w:vMerge w:val="continue"/>
                  <w:vAlign w:val="center"/>
                </w:tcPr>
                <w:p w14:paraId="66596A94">
                  <w:pPr>
                    <w:spacing w:before="100" w:beforeAutospacing="1" w:after="100" w:afterAutospacing="1" w:line="276" w:lineRule="auto"/>
                    <w:jc w:val="center"/>
                    <w:rPr>
                      <w:rFonts w:ascii="Times New Roman" w:hAnsi="Times New Roman" w:cs="Times New Roman"/>
                      <w:color w:val="auto"/>
                      <w:szCs w:val="21"/>
                    </w:rPr>
                  </w:pPr>
                </w:p>
              </w:tc>
              <w:tc>
                <w:tcPr>
                  <w:tcW w:w="833" w:type="dxa"/>
                  <w:vMerge w:val="continue"/>
                  <w:vAlign w:val="center"/>
                </w:tcPr>
                <w:p w14:paraId="5DE569AF">
                  <w:pPr>
                    <w:spacing w:before="100" w:beforeAutospacing="1" w:after="100" w:afterAutospacing="1" w:line="276" w:lineRule="auto"/>
                    <w:jc w:val="center"/>
                    <w:rPr>
                      <w:rFonts w:ascii="Times New Roman" w:hAnsi="Times New Roman" w:cs="Times New Roman"/>
                      <w:color w:val="auto"/>
                      <w:szCs w:val="21"/>
                    </w:rPr>
                  </w:pPr>
                </w:p>
              </w:tc>
            </w:tr>
            <w:tr w14:paraId="7E7EDC9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00" w:type="dxa"/>
                  <w:vAlign w:val="center"/>
                </w:tcPr>
                <w:p w14:paraId="0A0573BA">
                  <w:pPr>
                    <w:spacing w:before="100" w:beforeAutospacing="1" w:after="100" w:afterAutospacing="1"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1</w:t>
                  </w:r>
                </w:p>
              </w:tc>
              <w:tc>
                <w:tcPr>
                  <w:tcW w:w="649" w:type="dxa"/>
                  <w:vAlign w:val="center"/>
                </w:tcPr>
                <w:p w14:paraId="686D679C">
                  <w:pPr>
                    <w:spacing w:before="100" w:beforeAutospacing="1" w:after="100" w:afterAutospacing="1" w:line="276" w:lineRule="auto"/>
                    <w:jc w:val="center"/>
                    <w:rPr>
                      <w:rFonts w:ascii="Times New Roman" w:hAnsi="Times New Roman" w:cs="Times New Roman"/>
                      <w:color w:val="auto"/>
                      <w:szCs w:val="21"/>
                    </w:rPr>
                  </w:pPr>
                  <w:r>
                    <w:rPr>
                      <w:rFonts w:ascii="Times New Roman" w:hAnsi="Times New Roman" w:cs="Times New Roman"/>
                      <w:color w:val="auto"/>
                      <w:szCs w:val="21"/>
                    </w:rPr>
                    <w:t>风机</w:t>
                  </w:r>
                  <w:r>
                    <w:rPr>
                      <w:rFonts w:hint="eastAsia" w:ascii="Times New Roman" w:hAnsi="Times New Roman" w:cs="Times New Roman"/>
                      <w:color w:val="auto"/>
                      <w:szCs w:val="21"/>
                    </w:rPr>
                    <w:t>1</w:t>
                  </w:r>
                </w:p>
              </w:tc>
              <w:tc>
                <w:tcPr>
                  <w:tcW w:w="525" w:type="dxa"/>
                  <w:vAlign w:val="center"/>
                </w:tcPr>
                <w:p w14:paraId="29043122">
                  <w:pPr>
                    <w:spacing w:before="100" w:beforeAutospacing="1" w:after="100" w:afterAutospacing="1" w:line="276" w:lineRule="auto"/>
                    <w:jc w:val="center"/>
                    <w:rPr>
                      <w:rFonts w:ascii="Times New Roman" w:hAnsi="Times New Roman" w:cs="Times New Roman"/>
                      <w:color w:val="auto"/>
                      <w:szCs w:val="21"/>
                    </w:rPr>
                  </w:pPr>
                  <w:r>
                    <w:rPr>
                      <w:rFonts w:ascii="Times New Roman" w:hAnsi="Times New Roman" w:cs="Times New Roman"/>
                      <w:color w:val="auto"/>
                      <w:szCs w:val="21"/>
                    </w:rPr>
                    <w:t>-22</w:t>
                  </w:r>
                </w:p>
              </w:tc>
              <w:tc>
                <w:tcPr>
                  <w:tcW w:w="525" w:type="dxa"/>
                  <w:vAlign w:val="center"/>
                </w:tcPr>
                <w:p w14:paraId="26399814">
                  <w:pPr>
                    <w:spacing w:before="100" w:beforeAutospacing="1" w:after="100" w:afterAutospacing="1" w:line="276" w:lineRule="auto"/>
                    <w:jc w:val="center"/>
                    <w:rPr>
                      <w:rFonts w:ascii="Times New Roman" w:hAnsi="Times New Roman" w:cs="Times New Roman"/>
                      <w:color w:val="auto"/>
                      <w:szCs w:val="21"/>
                    </w:rPr>
                  </w:pPr>
                  <w:r>
                    <w:rPr>
                      <w:rFonts w:ascii="Times New Roman" w:hAnsi="Times New Roman" w:cs="Times New Roman"/>
                      <w:color w:val="auto"/>
                      <w:szCs w:val="21"/>
                    </w:rPr>
                    <w:t>-10</w:t>
                  </w:r>
                </w:p>
              </w:tc>
              <w:tc>
                <w:tcPr>
                  <w:tcW w:w="507" w:type="dxa"/>
                  <w:vAlign w:val="center"/>
                </w:tcPr>
                <w:p w14:paraId="220B57BD">
                  <w:pPr>
                    <w:spacing w:before="100" w:beforeAutospacing="1" w:after="100" w:afterAutospacing="1" w:line="276" w:lineRule="auto"/>
                    <w:jc w:val="center"/>
                    <w:rPr>
                      <w:rFonts w:ascii="Times New Roman" w:hAnsi="Times New Roman" w:cs="Times New Roman"/>
                      <w:color w:val="auto"/>
                      <w:szCs w:val="21"/>
                    </w:rPr>
                  </w:pPr>
                  <w:r>
                    <w:rPr>
                      <w:rFonts w:ascii="Times New Roman" w:hAnsi="Times New Roman" w:cs="Times New Roman"/>
                      <w:color w:val="auto"/>
                      <w:szCs w:val="21"/>
                    </w:rPr>
                    <w:t>1.2</w:t>
                  </w:r>
                </w:p>
              </w:tc>
              <w:tc>
                <w:tcPr>
                  <w:tcW w:w="1122" w:type="dxa"/>
                  <w:vAlign w:val="center"/>
                </w:tcPr>
                <w:p w14:paraId="42B58B55">
                  <w:pPr>
                    <w:spacing w:before="100" w:beforeAutospacing="1" w:after="100" w:afterAutospacing="1" w:line="276" w:lineRule="auto"/>
                    <w:jc w:val="center"/>
                    <w:rPr>
                      <w:rFonts w:ascii="Times New Roman" w:hAnsi="Times New Roman" w:cs="Times New Roman"/>
                      <w:color w:val="auto"/>
                      <w:szCs w:val="21"/>
                    </w:rPr>
                  </w:pPr>
                  <w:r>
                    <w:rPr>
                      <w:rFonts w:ascii="Times New Roman" w:hAnsi="Times New Roman" w:cs="Times New Roman"/>
                      <w:color w:val="auto"/>
                      <w:szCs w:val="21"/>
                    </w:rPr>
                    <w:t>90</w:t>
                  </w:r>
                </w:p>
              </w:tc>
              <w:tc>
                <w:tcPr>
                  <w:tcW w:w="2917" w:type="dxa"/>
                  <w:vAlign w:val="center"/>
                </w:tcPr>
                <w:p w14:paraId="18E08F53">
                  <w:pPr>
                    <w:spacing w:before="100" w:beforeAutospacing="1" w:after="100" w:afterAutospacing="1" w:line="276" w:lineRule="auto"/>
                    <w:jc w:val="center"/>
                    <w:rPr>
                      <w:rFonts w:ascii="Times New Roman" w:hAnsi="Times New Roman" w:cs="Times New Roman"/>
                      <w:color w:val="auto"/>
                      <w:szCs w:val="21"/>
                    </w:rPr>
                  </w:pPr>
                  <w:r>
                    <w:rPr>
                      <w:rFonts w:hint="eastAsia" w:ascii="Times New Roman" w:hAnsi="Times New Roman" w:cs="Times New Roman"/>
                      <w:color w:val="auto"/>
                      <w:szCs w:val="21"/>
                    </w:rPr>
                    <w:t>风机设置隔声罩，在风机的进风口和出风口安装消声器，风机基础进行减振</w:t>
                  </w:r>
                </w:p>
              </w:tc>
              <w:tc>
                <w:tcPr>
                  <w:tcW w:w="833" w:type="dxa"/>
                  <w:vAlign w:val="center"/>
                </w:tcPr>
                <w:p w14:paraId="353FE532">
                  <w:pPr>
                    <w:wordWrap w:val="0"/>
                    <w:jc w:val="center"/>
                    <w:rPr>
                      <w:rFonts w:ascii="Times New Roman" w:hAnsi="Times New Roman" w:cs="Times New Roman"/>
                      <w:color w:val="auto"/>
                      <w:szCs w:val="21"/>
                    </w:rPr>
                  </w:pPr>
                  <w:r>
                    <w:rPr>
                      <w:rFonts w:ascii="Times New Roman" w:hAnsi="Times New Roman" w:eastAsia="宋体" w:cs="Times New Roman"/>
                      <w:color w:val="auto"/>
                      <w:szCs w:val="21"/>
                    </w:rPr>
                    <w:t>昼间</w:t>
                  </w:r>
                </w:p>
              </w:tc>
            </w:tr>
          </w:tbl>
          <w:p w14:paraId="10A9F81F">
            <w:pPr>
              <w:spacing w:line="360" w:lineRule="auto"/>
              <w:ind w:firstLine="420" w:firstLineChars="200"/>
              <w:jc w:val="left"/>
              <w:rPr>
                <w:rFonts w:ascii="Times New Roman" w:hAnsi="Times New Roman" w:eastAsia="宋体" w:cs="Times New Roman"/>
                <w:color w:val="auto"/>
                <w:sz w:val="24"/>
                <w:szCs w:val="24"/>
              </w:rPr>
            </w:pPr>
            <w:r>
              <w:rPr>
                <w:rFonts w:hint="eastAsia" w:ascii="Times New Roman" w:hAnsi="Times New Roman" w:eastAsia="黑体" w:cs="Times New Roman"/>
                <w:color w:val="auto"/>
                <w:szCs w:val="21"/>
              </w:rPr>
              <w:t>注：</w:t>
            </w:r>
            <w:r>
              <w:rPr>
                <w:rFonts w:ascii="Times New Roman" w:hAnsi="Times New Roman" w:eastAsia="黑体" w:cs="Times New Roman"/>
                <w:color w:val="auto"/>
                <w:szCs w:val="21"/>
              </w:rPr>
              <w:t>以厂区中心点为坐标原点，正东为X轴正方向，正北为Y</w:t>
            </w:r>
            <w:r>
              <w:rPr>
                <w:rFonts w:ascii="Times New Roman" w:hAnsi="Times New Roman" w:eastAsia="黑体"/>
                <w:color w:val="auto"/>
                <w:szCs w:val="21"/>
              </w:rPr>
              <w:t>轴正方向。</w:t>
            </w:r>
          </w:p>
        </w:tc>
      </w:tr>
    </w:tbl>
    <w:p w14:paraId="47F17674">
      <w:pPr>
        <w:jc w:val="center"/>
        <w:rPr>
          <w:rFonts w:ascii="Times New Roman" w:hAnsi="Times New Roman" w:eastAsia="宋体" w:cs="宋体"/>
          <w:bCs/>
          <w:color w:val="auto"/>
          <w:sz w:val="24"/>
          <w:szCs w:val="24"/>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8"/>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74"/>
      </w:tblGrid>
      <w:tr w14:paraId="772E2F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070" w:hRule="atLeast"/>
        </w:trPr>
        <w:tc>
          <w:tcPr>
            <w:tcW w:w="14174" w:type="dxa"/>
          </w:tcPr>
          <w:p w14:paraId="03EE0DBB">
            <w:pPr>
              <w:spacing w:line="360" w:lineRule="auto"/>
              <w:jc w:val="center"/>
              <w:rPr>
                <w:rFonts w:hAnsi="黑体" w:eastAsia="黑体"/>
                <w:color w:val="auto"/>
                <w:szCs w:val="21"/>
              </w:rPr>
            </w:pPr>
            <w:r>
              <w:rPr>
                <w:rFonts w:ascii="Times New Roman" w:hAnsi="Times New Roman" w:eastAsia="黑体"/>
                <w:color w:val="auto"/>
                <w:sz w:val="24"/>
                <w:szCs w:val="24"/>
              </w:rPr>
              <w:t>表4</w:t>
            </w:r>
            <w:r>
              <w:rPr>
                <w:rFonts w:hint="eastAsia" w:ascii="Times New Roman" w:hAnsi="Times New Roman" w:eastAsia="黑体"/>
                <w:color w:val="auto"/>
                <w:sz w:val="24"/>
                <w:szCs w:val="24"/>
              </w:rPr>
              <w:t xml:space="preserve">-10  </w:t>
            </w:r>
            <w:r>
              <w:rPr>
                <w:rFonts w:ascii="Times New Roman" w:hAnsi="Times New Roman" w:eastAsia="黑体"/>
                <w:color w:val="auto"/>
                <w:sz w:val="24"/>
                <w:szCs w:val="24"/>
              </w:rPr>
              <w:t>工业企业噪声源强调查清单（室内声源）</w:t>
            </w:r>
          </w:p>
          <w:tbl>
            <w:tblPr>
              <w:tblStyle w:val="17"/>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397"/>
              <w:gridCol w:w="441"/>
              <w:gridCol w:w="498"/>
              <w:gridCol w:w="708"/>
              <w:gridCol w:w="636"/>
              <w:gridCol w:w="592"/>
              <w:gridCol w:w="592"/>
              <w:gridCol w:w="444"/>
              <w:gridCol w:w="615"/>
              <w:gridCol w:w="592"/>
              <w:gridCol w:w="606"/>
              <w:gridCol w:w="632"/>
              <w:gridCol w:w="581"/>
              <w:gridCol w:w="581"/>
              <w:gridCol w:w="581"/>
              <w:gridCol w:w="598"/>
              <w:gridCol w:w="1067"/>
              <w:gridCol w:w="708"/>
              <w:gridCol w:w="587"/>
              <w:gridCol w:w="587"/>
              <w:gridCol w:w="587"/>
              <w:gridCol w:w="587"/>
              <w:gridCol w:w="741"/>
            </w:tblGrid>
            <w:tr w14:paraId="73B2301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 w:type="pct"/>
                  <w:vMerge w:val="restart"/>
                  <w:vAlign w:val="center"/>
                </w:tcPr>
                <w:p w14:paraId="3EC71C50">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序号</w:t>
                  </w:r>
                </w:p>
              </w:tc>
              <w:tc>
                <w:tcPr>
                  <w:tcW w:w="158" w:type="pct"/>
                  <w:vMerge w:val="restart"/>
                  <w:vAlign w:val="center"/>
                </w:tcPr>
                <w:p w14:paraId="571B96C1">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建筑物名称</w:t>
                  </w:r>
                </w:p>
              </w:tc>
              <w:tc>
                <w:tcPr>
                  <w:tcW w:w="178" w:type="pct"/>
                  <w:vMerge w:val="restart"/>
                  <w:vAlign w:val="center"/>
                </w:tcPr>
                <w:p w14:paraId="468999A1">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声源名称</w:t>
                  </w:r>
                </w:p>
              </w:tc>
              <w:tc>
                <w:tcPr>
                  <w:tcW w:w="253" w:type="pct"/>
                  <w:vMerge w:val="restart"/>
                  <w:vAlign w:val="center"/>
                </w:tcPr>
                <w:p w14:paraId="4F27ED96">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声源源强</w:t>
                  </w:r>
                </w:p>
                <w:p w14:paraId="0BC5CBF0">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/dB（A）</w:t>
                  </w:r>
                </w:p>
              </w:tc>
              <w:tc>
                <w:tcPr>
                  <w:tcW w:w="228" w:type="pct"/>
                  <w:vMerge w:val="restart"/>
                  <w:vAlign w:val="center"/>
                </w:tcPr>
                <w:p w14:paraId="75A27A45">
                  <w:pPr>
                    <w:spacing w:before="100" w:beforeAutospacing="1" w:after="100" w:afterAutospacing="1"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声源控制措施</w:t>
                  </w:r>
                </w:p>
              </w:tc>
              <w:tc>
                <w:tcPr>
                  <w:tcW w:w="583" w:type="pct"/>
                  <w:gridSpan w:val="3"/>
                  <w:vAlign w:val="center"/>
                </w:tcPr>
                <w:p w14:paraId="226B0A60">
                  <w:pPr>
                    <w:spacing w:before="100" w:beforeAutospacing="1" w:after="100" w:afterAutospacing="1"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空间相对位置（m）</w:t>
                  </w:r>
                </w:p>
              </w:tc>
              <w:tc>
                <w:tcPr>
                  <w:tcW w:w="875" w:type="pct"/>
                  <w:gridSpan w:val="4"/>
                  <w:vAlign w:val="center"/>
                </w:tcPr>
                <w:p w14:paraId="16E1816D">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距室内边界距离/m</w:t>
                  </w:r>
                </w:p>
              </w:tc>
              <w:tc>
                <w:tcPr>
                  <w:tcW w:w="838" w:type="pct"/>
                  <w:gridSpan w:val="4"/>
                  <w:vAlign w:val="center"/>
                </w:tcPr>
                <w:p w14:paraId="6683D9F8">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室内边界声级/dB（A）</w:t>
                  </w:r>
                </w:p>
              </w:tc>
              <w:tc>
                <w:tcPr>
                  <w:tcW w:w="382" w:type="pct"/>
                  <w:vMerge w:val="restart"/>
                  <w:vAlign w:val="center"/>
                </w:tcPr>
                <w:p w14:paraId="04E30543">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运行时段</w:t>
                  </w:r>
                </w:p>
              </w:tc>
              <w:tc>
                <w:tcPr>
                  <w:tcW w:w="253" w:type="pct"/>
                  <w:vMerge w:val="restart"/>
                  <w:vAlign w:val="center"/>
                </w:tcPr>
                <w:p w14:paraId="53E08EF6">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建筑物插入损失/dB（A）</w:t>
                  </w:r>
                </w:p>
              </w:tc>
              <w:tc>
                <w:tcPr>
                  <w:tcW w:w="1105" w:type="pct"/>
                  <w:gridSpan w:val="5"/>
                  <w:vAlign w:val="center"/>
                </w:tcPr>
                <w:p w14:paraId="7D7A40FE">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建筑物外噪声声压级/dB（A）</w:t>
                  </w:r>
                </w:p>
              </w:tc>
            </w:tr>
            <w:tr w14:paraId="16BD54A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 w:type="pct"/>
                  <w:vMerge w:val="continue"/>
                  <w:vAlign w:val="center"/>
                </w:tcPr>
                <w:p w14:paraId="59C395F7">
                  <w:pPr>
                    <w:spacing w:line="276" w:lineRule="auto"/>
                    <w:jc w:val="center"/>
                    <w:rPr>
                      <w:rFonts w:ascii="Times New Roman" w:hAnsi="Times New Roman" w:cs="Times New Roman"/>
                      <w:color w:val="auto"/>
                      <w:sz w:val="18"/>
                      <w:szCs w:val="18"/>
                    </w:rPr>
                  </w:pPr>
                </w:p>
              </w:tc>
              <w:tc>
                <w:tcPr>
                  <w:tcW w:w="158" w:type="pct"/>
                  <w:vMerge w:val="continue"/>
                  <w:vAlign w:val="center"/>
                </w:tcPr>
                <w:p w14:paraId="59E27A5E">
                  <w:pPr>
                    <w:spacing w:line="276" w:lineRule="auto"/>
                    <w:jc w:val="center"/>
                    <w:rPr>
                      <w:rFonts w:ascii="Times New Roman" w:hAnsi="Times New Roman" w:cs="Times New Roman"/>
                      <w:color w:val="auto"/>
                      <w:sz w:val="18"/>
                      <w:szCs w:val="18"/>
                    </w:rPr>
                  </w:pPr>
                </w:p>
              </w:tc>
              <w:tc>
                <w:tcPr>
                  <w:tcW w:w="178" w:type="pct"/>
                  <w:vMerge w:val="continue"/>
                  <w:vAlign w:val="center"/>
                </w:tcPr>
                <w:p w14:paraId="384E1F26">
                  <w:pPr>
                    <w:spacing w:line="276" w:lineRule="auto"/>
                    <w:jc w:val="center"/>
                    <w:rPr>
                      <w:rFonts w:ascii="Times New Roman" w:hAnsi="Times New Roman" w:cs="Times New Roman"/>
                      <w:b/>
                      <w:color w:val="auto"/>
                      <w:sz w:val="18"/>
                      <w:szCs w:val="18"/>
                    </w:rPr>
                  </w:pPr>
                </w:p>
              </w:tc>
              <w:tc>
                <w:tcPr>
                  <w:tcW w:w="253" w:type="pct"/>
                  <w:vMerge w:val="continue"/>
                  <w:vAlign w:val="center"/>
                </w:tcPr>
                <w:p w14:paraId="658B6531">
                  <w:pPr>
                    <w:spacing w:line="276" w:lineRule="auto"/>
                    <w:jc w:val="center"/>
                    <w:rPr>
                      <w:rFonts w:ascii="Times New Roman" w:hAnsi="Times New Roman" w:cs="Times New Roman"/>
                      <w:b/>
                      <w:color w:val="auto"/>
                      <w:sz w:val="18"/>
                      <w:szCs w:val="18"/>
                    </w:rPr>
                  </w:pPr>
                </w:p>
              </w:tc>
              <w:tc>
                <w:tcPr>
                  <w:tcW w:w="228" w:type="pct"/>
                  <w:vMerge w:val="continue"/>
                  <w:vAlign w:val="center"/>
                </w:tcPr>
                <w:p w14:paraId="6BC0415F">
                  <w:pPr>
                    <w:spacing w:before="100" w:beforeAutospacing="1" w:after="100" w:afterAutospacing="1" w:line="276" w:lineRule="auto"/>
                    <w:jc w:val="center"/>
                    <w:rPr>
                      <w:rFonts w:ascii="Times New Roman" w:hAnsi="Times New Roman" w:cs="Times New Roman"/>
                      <w:b/>
                      <w:color w:val="auto"/>
                      <w:sz w:val="18"/>
                      <w:szCs w:val="18"/>
                    </w:rPr>
                  </w:pPr>
                </w:p>
              </w:tc>
              <w:tc>
                <w:tcPr>
                  <w:tcW w:w="212" w:type="pct"/>
                  <w:vAlign w:val="center"/>
                </w:tcPr>
                <w:p w14:paraId="5CF895B3">
                  <w:pPr>
                    <w:spacing w:before="100" w:beforeAutospacing="1" w:after="100" w:afterAutospacing="1"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X</w:t>
                  </w:r>
                </w:p>
              </w:tc>
              <w:tc>
                <w:tcPr>
                  <w:tcW w:w="212" w:type="pct"/>
                  <w:vAlign w:val="center"/>
                </w:tcPr>
                <w:p w14:paraId="214E497F">
                  <w:pPr>
                    <w:spacing w:before="100" w:beforeAutospacing="1" w:after="100" w:afterAutospacing="1"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Y</w:t>
                  </w:r>
                </w:p>
              </w:tc>
              <w:tc>
                <w:tcPr>
                  <w:tcW w:w="159" w:type="pct"/>
                  <w:vAlign w:val="center"/>
                </w:tcPr>
                <w:p w14:paraId="025D7290">
                  <w:pPr>
                    <w:spacing w:before="100" w:beforeAutospacing="1" w:after="100" w:afterAutospacing="1"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Z</w:t>
                  </w:r>
                </w:p>
              </w:tc>
              <w:tc>
                <w:tcPr>
                  <w:tcW w:w="220" w:type="pct"/>
                  <w:vAlign w:val="center"/>
                </w:tcPr>
                <w:p w14:paraId="4C881292">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东</w:t>
                  </w:r>
                </w:p>
              </w:tc>
              <w:tc>
                <w:tcPr>
                  <w:tcW w:w="212" w:type="pct"/>
                  <w:vAlign w:val="center"/>
                </w:tcPr>
                <w:p w14:paraId="2E130DF1">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南</w:t>
                  </w:r>
                </w:p>
              </w:tc>
              <w:tc>
                <w:tcPr>
                  <w:tcW w:w="217" w:type="pct"/>
                  <w:vAlign w:val="center"/>
                </w:tcPr>
                <w:p w14:paraId="68B1FFA8">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西</w:t>
                  </w:r>
                </w:p>
              </w:tc>
              <w:tc>
                <w:tcPr>
                  <w:tcW w:w="226" w:type="pct"/>
                  <w:vAlign w:val="center"/>
                </w:tcPr>
                <w:p w14:paraId="674208F7">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北</w:t>
                  </w:r>
                </w:p>
              </w:tc>
              <w:tc>
                <w:tcPr>
                  <w:tcW w:w="208" w:type="pct"/>
                  <w:vAlign w:val="center"/>
                </w:tcPr>
                <w:p w14:paraId="217B1840">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东</w:t>
                  </w:r>
                </w:p>
              </w:tc>
              <w:tc>
                <w:tcPr>
                  <w:tcW w:w="208" w:type="pct"/>
                  <w:vAlign w:val="center"/>
                </w:tcPr>
                <w:p w14:paraId="434F1456">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南</w:t>
                  </w:r>
                </w:p>
              </w:tc>
              <w:tc>
                <w:tcPr>
                  <w:tcW w:w="208" w:type="pct"/>
                  <w:vAlign w:val="center"/>
                </w:tcPr>
                <w:p w14:paraId="6D316A9A">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西</w:t>
                  </w:r>
                </w:p>
              </w:tc>
              <w:tc>
                <w:tcPr>
                  <w:tcW w:w="214" w:type="pct"/>
                  <w:vAlign w:val="center"/>
                </w:tcPr>
                <w:p w14:paraId="511FA7B8">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北</w:t>
                  </w:r>
                </w:p>
              </w:tc>
              <w:tc>
                <w:tcPr>
                  <w:tcW w:w="382" w:type="pct"/>
                  <w:vMerge w:val="continue"/>
                  <w:vAlign w:val="center"/>
                </w:tcPr>
                <w:p w14:paraId="551ED213">
                  <w:pPr>
                    <w:spacing w:line="276" w:lineRule="auto"/>
                    <w:jc w:val="center"/>
                    <w:rPr>
                      <w:rFonts w:ascii="Times New Roman" w:hAnsi="Times New Roman" w:cs="Times New Roman"/>
                      <w:b/>
                      <w:color w:val="auto"/>
                      <w:sz w:val="18"/>
                      <w:szCs w:val="18"/>
                    </w:rPr>
                  </w:pPr>
                </w:p>
              </w:tc>
              <w:tc>
                <w:tcPr>
                  <w:tcW w:w="253" w:type="pct"/>
                  <w:vMerge w:val="continue"/>
                  <w:vAlign w:val="center"/>
                </w:tcPr>
                <w:p w14:paraId="0C01DE01">
                  <w:pPr>
                    <w:spacing w:line="276" w:lineRule="auto"/>
                    <w:jc w:val="center"/>
                    <w:rPr>
                      <w:rFonts w:ascii="Times New Roman" w:hAnsi="Times New Roman" w:cs="Times New Roman"/>
                      <w:b/>
                      <w:color w:val="auto"/>
                      <w:sz w:val="18"/>
                      <w:szCs w:val="18"/>
                    </w:rPr>
                  </w:pPr>
                </w:p>
              </w:tc>
              <w:tc>
                <w:tcPr>
                  <w:tcW w:w="210" w:type="pct"/>
                  <w:vAlign w:val="center"/>
                </w:tcPr>
                <w:p w14:paraId="392E2FEB">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东</w:t>
                  </w:r>
                </w:p>
              </w:tc>
              <w:tc>
                <w:tcPr>
                  <w:tcW w:w="210" w:type="pct"/>
                  <w:vAlign w:val="center"/>
                </w:tcPr>
                <w:p w14:paraId="745F0779">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南</w:t>
                  </w:r>
                </w:p>
              </w:tc>
              <w:tc>
                <w:tcPr>
                  <w:tcW w:w="210" w:type="pct"/>
                  <w:vAlign w:val="center"/>
                </w:tcPr>
                <w:p w14:paraId="4BCC253F">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西</w:t>
                  </w:r>
                </w:p>
              </w:tc>
              <w:tc>
                <w:tcPr>
                  <w:tcW w:w="210" w:type="pct"/>
                  <w:vAlign w:val="center"/>
                </w:tcPr>
                <w:p w14:paraId="010A7647">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北</w:t>
                  </w:r>
                </w:p>
              </w:tc>
              <w:tc>
                <w:tcPr>
                  <w:tcW w:w="264" w:type="pct"/>
                  <w:vAlign w:val="center"/>
                </w:tcPr>
                <w:p w14:paraId="71B1C6E4">
                  <w:pPr>
                    <w:spacing w:line="276" w:lineRule="auto"/>
                    <w:jc w:val="center"/>
                    <w:rPr>
                      <w:rFonts w:ascii="Times New Roman" w:hAnsi="Times New Roman" w:cs="Times New Roman"/>
                      <w:b/>
                      <w:color w:val="auto"/>
                      <w:sz w:val="18"/>
                      <w:szCs w:val="18"/>
                    </w:rPr>
                  </w:pPr>
                  <w:r>
                    <w:rPr>
                      <w:rFonts w:ascii="Times New Roman" w:hAnsi="Times New Roman" w:cs="Times New Roman"/>
                      <w:b/>
                      <w:color w:val="auto"/>
                      <w:sz w:val="18"/>
                      <w:szCs w:val="18"/>
                    </w:rPr>
                    <w:t>建筑物外距离/m</w:t>
                  </w:r>
                </w:p>
              </w:tc>
            </w:tr>
            <w:tr w14:paraId="2C0245F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 w:type="pct"/>
                  <w:vAlign w:val="center"/>
                </w:tcPr>
                <w:p w14:paraId="73009545">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1</w:t>
                  </w:r>
                </w:p>
              </w:tc>
              <w:tc>
                <w:tcPr>
                  <w:tcW w:w="158" w:type="pct"/>
                  <w:vMerge w:val="restart"/>
                  <w:vAlign w:val="center"/>
                </w:tcPr>
                <w:p w14:paraId="5DDEE38C">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涂装车间</w:t>
                  </w:r>
                </w:p>
              </w:tc>
              <w:tc>
                <w:tcPr>
                  <w:tcW w:w="178" w:type="pct"/>
                  <w:vAlign w:val="center"/>
                </w:tcPr>
                <w:p w14:paraId="7DF9B4EC">
                  <w:pPr>
                    <w:spacing w:before="100" w:beforeAutospacing="1" w:after="100" w:afterAutospacing="1" w:line="276" w:lineRule="auto"/>
                    <w:jc w:val="center"/>
                    <w:rPr>
                      <w:rFonts w:hint="eastAsia" w:ascii="Times New Roman" w:hAnsi="Times New Roman" w:cs="Times New Roman" w:eastAsiaTheme="minorEastAsia"/>
                      <w:color w:val="auto"/>
                      <w:sz w:val="18"/>
                      <w:szCs w:val="18"/>
                      <w:lang w:eastAsia="zh-CN"/>
                    </w:rPr>
                  </w:pPr>
                  <w:r>
                    <w:rPr>
                      <w:rFonts w:ascii="Times New Roman" w:hAnsi="Times New Roman" w:cs="Times New Roman"/>
                      <w:color w:val="auto"/>
                      <w:sz w:val="18"/>
                      <w:szCs w:val="18"/>
                    </w:rPr>
                    <w:t>喷枪×</w:t>
                  </w:r>
                  <w:r>
                    <w:rPr>
                      <w:rFonts w:hint="eastAsia" w:ascii="Times New Roman" w:hAnsi="Times New Roman" w:cs="Times New Roman"/>
                      <w:color w:val="auto"/>
                      <w:sz w:val="18"/>
                      <w:szCs w:val="18"/>
                    </w:rPr>
                    <w:t>1</w:t>
                  </w:r>
                  <w:r>
                    <w:rPr>
                      <w:rFonts w:hint="eastAsia" w:ascii="Times New Roman" w:hAnsi="Times New Roman" w:cs="Times New Roman"/>
                      <w:color w:val="auto"/>
                      <w:sz w:val="18"/>
                      <w:szCs w:val="18"/>
                      <w:lang w:val="en-US" w:eastAsia="zh-CN"/>
                    </w:rPr>
                    <w:t>5</w:t>
                  </w:r>
                </w:p>
              </w:tc>
              <w:tc>
                <w:tcPr>
                  <w:tcW w:w="253" w:type="pct"/>
                  <w:vAlign w:val="center"/>
                </w:tcPr>
                <w:p w14:paraId="332D70F0">
                  <w:pPr>
                    <w:spacing w:before="100" w:beforeAutospacing="1" w:after="100" w:afterAutospacing="1"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单台75，叠加86</w:t>
                  </w:r>
                </w:p>
              </w:tc>
              <w:tc>
                <w:tcPr>
                  <w:tcW w:w="228" w:type="pct"/>
                  <w:vMerge w:val="restart"/>
                  <w:vAlign w:val="center"/>
                </w:tcPr>
                <w:p w14:paraId="0558D547">
                  <w:pPr>
                    <w:spacing w:before="100" w:beforeAutospacing="1" w:after="100" w:afterAutospacing="1" w:line="276" w:lineRule="auto"/>
                    <w:jc w:val="center"/>
                    <w:rPr>
                      <w:rFonts w:ascii="Times New Roman" w:hAnsi="Times New Roman" w:cs="Times New Roman"/>
                      <w:b/>
                      <w:color w:val="auto"/>
                      <w:sz w:val="18"/>
                      <w:szCs w:val="18"/>
                    </w:rPr>
                  </w:pPr>
                  <w:r>
                    <w:rPr>
                      <w:rFonts w:ascii="Times New Roman" w:hAnsi="Times New Roman" w:cs="Times New Roman"/>
                      <w:color w:val="auto"/>
                      <w:sz w:val="18"/>
                      <w:szCs w:val="18"/>
                    </w:rPr>
                    <w:t>基础减振、隔声</w:t>
                  </w:r>
                </w:p>
              </w:tc>
              <w:tc>
                <w:tcPr>
                  <w:tcW w:w="212" w:type="pct"/>
                  <w:vAlign w:val="center"/>
                </w:tcPr>
                <w:p w14:paraId="03A4570A">
                  <w:pPr>
                    <w:spacing w:before="100" w:beforeAutospacing="1" w:after="100" w:afterAutospacing="1"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-11.5</w:t>
                  </w:r>
                </w:p>
              </w:tc>
              <w:tc>
                <w:tcPr>
                  <w:tcW w:w="212" w:type="pct"/>
                  <w:vAlign w:val="center"/>
                </w:tcPr>
                <w:p w14:paraId="6940F019">
                  <w:pPr>
                    <w:spacing w:before="100" w:beforeAutospacing="1" w:after="100" w:afterAutospacing="1"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5</w:t>
                  </w:r>
                </w:p>
              </w:tc>
              <w:tc>
                <w:tcPr>
                  <w:tcW w:w="159" w:type="pct"/>
                  <w:vAlign w:val="center"/>
                </w:tcPr>
                <w:p w14:paraId="4FA5F9B4">
                  <w:pPr>
                    <w:jc w:val="center"/>
                    <w:rPr>
                      <w:rFonts w:ascii="Times New Roman" w:hAnsi="Times New Roman" w:cs="Times New Roman"/>
                      <w:color w:val="auto"/>
                      <w:sz w:val="18"/>
                      <w:szCs w:val="18"/>
                    </w:rPr>
                  </w:pPr>
                  <w:r>
                    <w:rPr>
                      <w:rFonts w:ascii="Times New Roman" w:hAnsi="Times New Roman" w:cs="Times New Roman"/>
                      <w:color w:val="auto"/>
                      <w:sz w:val="18"/>
                      <w:szCs w:val="18"/>
                    </w:rPr>
                    <w:t>1.2</w:t>
                  </w:r>
                </w:p>
              </w:tc>
              <w:tc>
                <w:tcPr>
                  <w:tcW w:w="220" w:type="pct"/>
                  <w:vAlign w:val="center"/>
                </w:tcPr>
                <w:p w14:paraId="1480A6BD">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27.8</w:t>
                  </w:r>
                </w:p>
              </w:tc>
              <w:tc>
                <w:tcPr>
                  <w:tcW w:w="212" w:type="pct"/>
                  <w:vAlign w:val="center"/>
                </w:tcPr>
                <w:p w14:paraId="64DA69CB">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32.5</w:t>
                  </w:r>
                </w:p>
              </w:tc>
              <w:tc>
                <w:tcPr>
                  <w:tcW w:w="217" w:type="pct"/>
                  <w:vAlign w:val="center"/>
                </w:tcPr>
                <w:p w14:paraId="6CF120FB">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7.6</w:t>
                  </w:r>
                </w:p>
              </w:tc>
              <w:tc>
                <w:tcPr>
                  <w:tcW w:w="226" w:type="pct"/>
                  <w:vAlign w:val="center"/>
                </w:tcPr>
                <w:p w14:paraId="6BFAA8CA">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24.9</w:t>
                  </w:r>
                </w:p>
              </w:tc>
              <w:tc>
                <w:tcPr>
                  <w:tcW w:w="581" w:type="dxa"/>
                  <w:vAlign w:val="center"/>
                </w:tcPr>
                <w:p w14:paraId="411B2856">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57.1</w:t>
                  </w:r>
                </w:p>
              </w:tc>
              <w:tc>
                <w:tcPr>
                  <w:tcW w:w="581" w:type="dxa"/>
                  <w:vAlign w:val="center"/>
                </w:tcPr>
                <w:p w14:paraId="324C1B23">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55.8</w:t>
                  </w:r>
                </w:p>
              </w:tc>
              <w:tc>
                <w:tcPr>
                  <w:tcW w:w="581" w:type="dxa"/>
                  <w:vAlign w:val="center"/>
                </w:tcPr>
                <w:p w14:paraId="28447FEC">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68.4</w:t>
                  </w:r>
                </w:p>
              </w:tc>
              <w:tc>
                <w:tcPr>
                  <w:tcW w:w="598" w:type="dxa"/>
                  <w:vAlign w:val="center"/>
                </w:tcPr>
                <w:p w14:paraId="6F27D827">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58.1</w:t>
                  </w:r>
                </w:p>
              </w:tc>
              <w:tc>
                <w:tcPr>
                  <w:tcW w:w="382" w:type="pct"/>
                  <w:vMerge w:val="restart"/>
                  <w:vAlign w:val="center"/>
                </w:tcPr>
                <w:p w14:paraId="2EC44689">
                  <w:pPr>
                    <w:spacing w:before="100" w:beforeAutospacing="1" w:after="100" w:afterAutospacing="1"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lang w:val="en-US" w:eastAsia="zh-CN"/>
                    </w:rPr>
                    <w:t>昼间</w:t>
                  </w:r>
                </w:p>
              </w:tc>
              <w:tc>
                <w:tcPr>
                  <w:tcW w:w="253" w:type="pct"/>
                  <w:vAlign w:val="center"/>
                </w:tcPr>
                <w:p w14:paraId="26FAFB19">
                  <w:pPr>
                    <w:jc w:val="center"/>
                    <w:rPr>
                      <w:color w:val="auto"/>
                    </w:rPr>
                  </w:pPr>
                  <w:r>
                    <w:rPr>
                      <w:rFonts w:ascii="Times New Roman" w:hAnsi="Times New Roman" w:cs="Times New Roman"/>
                      <w:color w:val="auto"/>
                      <w:sz w:val="18"/>
                      <w:szCs w:val="18"/>
                    </w:rPr>
                    <w:t>1</w:t>
                  </w:r>
                  <w:r>
                    <w:rPr>
                      <w:rFonts w:hint="eastAsia" w:ascii="Times New Roman" w:hAnsi="Times New Roman" w:cs="Times New Roman"/>
                      <w:color w:val="auto"/>
                      <w:sz w:val="18"/>
                      <w:szCs w:val="18"/>
                    </w:rPr>
                    <w:t>9</w:t>
                  </w:r>
                </w:p>
              </w:tc>
              <w:tc>
                <w:tcPr>
                  <w:tcW w:w="587" w:type="dxa"/>
                  <w:vAlign w:val="center"/>
                </w:tcPr>
                <w:p w14:paraId="588A8C64">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38.1</w:t>
                  </w:r>
                </w:p>
              </w:tc>
              <w:tc>
                <w:tcPr>
                  <w:tcW w:w="587" w:type="dxa"/>
                  <w:vAlign w:val="center"/>
                </w:tcPr>
                <w:p w14:paraId="71E26FF1">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36.8</w:t>
                  </w:r>
                </w:p>
              </w:tc>
              <w:tc>
                <w:tcPr>
                  <w:tcW w:w="587" w:type="dxa"/>
                  <w:vAlign w:val="center"/>
                </w:tcPr>
                <w:p w14:paraId="5D5FA9AD">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49.4</w:t>
                  </w:r>
                </w:p>
              </w:tc>
              <w:tc>
                <w:tcPr>
                  <w:tcW w:w="587" w:type="dxa"/>
                  <w:vAlign w:val="center"/>
                </w:tcPr>
                <w:p w14:paraId="18715AD5">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39.1</w:t>
                  </w:r>
                </w:p>
              </w:tc>
              <w:tc>
                <w:tcPr>
                  <w:tcW w:w="264" w:type="pct"/>
                  <w:vAlign w:val="center"/>
                </w:tcPr>
                <w:p w14:paraId="01E6B224">
                  <w:pPr>
                    <w:spacing w:before="100" w:beforeAutospacing="1" w:after="100" w:afterAutospacing="1"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5FA3614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 w:type="pct"/>
                  <w:vAlign w:val="center"/>
                </w:tcPr>
                <w:p w14:paraId="64574945">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w:t>
                  </w:r>
                </w:p>
              </w:tc>
              <w:tc>
                <w:tcPr>
                  <w:tcW w:w="158" w:type="pct"/>
                  <w:vMerge w:val="continue"/>
                  <w:vAlign w:val="center"/>
                </w:tcPr>
                <w:p w14:paraId="7A2F3BBC">
                  <w:pPr>
                    <w:spacing w:line="276" w:lineRule="auto"/>
                    <w:jc w:val="center"/>
                    <w:rPr>
                      <w:rFonts w:ascii="Times New Roman" w:hAnsi="Times New Roman" w:cs="Times New Roman"/>
                      <w:color w:val="auto"/>
                      <w:sz w:val="18"/>
                      <w:szCs w:val="18"/>
                    </w:rPr>
                  </w:pPr>
                </w:p>
              </w:tc>
              <w:tc>
                <w:tcPr>
                  <w:tcW w:w="178" w:type="pct"/>
                  <w:vAlign w:val="center"/>
                </w:tcPr>
                <w:p w14:paraId="45AA03E7">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空压机×2</w:t>
                  </w:r>
                </w:p>
              </w:tc>
              <w:tc>
                <w:tcPr>
                  <w:tcW w:w="253" w:type="pct"/>
                  <w:vAlign w:val="center"/>
                </w:tcPr>
                <w:p w14:paraId="08F40166">
                  <w:pPr>
                    <w:spacing w:line="276" w:lineRule="auto"/>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rPr>
                    <w:t>单台</w:t>
                  </w:r>
                  <w:r>
                    <w:rPr>
                      <w:rFonts w:hint="eastAsia" w:ascii="Times New Roman" w:hAnsi="Times New Roman" w:cs="Times New Roman"/>
                      <w:color w:val="auto"/>
                      <w:sz w:val="18"/>
                      <w:szCs w:val="18"/>
                      <w:lang w:val="en-US" w:eastAsia="zh-CN"/>
                    </w:rPr>
                    <w:t>75</w:t>
                  </w:r>
                  <w:r>
                    <w:rPr>
                      <w:rFonts w:hint="eastAsia" w:ascii="Times New Roman" w:hAnsi="Times New Roman" w:cs="Times New Roman"/>
                      <w:color w:val="auto"/>
                      <w:sz w:val="18"/>
                      <w:szCs w:val="18"/>
                    </w:rPr>
                    <w:t>，叠加</w:t>
                  </w:r>
                  <w:r>
                    <w:rPr>
                      <w:rFonts w:hint="eastAsia" w:ascii="Times New Roman" w:hAnsi="Times New Roman" w:cs="Times New Roman"/>
                      <w:color w:val="auto"/>
                      <w:sz w:val="18"/>
                      <w:szCs w:val="18"/>
                      <w:lang w:val="en-US" w:eastAsia="zh-CN"/>
                    </w:rPr>
                    <w:t>78</w:t>
                  </w:r>
                </w:p>
              </w:tc>
              <w:tc>
                <w:tcPr>
                  <w:tcW w:w="228" w:type="pct"/>
                  <w:vMerge w:val="continue"/>
                  <w:vAlign w:val="center"/>
                </w:tcPr>
                <w:p w14:paraId="345188C1">
                  <w:pPr>
                    <w:spacing w:line="276" w:lineRule="auto"/>
                    <w:jc w:val="center"/>
                    <w:rPr>
                      <w:rFonts w:hint="eastAsia" w:ascii="Times New Roman" w:hAnsi="Times New Roman" w:cs="Times New Roman"/>
                      <w:color w:val="auto"/>
                      <w:sz w:val="18"/>
                      <w:szCs w:val="18"/>
                    </w:rPr>
                  </w:pPr>
                </w:p>
              </w:tc>
              <w:tc>
                <w:tcPr>
                  <w:tcW w:w="212" w:type="pct"/>
                  <w:vAlign w:val="center"/>
                </w:tcPr>
                <w:p w14:paraId="43A015C9">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3.5</w:t>
                  </w:r>
                </w:p>
              </w:tc>
              <w:tc>
                <w:tcPr>
                  <w:tcW w:w="212" w:type="pct"/>
                  <w:vAlign w:val="center"/>
                </w:tcPr>
                <w:p w14:paraId="563899AA">
                  <w:pPr>
                    <w:spacing w:line="276" w:lineRule="auto"/>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29.8</w:t>
                  </w:r>
                </w:p>
              </w:tc>
              <w:tc>
                <w:tcPr>
                  <w:tcW w:w="159" w:type="pct"/>
                  <w:vAlign w:val="center"/>
                </w:tcPr>
                <w:p w14:paraId="344E8B05">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1.2</w:t>
                  </w:r>
                </w:p>
              </w:tc>
              <w:tc>
                <w:tcPr>
                  <w:tcW w:w="220" w:type="pct"/>
                  <w:vAlign w:val="center"/>
                </w:tcPr>
                <w:p w14:paraId="0B144D6C">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16.5</w:t>
                  </w:r>
                </w:p>
              </w:tc>
              <w:tc>
                <w:tcPr>
                  <w:tcW w:w="212" w:type="pct"/>
                  <w:vAlign w:val="center"/>
                </w:tcPr>
                <w:p w14:paraId="590B20A3">
                  <w:pPr>
                    <w:spacing w:line="276" w:lineRule="auto"/>
                    <w:jc w:val="center"/>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57</w:t>
                  </w:r>
                </w:p>
              </w:tc>
              <w:tc>
                <w:tcPr>
                  <w:tcW w:w="217" w:type="pct"/>
                  <w:vAlign w:val="center"/>
                </w:tcPr>
                <w:p w14:paraId="4E566CE5">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rPr>
                    <w:t>8.0</w:t>
                  </w:r>
                </w:p>
              </w:tc>
              <w:tc>
                <w:tcPr>
                  <w:tcW w:w="226" w:type="pct"/>
                  <w:vAlign w:val="center"/>
                </w:tcPr>
                <w:p w14:paraId="3AAE31C9">
                  <w:pPr>
                    <w:spacing w:line="276" w:lineRule="auto"/>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3.3</w:t>
                  </w:r>
                </w:p>
              </w:tc>
              <w:tc>
                <w:tcPr>
                  <w:tcW w:w="581" w:type="dxa"/>
                  <w:vAlign w:val="center"/>
                </w:tcPr>
                <w:p w14:paraId="39DDC423">
                  <w:pPr>
                    <w:spacing w:line="276" w:lineRule="auto"/>
                    <w:jc w:val="center"/>
                    <w:rPr>
                      <w:rFonts w:hint="eastAsia"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53.7</w:t>
                  </w:r>
                </w:p>
              </w:tc>
              <w:tc>
                <w:tcPr>
                  <w:tcW w:w="581" w:type="dxa"/>
                  <w:vAlign w:val="center"/>
                </w:tcPr>
                <w:p w14:paraId="57F500FC">
                  <w:pPr>
                    <w:spacing w:line="276" w:lineRule="auto"/>
                    <w:jc w:val="center"/>
                    <w:rPr>
                      <w:rFonts w:hint="eastAsia"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42.9</w:t>
                  </w:r>
                </w:p>
              </w:tc>
              <w:tc>
                <w:tcPr>
                  <w:tcW w:w="581" w:type="dxa"/>
                  <w:vAlign w:val="center"/>
                </w:tcPr>
                <w:p w14:paraId="05EAC101">
                  <w:pPr>
                    <w:spacing w:line="276" w:lineRule="auto"/>
                    <w:jc w:val="center"/>
                    <w:rPr>
                      <w:rFonts w:hint="eastAsia"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59.9</w:t>
                  </w:r>
                </w:p>
              </w:tc>
              <w:tc>
                <w:tcPr>
                  <w:tcW w:w="598" w:type="dxa"/>
                  <w:vAlign w:val="center"/>
                </w:tcPr>
                <w:p w14:paraId="1E77DB1A">
                  <w:pPr>
                    <w:spacing w:line="276" w:lineRule="auto"/>
                    <w:jc w:val="center"/>
                    <w:rPr>
                      <w:rFonts w:hint="eastAsia"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67.6</w:t>
                  </w:r>
                </w:p>
              </w:tc>
              <w:tc>
                <w:tcPr>
                  <w:tcW w:w="382" w:type="pct"/>
                  <w:vMerge w:val="continue"/>
                  <w:vAlign w:val="center"/>
                </w:tcPr>
                <w:p w14:paraId="65BC0428">
                  <w:pPr>
                    <w:spacing w:before="100" w:beforeAutospacing="1" w:after="100" w:afterAutospacing="1" w:line="276" w:lineRule="auto"/>
                    <w:jc w:val="center"/>
                    <w:rPr>
                      <w:rFonts w:ascii="Times New Roman" w:hAnsi="Times New Roman" w:cs="Times New Roman"/>
                      <w:color w:val="auto"/>
                      <w:sz w:val="18"/>
                      <w:szCs w:val="18"/>
                    </w:rPr>
                  </w:pPr>
                </w:p>
              </w:tc>
              <w:tc>
                <w:tcPr>
                  <w:tcW w:w="253" w:type="pct"/>
                  <w:vAlign w:val="center"/>
                </w:tcPr>
                <w:p w14:paraId="3F0C9F36">
                  <w:pPr>
                    <w:jc w:val="center"/>
                    <w:rPr>
                      <w:color w:val="auto"/>
                    </w:rPr>
                  </w:pPr>
                  <w:r>
                    <w:rPr>
                      <w:rFonts w:ascii="Times New Roman" w:hAnsi="Times New Roman" w:cs="Times New Roman"/>
                      <w:color w:val="auto"/>
                      <w:sz w:val="18"/>
                      <w:szCs w:val="18"/>
                    </w:rPr>
                    <w:t>1</w:t>
                  </w:r>
                  <w:r>
                    <w:rPr>
                      <w:rFonts w:hint="eastAsia" w:ascii="Times New Roman" w:hAnsi="Times New Roman" w:cs="Times New Roman"/>
                      <w:color w:val="auto"/>
                      <w:sz w:val="18"/>
                      <w:szCs w:val="18"/>
                    </w:rPr>
                    <w:t>9</w:t>
                  </w:r>
                </w:p>
              </w:tc>
              <w:tc>
                <w:tcPr>
                  <w:tcW w:w="587" w:type="dxa"/>
                  <w:vAlign w:val="center"/>
                </w:tcPr>
                <w:p w14:paraId="25265DB3">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lang w:val="en-US" w:eastAsia="zh-CN"/>
                    </w:rPr>
                    <w:t>34.7</w:t>
                  </w:r>
                </w:p>
              </w:tc>
              <w:tc>
                <w:tcPr>
                  <w:tcW w:w="587" w:type="dxa"/>
                  <w:vAlign w:val="center"/>
                </w:tcPr>
                <w:p w14:paraId="0B0C951D">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lang w:val="en-US" w:eastAsia="zh-CN"/>
                    </w:rPr>
                    <w:t>23.9</w:t>
                  </w:r>
                </w:p>
              </w:tc>
              <w:tc>
                <w:tcPr>
                  <w:tcW w:w="587" w:type="dxa"/>
                  <w:vAlign w:val="center"/>
                </w:tcPr>
                <w:p w14:paraId="4812117B">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lang w:val="en-US" w:eastAsia="zh-CN"/>
                    </w:rPr>
                    <w:t>40.9</w:t>
                  </w:r>
                </w:p>
              </w:tc>
              <w:tc>
                <w:tcPr>
                  <w:tcW w:w="587" w:type="dxa"/>
                  <w:vAlign w:val="center"/>
                </w:tcPr>
                <w:p w14:paraId="66162542">
                  <w:pPr>
                    <w:spacing w:line="276" w:lineRule="auto"/>
                    <w:jc w:val="center"/>
                    <w:rPr>
                      <w:rFonts w:hint="eastAsia" w:ascii="Times New Roman" w:hAnsi="Times New Roman" w:cs="Times New Roman"/>
                      <w:color w:val="auto"/>
                      <w:sz w:val="18"/>
                      <w:szCs w:val="18"/>
                    </w:rPr>
                  </w:pPr>
                  <w:r>
                    <w:rPr>
                      <w:rFonts w:hint="eastAsia" w:ascii="Times New Roman" w:hAnsi="Times New Roman" w:cs="Times New Roman"/>
                      <w:color w:val="auto"/>
                      <w:sz w:val="18"/>
                      <w:szCs w:val="18"/>
                      <w:lang w:val="en-US" w:eastAsia="zh-CN"/>
                    </w:rPr>
                    <w:t>48.6</w:t>
                  </w:r>
                </w:p>
              </w:tc>
              <w:tc>
                <w:tcPr>
                  <w:tcW w:w="264" w:type="pct"/>
                  <w:vAlign w:val="center"/>
                </w:tcPr>
                <w:p w14:paraId="01F2BFB0">
                  <w:pPr>
                    <w:spacing w:before="100" w:beforeAutospacing="1" w:after="100" w:afterAutospacing="1"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4A6B361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 w:type="pct"/>
                  <w:vAlign w:val="center"/>
                </w:tcPr>
                <w:p w14:paraId="0597BC23">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3</w:t>
                  </w:r>
                </w:p>
              </w:tc>
              <w:tc>
                <w:tcPr>
                  <w:tcW w:w="158" w:type="pct"/>
                  <w:vMerge w:val="continue"/>
                  <w:vAlign w:val="center"/>
                </w:tcPr>
                <w:p w14:paraId="3536569F">
                  <w:pPr>
                    <w:spacing w:line="276" w:lineRule="auto"/>
                    <w:jc w:val="center"/>
                    <w:rPr>
                      <w:rFonts w:ascii="Times New Roman" w:hAnsi="Times New Roman" w:cs="Times New Roman"/>
                      <w:color w:val="auto"/>
                      <w:sz w:val="18"/>
                      <w:szCs w:val="18"/>
                    </w:rPr>
                  </w:pPr>
                </w:p>
              </w:tc>
              <w:tc>
                <w:tcPr>
                  <w:tcW w:w="178" w:type="pct"/>
                  <w:vAlign w:val="center"/>
                </w:tcPr>
                <w:p w14:paraId="35ECBB69">
                  <w:pPr>
                    <w:spacing w:line="271" w:lineRule="auto"/>
                    <w:jc w:val="center"/>
                    <w:textAlignment w:val="center"/>
                    <w:rPr>
                      <w:rFonts w:ascii="Times New Roman" w:hAnsi="Times New Roman" w:cs="Times New Roman"/>
                      <w:color w:val="auto"/>
                      <w:sz w:val="18"/>
                      <w:szCs w:val="18"/>
                    </w:rPr>
                  </w:pPr>
                  <w:r>
                    <w:rPr>
                      <w:rFonts w:ascii="Times New Roman" w:hAnsi="Times New Roman" w:cs="Times New Roman"/>
                      <w:color w:val="auto"/>
                      <w:sz w:val="18"/>
                      <w:szCs w:val="18"/>
                    </w:rPr>
                    <w:t>烘烤箱</w:t>
                  </w:r>
                </w:p>
              </w:tc>
              <w:tc>
                <w:tcPr>
                  <w:tcW w:w="708" w:type="dxa"/>
                  <w:vAlign w:val="center"/>
                </w:tcPr>
                <w:p w14:paraId="62D0B0AA">
                  <w:pPr>
                    <w:spacing w:before="100" w:beforeAutospacing="1" w:after="100" w:afterAutospacing="1"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80</w:t>
                  </w:r>
                </w:p>
              </w:tc>
              <w:tc>
                <w:tcPr>
                  <w:tcW w:w="228" w:type="pct"/>
                  <w:vMerge w:val="continue"/>
                  <w:vAlign w:val="center"/>
                </w:tcPr>
                <w:p w14:paraId="1F202E10">
                  <w:pPr>
                    <w:spacing w:line="276" w:lineRule="auto"/>
                    <w:jc w:val="center"/>
                    <w:rPr>
                      <w:rFonts w:ascii="Times New Roman" w:hAnsi="Times New Roman" w:cs="Times New Roman"/>
                      <w:color w:val="auto"/>
                      <w:sz w:val="18"/>
                      <w:szCs w:val="18"/>
                    </w:rPr>
                  </w:pPr>
                </w:p>
              </w:tc>
              <w:tc>
                <w:tcPr>
                  <w:tcW w:w="212" w:type="pct"/>
                  <w:vAlign w:val="center"/>
                </w:tcPr>
                <w:p w14:paraId="0075BC7E">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2.6</w:t>
                  </w:r>
                </w:p>
              </w:tc>
              <w:tc>
                <w:tcPr>
                  <w:tcW w:w="212" w:type="pct"/>
                  <w:vAlign w:val="center"/>
                </w:tcPr>
                <w:p w14:paraId="68B28055">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25.9</w:t>
                  </w:r>
                </w:p>
              </w:tc>
              <w:tc>
                <w:tcPr>
                  <w:tcW w:w="159" w:type="pct"/>
                  <w:vAlign w:val="center"/>
                </w:tcPr>
                <w:p w14:paraId="495FA3A0">
                  <w:pPr>
                    <w:jc w:val="center"/>
                    <w:rPr>
                      <w:rFonts w:ascii="Times New Roman" w:hAnsi="Times New Roman" w:cs="Times New Roman"/>
                      <w:color w:val="auto"/>
                      <w:sz w:val="18"/>
                      <w:szCs w:val="18"/>
                    </w:rPr>
                  </w:pPr>
                  <w:r>
                    <w:rPr>
                      <w:rFonts w:ascii="Times New Roman" w:hAnsi="Times New Roman" w:cs="Times New Roman"/>
                      <w:color w:val="auto"/>
                      <w:sz w:val="18"/>
                      <w:szCs w:val="18"/>
                    </w:rPr>
                    <w:t>1.2</w:t>
                  </w:r>
                </w:p>
              </w:tc>
              <w:tc>
                <w:tcPr>
                  <w:tcW w:w="220" w:type="pct"/>
                  <w:vAlign w:val="center"/>
                </w:tcPr>
                <w:p w14:paraId="4C598423">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15.6</w:t>
                  </w:r>
                </w:p>
              </w:tc>
              <w:tc>
                <w:tcPr>
                  <w:tcW w:w="212" w:type="pct"/>
                  <w:vAlign w:val="center"/>
                </w:tcPr>
                <w:p w14:paraId="23AE57CC">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53.1</w:t>
                  </w:r>
                </w:p>
              </w:tc>
              <w:tc>
                <w:tcPr>
                  <w:tcW w:w="217" w:type="pct"/>
                  <w:vAlign w:val="center"/>
                </w:tcPr>
                <w:p w14:paraId="54CBF6CB">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8.9</w:t>
                  </w:r>
                </w:p>
              </w:tc>
              <w:tc>
                <w:tcPr>
                  <w:tcW w:w="226" w:type="pct"/>
                  <w:vAlign w:val="center"/>
                </w:tcPr>
                <w:p w14:paraId="6F319062">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7.2</w:t>
                  </w:r>
                </w:p>
              </w:tc>
              <w:tc>
                <w:tcPr>
                  <w:tcW w:w="581" w:type="dxa"/>
                  <w:vAlign w:val="center"/>
                </w:tcPr>
                <w:p w14:paraId="49E73336">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59.1</w:t>
                  </w:r>
                </w:p>
              </w:tc>
              <w:tc>
                <w:tcPr>
                  <w:tcW w:w="581" w:type="dxa"/>
                  <w:vAlign w:val="center"/>
                </w:tcPr>
                <w:p w14:paraId="5D7C8E6B">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48.5</w:t>
                  </w:r>
                </w:p>
              </w:tc>
              <w:tc>
                <w:tcPr>
                  <w:tcW w:w="581" w:type="dxa"/>
                  <w:vAlign w:val="center"/>
                </w:tcPr>
                <w:p w14:paraId="03140361">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64.0</w:t>
                  </w:r>
                </w:p>
              </w:tc>
              <w:tc>
                <w:tcPr>
                  <w:tcW w:w="598" w:type="dxa"/>
                  <w:vAlign w:val="center"/>
                </w:tcPr>
                <w:p w14:paraId="4C5CBE8D">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65.9</w:t>
                  </w:r>
                </w:p>
              </w:tc>
              <w:tc>
                <w:tcPr>
                  <w:tcW w:w="382" w:type="pct"/>
                  <w:vMerge w:val="continue"/>
                  <w:vAlign w:val="center"/>
                </w:tcPr>
                <w:p w14:paraId="16190F20">
                  <w:pPr>
                    <w:spacing w:before="100" w:beforeAutospacing="1" w:after="100" w:afterAutospacing="1" w:line="276" w:lineRule="auto"/>
                    <w:jc w:val="center"/>
                    <w:rPr>
                      <w:rFonts w:ascii="Times New Roman" w:hAnsi="Times New Roman" w:cs="Times New Roman"/>
                      <w:color w:val="auto"/>
                      <w:sz w:val="18"/>
                      <w:szCs w:val="18"/>
                    </w:rPr>
                  </w:pPr>
                </w:p>
              </w:tc>
              <w:tc>
                <w:tcPr>
                  <w:tcW w:w="253" w:type="pct"/>
                  <w:vAlign w:val="center"/>
                </w:tcPr>
                <w:p w14:paraId="555C0C86">
                  <w:pPr>
                    <w:jc w:val="center"/>
                    <w:rPr>
                      <w:color w:val="auto"/>
                    </w:rPr>
                  </w:pPr>
                  <w:r>
                    <w:rPr>
                      <w:rFonts w:ascii="Times New Roman" w:hAnsi="Times New Roman" w:cs="Times New Roman"/>
                      <w:color w:val="auto"/>
                      <w:sz w:val="18"/>
                      <w:szCs w:val="18"/>
                    </w:rPr>
                    <w:t>1</w:t>
                  </w:r>
                  <w:r>
                    <w:rPr>
                      <w:rFonts w:hint="eastAsia" w:ascii="Times New Roman" w:hAnsi="Times New Roman" w:cs="Times New Roman"/>
                      <w:color w:val="auto"/>
                      <w:sz w:val="18"/>
                      <w:szCs w:val="18"/>
                    </w:rPr>
                    <w:t>9</w:t>
                  </w:r>
                </w:p>
              </w:tc>
              <w:tc>
                <w:tcPr>
                  <w:tcW w:w="587" w:type="dxa"/>
                  <w:vAlign w:val="center"/>
                </w:tcPr>
                <w:p w14:paraId="1AF88F84">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40.1</w:t>
                  </w:r>
                </w:p>
              </w:tc>
              <w:tc>
                <w:tcPr>
                  <w:tcW w:w="587" w:type="dxa"/>
                  <w:vAlign w:val="center"/>
                </w:tcPr>
                <w:p w14:paraId="16364A52">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29.5</w:t>
                  </w:r>
                </w:p>
              </w:tc>
              <w:tc>
                <w:tcPr>
                  <w:tcW w:w="587" w:type="dxa"/>
                  <w:vAlign w:val="center"/>
                </w:tcPr>
                <w:p w14:paraId="1E8FDB02">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45.0</w:t>
                  </w:r>
                </w:p>
              </w:tc>
              <w:tc>
                <w:tcPr>
                  <w:tcW w:w="587" w:type="dxa"/>
                  <w:vAlign w:val="center"/>
                </w:tcPr>
                <w:p w14:paraId="704A1E00">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46.9</w:t>
                  </w:r>
                </w:p>
              </w:tc>
              <w:tc>
                <w:tcPr>
                  <w:tcW w:w="264" w:type="pct"/>
                  <w:vAlign w:val="center"/>
                </w:tcPr>
                <w:p w14:paraId="3EDC9D20">
                  <w:pPr>
                    <w:spacing w:before="100" w:beforeAutospacing="1" w:after="100" w:afterAutospacing="1"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3C4F938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 w:type="pct"/>
                  <w:vAlign w:val="center"/>
                </w:tcPr>
                <w:p w14:paraId="5CEBE9E8">
                  <w:pPr>
                    <w:spacing w:line="276" w:lineRule="auto"/>
                    <w:jc w:val="center"/>
                    <w:rPr>
                      <w:rFonts w:hint="eastAsia" w:ascii="Times New Roman" w:hAnsi="Times New Roman" w:cs="Times New Roman"/>
                      <w:color w:val="auto"/>
                      <w:sz w:val="18"/>
                      <w:szCs w:val="18"/>
                    </w:rPr>
                  </w:pPr>
                </w:p>
              </w:tc>
              <w:tc>
                <w:tcPr>
                  <w:tcW w:w="158" w:type="pct"/>
                  <w:vMerge w:val="continue"/>
                  <w:vAlign w:val="center"/>
                </w:tcPr>
                <w:p w14:paraId="60E84B0A">
                  <w:pPr>
                    <w:spacing w:line="276" w:lineRule="auto"/>
                    <w:jc w:val="center"/>
                    <w:rPr>
                      <w:rFonts w:ascii="Times New Roman" w:hAnsi="Times New Roman" w:cs="Times New Roman"/>
                      <w:color w:val="auto"/>
                      <w:sz w:val="18"/>
                      <w:szCs w:val="18"/>
                    </w:rPr>
                  </w:pPr>
                </w:p>
              </w:tc>
              <w:tc>
                <w:tcPr>
                  <w:tcW w:w="178" w:type="pct"/>
                  <w:vAlign w:val="center"/>
                </w:tcPr>
                <w:p w14:paraId="11A1AE40">
                  <w:pPr>
                    <w:spacing w:line="271" w:lineRule="auto"/>
                    <w:jc w:val="center"/>
                    <w:textAlignment w:val="center"/>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烘干炉</w:t>
                  </w:r>
                </w:p>
              </w:tc>
              <w:tc>
                <w:tcPr>
                  <w:tcW w:w="708" w:type="dxa"/>
                  <w:vAlign w:val="center"/>
                </w:tcPr>
                <w:p w14:paraId="60309683">
                  <w:pPr>
                    <w:spacing w:before="100" w:beforeAutospacing="1" w:after="100" w:afterAutospacing="1" w:line="276" w:lineRule="auto"/>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80</w:t>
                  </w:r>
                </w:p>
              </w:tc>
              <w:tc>
                <w:tcPr>
                  <w:tcW w:w="228" w:type="pct"/>
                  <w:vMerge w:val="continue"/>
                  <w:vAlign w:val="center"/>
                </w:tcPr>
                <w:p w14:paraId="4C498493">
                  <w:pPr>
                    <w:spacing w:line="276" w:lineRule="auto"/>
                    <w:jc w:val="center"/>
                    <w:rPr>
                      <w:rFonts w:ascii="Times New Roman" w:hAnsi="Times New Roman" w:cs="Times New Roman"/>
                      <w:color w:val="auto"/>
                      <w:sz w:val="18"/>
                      <w:szCs w:val="18"/>
                    </w:rPr>
                  </w:pPr>
                </w:p>
              </w:tc>
              <w:tc>
                <w:tcPr>
                  <w:tcW w:w="212" w:type="pct"/>
                  <w:vAlign w:val="center"/>
                </w:tcPr>
                <w:p w14:paraId="148D7EA7">
                  <w:pPr>
                    <w:spacing w:line="276" w:lineRule="auto"/>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2.6</w:t>
                  </w:r>
                </w:p>
              </w:tc>
              <w:tc>
                <w:tcPr>
                  <w:tcW w:w="212" w:type="pct"/>
                  <w:vAlign w:val="center"/>
                </w:tcPr>
                <w:p w14:paraId="11D1DE24">
                  <w:pPr>
                    <w:spacing w:line="276" w:lineRule="auto"/>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22.3</w:t>
                  </w:r>
                </w:p>
              </w:tc>
              <w:tc>
                <w:tcPr>
                  <w:tcW w:w="159" w:type="pct"/>
                  <w:vAlign w:val="center"/>
                </w:tcPr>
                <w:p w14:paraId="082DE809">
                  <w:pPr>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1.2</w:t>
                  </w:r>
                </w:p>
              </w:tc>
              <w:tc>
                <w:tcPr>
                  <w:tcW w:w="220" w:type="pct"/>
                  <w:vAlign w:val="center"/>
                </w:tcPr>
                <w:p w14:paraId="6D52B688">
                  <w:pPr>
                    <w:spacing w:line="276" w:lineRule="auto"/>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15.6</w:t>
                  </w:r>
                </w:p>
              </w:tc>
              <w:tc>
                <w:tcPr>
                  <w:tcW w:w="212" w:type="pct"/>
                  <w:vAlign w:val="center"/>
                </w:tcPr>
                <w:p w14:paraId="56F7F77C">
                  <w:pPr>
                    <w:spacing w:line="276" w:lineRule="auto"/>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49.5</w:t>
                  </w:r>
                </w:p>
              </w:tc>
              <w:tc>
                <w:tcPr>
                  <w:tcW w:w="217" w:type="pct"/>
                  <w:vAlign w:val="center"/>
                </w:tcPr>
                <w:p w14:paraId="11F4DBD9">
                  <w:pPr>
                    <w:spacing w:line="276" w:lineRule="auto"/>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8.9</w:t>
                  </w:r>
                </w:p>
              </w:tc>
              <w:tc>
                <w:tcPr>
                  <w:tcW w:w="226" w:type="pct"/>
                  <w:vAlign w:val="center"/>
                </w:tcPr>
                <w:p w14:paraId="0F779A4F">
                  <w:pPr>
                    <w:spacing w:line="276" w:lineRule="auto"/>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10.8</w:t>
                  </w:r>
                </w:p>
              </w:tc>
              <w:tc>
                <w:tcPr>
                  <w:tcW w:w="581" w:type="dxa"/>
                  <w:vAlign w:val="center"/>
                </w:tcPr>
                <w:p w14:paraId="39C5A9FA">
                  <w:pPr>
                    <w:spacing w:line="276" w:lineRule="auto"/>
                    <w:jc w:val="center"/>
                    <w:rPr>
                      <w:rFonts w:hint="eastAsia"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56.1</w:t>
                  </w:r>
                </w:p>
              </w:tc>
              <w:tc>
                <w:tcPr>
                  <w:tcW w:w="581" w:type="dxa"/>
                  <w:vAlign w:val="center"/>
                </w:tcPr>
                <w:p w14:paraId="54EE692A">
                  <w:pPr>
                    <w:spacing w:line="276" w:lineRule="auto"/>
                    <w:jc w:val="center"/>
                    <w:rPr>
                      <w:rFonts w:hint="eastAsia"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46.1</w:t>
                  </w:r>
                </w:p>
              </w:tc>
              <w:tc>
                <w:tcPr>
                  <w:tcW w:w="581" w:type="dxa"/>
                  <w:vAlign w:val="center"/>
                </w:tcPr>
                <w:p w14:paraId="6178F09C">
                  <w:pPr>
                    <w:spacing w:line="276" w:lineRule="auto"/>
                    <w:jc w:val="center"/>
                    <w:rPr>
                      <w:rFonts w:hint="eastAsia"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61.0</w:t>
                  </w:r>
                </w:p>
              </w:tc>
              <w:tc>
                <w:tcPr>
                  <w:tcW w:w="598" w:type="dxa"/>
                  <w:vAlign w:val="center"/>
                </w:tcPr>
                <w:p w14:paraId="6037B927">
                  <w:pPr>
                    <w:spacing w:line="276" w:lineRule="auto"/>
                    <w:jc w:val="center"/>
                    <w:rPr>
                      <w:rFonts w:hint="eastAsia"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59.3</w:t>
                  </w:r>
                </w:p>
              </w:tc>
              <w:tc>
                <w:tcPr>
                  <w:tcW w:w="382" w:type="pct"/>
                  <w:vMerge w:val="continue"/>
                  <w:vAlign w:val="center"/>
                </w:tcPr>
                <w:p w14:paraId="217A91CF">
                  <w:pPr>
                    <w:spacing w:before="100" w:beforeAutospacing="1" w:after="100" w:afterAutospacing="1" w:line="276" w:lineRule="auto"/>
                    <w:jc w:val="center"/>
                    <w:rPr>
                      <w:rFonts w:ascii="Times New Roman" w:hAnsi="Times New Roman" w:cs="Times New Roman"/>
                      <w:color w:val="auto"/>
                      <w:sz w:val="18"/>
                      <w:szCs w:val="18"/>
                    </w:rPr>
                  </w:pPr>
                </w:p>
              </w:tc>
              <w:tc>
                <w:tcPr>
                  <w:tcW w:w="253" w:type="pct"/>
                  <w:vAlign w:val="center"/>
                </w:tcPr>
                <w:p w14:paraId="4758D888">
                  <w:pPr>
                    <w:jc w:val="center"/>
                    <w:rPr>
                      <w:rFonts w:hint="default"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19</w:t>
                  </w:r>
                </w:p>
              </w:tc>
              <w:tc>
                <w:tcPr>
                  <w:tcW w:w="587" w:type="dxa"/>
                  <w:vAlign w:val="center"/>
                </w:tcPr>
                <w:p w14:paraId="4D2C2B59">
                  <w:pPr>
                    <w:spacing w:line="276" w:lineRule="auto"/>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37.1</w:t>
                  </w:r>
                </w:p>
              </w:tc>
              <w:tc>
                <w:tcPr>
                  <w:tcW w:w="587" w:type="dxa"/>
                  <w:vAlign w:val="center"/>
                </w:tcPr>
                <w:p w14:paraId="7FB03CC7">
                  <w:pPr>
                    <w:spacing w:line="276" w:lineRule="auto"/>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27.1</w:t>
                  </w:r>
                </w:p>
              </w:tc>
              <w:tc>
                <w:tcPr>
                  <w:tcW w:w="587" w:type="dxa"/>
                  <w:vAlign w:val="center"/>
                </w:tcPr>
                <w:p w14:paraId="46735472">
                  <w:pPr>
                    <w:spacing w:line="276" w:lineRule="auto"/>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42.0</w:t>
                  </w:r>
                </w:p>
              </w:tc>
              <w:tc>
                <w:tcPr>
                  <w:tcW w:w="587" w:type="dxa"/>
                  <w:vAlign w:val="center"/>
                </w:tcPr>
                <w:p w14:paraId="66B36066">
                  <w:pPr>
                    <w:spacing w:line="276" w:lineRule="auto"/>
                    <w:jc w:val="center"/>
                    <w:rPr>
                      <w:rFonts w:hint="eastAsia"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40.3</w:t>
                  </w:r>
                </w:p>
              </w:tc>
              <w:tc>
                <w:tcPr>
                  <w:tcW w:w="264" w:type="pct"/>
                  <w:vAlign w:val="center"/>
                </w:tcPr>
                <w:p w14:paraId="56F476D8">
                  <w:pPr>
                    <w:spacing w:before="100" w:beforeAutospacing="1" w:after="100" w:afterAutospacing="1" w:line="276" w:lineRule="auto"/>
                    <w:jc w:val="center"/>
                    <w:rPr>
                      <w:rFonts w:hint="eastAsia" w:ascii="Times New Roman" w:hAnsi="Times New Roman" w:cs="Times New Roman" w:eastAsiaTheme="minorEastAsia"/>
                      <w:color w:val="auto"/>
                      <w:sz w:val="18"/>
                      <w:szCs w:val="18"/>
                      <w:lang w:val="en-US" w:eastAsia="zh-CN"/>
                    </w:rPr>
                  </w:pPr>
                  <w:r>
                    <w:rPr>
                      <w:rFonts w:hint="eastAsia" w:ascii="Times New Roman" w:hAnsi="Times New Roman" w:cs="Times New Roman"/>
                      <w:color w:val="auto"/>
                      <w:sz w:val="18"/>
                      <w:szCs w:val="18"/>
                      <w:lang w:val="en-US" w:eastAsia="zh-CN"/>
                    </w:rPr>
                    <w:t>1</w:t>
                  </w:r>
                </w:p>
              </w:tc>
            </w:tr>
            <w:tr w14:paraId="4D12140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 w:type="pct"/>
                  <w:vAlign w:val="center"/>
                </w:tcPr>
                <w:p w14:paraId="3CD6223F">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4</w:t>
                  </w:r>
                </w:p>
              </w:tc>
              <w:tc>
                <w:tcPr>
                  <w:tcW w:w="158" w:type="pct"/>
                  <w:vMerge w:val="continue"/>
                  <w:vAlign w:val="center"/>
                </w:tcPr>
                <w:p w14:paraId="0182BA88">
                  <w:pPr>
                    <w:spacing w:line="276" w:lineRule="auto"/>
                    <w:jc w:val="center"/>
                    <w:rPr>
                      <w:rFonts w:ascii="Times New Roman" w:hAnsi="Times New Roman" w:cs="Times New Roman"/>
                      <w:color w:val="auto"/>
                      <w:sz w:val="18"/>
                      <w:szCs w:val="18"/>
                    </w:rPr>
                  </w:pPr>
                </w:p>
              </w:tc>
              <w:tc>
                <w:tcPr>
                  <w:tcW w:w="178" w:type="pct"/>
                  <w:vAlign w:val="center"/>
                </w:tcPr>
                <w:p w14:paraId="3D10429F">
                  <w:pPr>
                    <w:spacing w:line="271" w:lineRule="auto"/>
                    <w:jc w:val="center"/>
                    <w:textAlignment w:val="center"/>
                    <w:rPr>
                      <w:rFonts w:ascii="Times New Roman" w:hAnsi="Times New Roman" w:cs="Times New Roman"/>
                      <w:color w:val="auto"/>
                      <w:sz w:val="18"/>
                      <w:szCs w:val="18"/>
                    </w:rPr>
                  </w:pPr>
                  <w:r>
                    <w:rPr>
                      <w:rFonts w:ascii="Times New Roman" w:hAnsi="Times New Roman" w:cs="Times New Roman"/>
                      <w:color w:val="auto"/>
                      <w:sz w:val="18"/>
                      <w:szCs w:val="18"/>
                    </w:rPr>
                    <w:t>镭雕机×</w:t>
                  </w:r>
                  <w:r>
                    <w:rPr>
                      <w:rFonts w:hint="eastAsia" w:ascii="Times New Roman" w:hAnsi="Times New Roman" w:cs="Times New Roman"/>
                      <w:color w:val="auto"/>
                      <w:sz w:val="18"/>
                      <w:szCs w:val="18"/>
                    </w:rPr>
                    <w:t>2</w:t>
                  </w:r>
                </w:p>
              </w:tc>
              <w:tc>
                <w:tcPr>
                  <w:tcW w:w="253" w:type="pct"/>
                  <w:vAlign w:val="center"/>
                </w:tcPr>
                <w:p w14:paraId="41EAA86C">
                  <w:pPr>
                    <w:spacing w:before="100" w:beforeAutospacing="1" w:after="100" w:afterAutospacing="1"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单台75，叠加</w:t>
                  </w:r>
                  <w:r>
                    <w:rPr>
                      <w:rFonts w:hint="eastAsia" w:ascii="Times New Roman" w:hAnsi="Times New Roman" w:cs="Times New Roman"/>
                      <w:color w:val="auto"/>
                      <w:sz w:val="18"/>
                      <w:szCs w:val="18"/>
                    </w:rPr>
                    <w:t>78</w:t>
                  </w:r>
                </w:p>
              </w:tc>
              <w:tc>
                <w:tcPr>
                  <w:tcW w:w="228" w:type="pct"/>
                  <w:vMerge w:val="continue"/>
                  <w:vAlign w:val="center"/>
                </w:tcPr>
                <w:p w14:paraId="1BF72668">
                  <w:pPr>
                    <w:spacing w:line="276" w:lineRule="auto"/>
                    <w:jc w:val="center"/>
                    <w:rPr>
                      <w:rFonts w:ascii="Times New Roman" w:hAnsi="Times New Roman" w:cs="Times New Roman"/>
                      <w:color w:val="auto"/>
                      <w:sz w:val="18"/>
                      <w:szCs w:val="18"/>
                    </w:rPr>
                  </w:pPr>
                </w:p>
              </w:tc>
              <w:tc>
                <w:tcPr>
                  <w:tcW w:w="212" w:type="pct"/>
                  <w:vAlign w:val="center"/>
                </w:tcPr>
                <w:p w14:paraId="1EA38516">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-2.7</w:t>
                  </w:r>
                </w:p>
              </w:tc>
              <w:tc>
                <w:tcPr>
                  <w:tcW w:w="212" w:type="pct"/>
                  <w:vAlign w:val="center"/>
                </w:tcPr>
                <w:p w14:paraId="5585AE0C">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31.6</w:t>
                  </w:r>
                </w:p>
              </w:tc>
              <w:tc>
                <w:tcPr>
                  <w:tcW w:w="159" w:type="pct"/>
                  <w:vAlign w:val="center"/>
                </w:tcPr>
                <w:p w14:paraId="08E7F481">
                  <w:pPr>
                    <w:jc w:val="center"/>
                    <w:rPr>
                      <w:rFonts w:ascii="Times New Roman" w:hAnsi="Times New Roman" w:cs="Times New Roman"/>
                      <w:color w:val="auto"/>
                      <w:sz w:val="18"/>
                      <w:szCs w:val="18"/>
                    </w:rPr>
                  </w:pPr>
                  <w:r>
                    <w:rPr>
                      <w:rFonts w:ascii="Times New Roman" w:hAnsi="Times New Roman" w:cs="Times New Roman"/>
                      <w:color w:val="auto"/>
                      <w:sz w:val="18"/>
                      <w:szCs w:val="18"/>
                    </w:rPr>
                    <w:t>1.2</w:t>
                  </w:r>
                </w:p>
              </w:tc>
              <w:tc>
                <w:tcPr>
                  <w:tcW w:w="220" w:type="pct"/>
                  <w:vAlign w:val="center"/>
                </w:tcPr>
                <w:p w14:paraId="4E6E784D">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22.6</w:t>
                  </w:r>
                </w:p>
              </w:tc>
              <w:tc>
                <w:tcPr>
                  <w:tcW w:w="212" w:type="pct"/>
                  <w:vAlign w:val="center"/>
                </w:tcPr>
                <w:p w14:paraId="10B7A5AA">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58.9</w:t>
                  </w:r>
                </w:p>
              </w:tc>
              <w:tc>
                <w:tcPr>
                  <w:tcW w:w="217" w:type="pct"/>
                  <w:vAlign w:val="center"/>
                </w:tcPr>
                <w:p w14:paraId="14A0274E">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1.9</w:t>
                  </w:r>
                </w:p>
              </w:tc>
              <w:tc>
                <w:tcPr>
                  <w:tcW w:w="226" w:type="pct"/>
                  <w:vAlign w:val="center"/>
                </w:tcPr>
                <w:p w14:paraId="31CB03DA">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1.4</w:t>
                  </w:r>
                </w:p>
              </w:tc>
              <w:tc>
                <w:tcPr>
                  <w:tcW w:w="581" w:type="dxa"/>
                  <w:vAlign w:val="center"/>
                </w:tcPr>
                <w:p w14:paraId="619D7608">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50.9</w:t>
                  </w:r>
                </w:p>
              </w:tc>
              <w:tc>
                <w:tcPr>
                  <w:tcW w:w="581" w:type="dxa"/>
                  <w:vAlign w:val="center"/>
                </w:tcPr>
                <w:p w14:paraId="38D3C826">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42.6</w:t>
                  </w:r>
                </w:p>
              </w:tc>
              <w:tc>
                <w:tcPr>
                  <w:tcW w:w="581" w:type="dxa"/>
                  <w:vAlign w:val="center"/>
                </w:tcPr>
                <w:p w14:paraId="3BA858D9">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72.4</w:t>
                  </w:r>
                </w:p>
              </w:tc>
              <w:tc>
                <w:tcPr>
                  <w:tcW w:w="598" w:type="dxa"/>
                  <w:vAlign w:val="center"/>
                </w:tcPr>
                <w:p w14:paraId="0DF0B14A">
                  <w:pPr>
                    <w:spacing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75.1</w:t>
                  </w:r>
                </w:p>
              </w:tc>
              <w:tc>
                <w:tcPr>
                  <w:tcW w:w="382" w:type="pct"/>
                  <w:vMerge w:val="continue"/>
                  <w:vAlign w:val="center"/>
                </w:tcPr>
                <w:p w14:paraId="4220F3CF">
                  <w:pPr>
                    <w:spacing w:before="100" w:beforeAutospacing="1" w:after="100" w:afterAutospacing="1" w:line="276" w:lineRule="auto"/>
                    <w:jc w:val="center"/>
                    <w:rPr>
                      <w:rFonts w:ascii="Times New Roman" w:hAnsi="Times New Roman" w:cs="Times New Roman"/>
                      <w:color w:val="auto"/>
                      <w:sz w:val="18"/>
                      <w:szCs w:val="18"/>
                    </w:rPr>
                  </w:pPr>
                </w:p>
              </w:tc>
              <w:tc>
                <w:tcPr>
                  <w:tcW w:w="253" w:type="pct"/>
                  <w:vAlign w:val="center"/>
                </w:tcPr>
                <w:p w14:paraId="08E02DA5">
                  <w:pPr>
                    <w:jc w:val="center"/>
                    <w:rPr>
                      <w:color w:val="auto"/>
                    </w:rPr>
                  </w:pPr>
                  <w:r>
                    <w:rPr>
                      <w:rFonts w:ascii="Times New Roman" w:hAnsi="Times New Roman" w:cs="Times New Roman"/>
                      <w:color w:val="auto"/>
                      <w:sz w:val="18"/>
                      <w:szCs w:val="18"/>
                    </w:rPr>
                    <w:t>1</w:t>
                  </w:r>
                  <w:r>
                    <w:rPr>
                      <w:rFonts w:hint="eastAsia" w:ascii="Times New Roman" w:hAnsi="Times New Roman" w:cs="Times New Roman"/>
                      <w:color w:val="auto"/>
                      <w:sz w:val="18"/>
                      <w:szCs w:val="18"/>
                    </w:rPr>
                    <w:t>9</w:t>
                  </w:r>
                </w:p>
              </w:tc>
              <w:tc>
                <w:tcPr>
                  <w:tcW w:w="587" w:type="dxa"/>
                  <w:vAlign w:val="center"/>
                </w:tcPr>
                <w:p w14:paraId="121B3FD6">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31.9</w:t>
                  </w:r>
                </w:p>
              </w:tc>
              <w:tc>
                <w:tcPr>
                  <w:tcW w:w="587" w:type="dxa"/>
                  <w:vAlign w:val="center"/>
                </w:tcPr>
                <w:p w14:paraId="73DFD475">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23.6</w:t>
                  </w:r>
                </w:p>
              </w:tc>
              <w:tc>
                <w:tcPr>
                  <w:tcW w:w="587" w:type="dxa"/>
                  <w:vAlign w:val="center"/>
                </w:tcPr>
                <w:p w14:paraId="1DD71828">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53.4</w:t>
                  </w:r>
                </w:p>
              </w:tc>
              <w:tc>
                <w:tcPr>
                  <w:tcW w:w="587" w:type="dxa"/>
                  <w:vAlign w:val="center"/>
                </w:tcPr>
                <w:p w14:paraId="585218AE">
                  <w:pPr>
                    <w:spacing w:line="276" w:lineRule="auto"/>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56.1</w:t>
                  </w:r>
                </w:p>
              </w:tc>
              <w:tc>
                <w:tcPr>
                  <w:tcW w:w="264" w:type="pct"/>
                  <w:vAlign w:val="center"/>
                </w:tcPr>
                <w:p w14:paraId="6D29BE5F">
                  <w:pPr>
                    <w:spacing w:before="100" w:beforeAutospacing="1" w:after="100" w:afterAutospacing="1" w:line="276"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bl>
          <w:p w14:paraId="39D0DA49">
            <w:pPr>
              <w:spacing w:line="360" w:lineRule="auto"/>
              <w:ind w:firstLine="420" w:firstLineChars="200"/>
              <w:jc w:val="left"/>
              <w:rPr>
                <w:rFonts w:ascii="Times New Roman" w:hAnsi="Times New Roman" w:eastAsia="黑体"/>
                <w:color w:val="auto"/>
                <w:sz w:val="24"/>
                <w:szCs w:val="24"/>
              </w:rPr>
            </w:pPr>
            <w:r>
              <w:rPr>
                <w:rFonts w:hint="eastAsia" w:hAnsi="黑体" w:eastAsia="黑体"/>
                <w:color w:val="auto"/>
                <w:szCs w:val="21"/>
              </w:rPr>
              <w:t>注：</w:t>
            </w:r>
            <w:r>
              <w:rPr>
                <w:rFonts w:hAnsi="黑体" w:eastAsia="黑体"/>
                <w:color w:val="auto"/>
                <w:szCs w:val="21"/>
              </w:rPr>
              <w:t>以厂区中心点为坐标原点，</w:t>
            </w:r>
            <w:r>
              <w:rPr>
                <w:rFonts w:ascii="Times New Roman" w:hAnsi="Times New Roman" w:eastAsia="黑体"/>
                <w:color w:val="auto"/>
                <w:szCs w:val="21"/>
              </w:rPr>
              <w:t>正东为X轴正方向，正北为Y轴正方向。</w:t>
            </w:r>
          </w:p>
        </w:tc>
      </w:tr>
    </w:tbl>
    <w:p w14:paraId="4985CDB8">
      <w:pPr>
        <w:jc w:val="center"/>
        <w:rPr>
          <w:rFonts w:ascii="Times New Roman" w:hAnsi="Times New Roman" w:eastAsia="宋体" w:cs="宋体"/>
          <w:bCs/>
          <w:color w:val="auto"/>
          <w:sz w:val="24"/>
          <w:szCs w:val="24"/>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7"/>
        <w:tblW w:w="491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7794"/>
      </w:tblGrid>
      <w:tr w14:paraId="69370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72" w:hRule="atLeast"/>
          <w:jc w:val="center"/>
        </w:trPr>
        <w:tc>
          <w:tcPr>
            <w:tcW w:w="299" w:type="pct"/>
            <w:tcMar>
              <w:left w:w="28" w:type="dxa"/>
              <w:right w:w="28" w:type="dxa"/>
            </w:tcMar>
            <w:vAlign w:val="center"/>
          </w:tcPr>
          <w:p w14:paraId="2BEA3D94">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运</w:t>
            </w:r>
          </w:p>
          <w:p w14:paraId="1D06B9A6">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营</w:t>
            </w:r>
          </w:p>
          <w:p w14:paraId="1C6D1009">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期</w:t>
            </w:r>
          </w:p>
          <w:p w14:paraId="74DFB758">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环</w:t>
            </w:r>
          </w:p>
          <w:p w14:paraId="18D2F361">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境</w:t>
            </w:r>
          </w:p>
          <w:p w14:paraId="1C2CE346">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影</w:t>
            </w:r>
          </w:p>
          <w:p w14:paraId="63B336C1">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响</w:t>
            </w:r>
          </w:p>
          <w:p w14:paraId="10F4DE5D">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和</w:t>
            </w:r>
          </w:p>
          <w:p w14:paraId="2DC75EAE">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保</w:t>
            </w:r>
          </w:p>
          <w:p w14:paraId="134C6A12">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护</w:t>
            </w:r>
          </w:p>
          <w:p w14:paraId="5335CE13">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措</w:t>
            </w:r>
          </w:p>
          <w:p w14:paraId="4B5999EF">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施</w:t>
            </w:r>
          </w:p>
        </w:tc>
        <w:tc>
          <w:tcPr>
            <w:tcW w:w="4701" w:type="pct"/>
          </w:tcPr>
          <w:p w14:paraId="535AF759">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预测计算选用《环境影响评价技术导则 声环境》（HJ2.4-2021）中推荐的工业噪声预测计算模式，模式如下：</w:t>
            </w:r>
          </w:p>
          <w:p w14:paraId="268D1929">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1、室内声源等效室外声源声功率级计算方法</w:t>
            </w:r>
          </w:p>
          <w:p w14:paraId="3CA33AC8">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如图所示，声源位于室内，室内声源可采用等效室外声源声功率级法进行计算。设靠近开口处（或窗户）室内、室外某倍频带的声压级分别为L</w:t>
            </w:r>
            <w:r>
              <w:rPr>
                <w:rFonts w:ascii="Times New Roman" w:hAnsi="Times New Roman"/>
                <w:color w:val="auto"/>
                <w:kern w:val="24"/>
                <w:sz w:val="24"/>
                <w:szCs w:val="24"/>
                <w:vertAlign w:val="subscript"/>
              </w:rPr>
              <w:t>p1</w:t>
            </w:r>
            <w:r>
              <w:rPr>
                <w:rFonts w:ascii="Times New Roman" w:hAnsi="Times New Roman"/>
                <w:color w:val="auto"/>
                <w:kern w:val="24"/>
                <w:sz w:val="24"/>
                <w:szCs w:val="24"/>
              </w:rPr>
              <w:t>和L</w:t>
            </w:r>
            <w:r>
              <w:rPr>
                <w:rFonts w:ascii="Times New Roman" w:hAnsi="Times New Roman"/>
                <w:color w:val="auto"/>
                <w:kern w:val="24"/>
                <w:sz w:val="24"/>
                <w:szCs w:val="24"/>
                <w:vertAlign w:val="subscript"/>
              </w:rPr>
              <w:t>p2</w:t>
            </w:r>
            <w:r>
              <w:rPr>
                <w:rFonts w:ascii="Times New Roman" w:hAnsi="Times New Roman"/>
                <w:color w:val="auto"/>
                <w:kern w:val="24"/>
                <w:sz w:val="24"/>
                <w:szCs w:val="24"/>
              </w:rPr>
              <w:t>。若声源所在室内声场为近似扩散声场，则可按式1计算某一室内声源靠近围护结构处产生的倍频带声压级：</w:t>
            </w:r>
          </w:p>
          <w:p w14:paraId="5E35E2BB">
            <w:pPr>
              <w:spacing w:line="360" w:lineRule="auto"/>
              <w:ind w:firstLine="480" w:firstLineChars="200"/>
              <w:jc w:val="center"/>
              <w:rPr>
                <w:rFonts w:ascii="Times New Roman" w:hAnsi="Times New Roman"/>
                <w:color w:val="auto"/>
                <w:kern w:val="24"/>
                <w:sz w:val="24"/>
                <w:szCs w:val="24"/>
              </w:rPr>
            </w:pPr>
            <w:r>
              <w:rPr>
                <w:rFonts w:ascii="Times New Roman" w:hAnsi="Times New Roman"/>
                <w:color w:val="auto"/>
                <w:kern w:val="24"/>
                <w:sz w:val="24"/>
                <w:szCs w:val="24"/>
              </w:rPr>
              <w:drawing>
                <wp:inline distT="0" distB="0" distL="0" distR="0">
                  <wp:extent cx="2936875" cy="1380490"/>
                  <wp:effectExtent l="19050" t="0" r="0" b="0"/>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noChangeArrowheads="1"/>
                          </pic:cNvPicPr>
                        </pic:nvPicPr>
                        <pic:blipFill>
                          <a:blip r:embed="rId12" cstate="print"/>
                          <a:srcRect t="7907" b="6047"/>
                          <a:stretch>
                            <a:fillRect/>
                          </a:stretch>
                        </pic:blipFill>
                        <pic:spPr>
                          <a:xfrm>
                            <a:off x="0" y="0"/>
                            <a:ext cx="2936875" cy="1380490"/>
                          </a:xfrm>
                          <a:prstGeom prst="rect">
                            <a:avLst/>
                          </a:prstGeom>
                          <a:noFill/>
                          <a:ln w="9525">
                            <a:noFill/>
                            <a:miter lim="800000"/>
                            <a:headEnd/>
                            <a:tailEnd/>
                          </a:ln>
                        </pic:spPr>
                      </pic:pic>
                    </a:graphicData>
                  </a:graphic>
                </wp:inline>
              </w:drawing>
            </w:r>
          </w:p>
          <w:p w14:paraId="7D5AA478">
            <w:pPr>
              <w:spacing w:line="360" w:lineRule="auto"/>
              <w:ind w:firstLine="480" w:firstLineChars="200"/>
              <w:jc w:val="center"/>
              <w:rPr>
                <w:rFonts w:ascii="Times New Roman" w:hAnsi="Times New Roman" w:eastAsia="黑体"/>
                <w:color w:val="auto"/>
                <w:sz w:val="24"/>
                <w:szCs w:val="24"/>
              </w:rPr>
            </w:pPr>
            <w:r>
              <w:rPr>
                <w:rFonts w:ascii="Times New Roman" w:hAnsi="Times New Roman" w:eastAsia="黑体"/>
                <w:color w:val="auto"/>
                <w:sz w:val="24"/>
                <w:szCs w:val="24"/>
              </w:rPr>
              <w:t>图</w:t>
            </w:r>
            <w:r>
              <w:rPr>
                <w:rFonts w:hint="eastAsia" w:ascii="Times New Roman" w:hAnsi="Times New Roman" w:eastAsia="黑体"/>
                <w:color w:val="auto"/>
                <w:sz w:val="24"/>
                <w:szCs w:val="24"/>
              </w:rPr>
              <w:t>4-1</w:t>
            </w:r>
            <w:r>
              <w:rPr>
                <w:rFonts w:ascii="Times New Roman" w:hAnsi="Times New Roman" w:eastAsia="黑体"/>
                <w:color w:val="auto"/>
                <w:sz w:val="24"/>
                <w:szCs w:val="24"/>
              </w:rPr>
              <w:t xml:space="preserve">  室内声源等效为室外声源图例</w:t>
            </w:r>
          </w:p>
          <w:p w14:paraId="6C170DD6">
            <w:pPr>
              <w:spacing w:line="360" w:lineRule="auto"/>
              <w:ind w:firstLine="480" w:firstLineChars="200"/>
              <w:jc w:val="center"/>
              <w:rPr>
                <w:rFonts w:ascii="Times New Roman" w:hAnsi="Times New Roman"/>
                <w:color w:val="auto"/>
                <w:kern w:val="24"/>
                <w:sz w:val="24"/>
                <w:szCs w:val="24"/>
              </w:rPr>
            </w:pPr>
            <w:r>
              <w:rPr>
                <w:rFonts w:ascii="Times New Roman" w:hAnsi="Times New Roman"/>
                <w:i/>
                <w:iCs/>
                <w:color w:val="auto"/>
                <w:kern w:val="24"/>
                <w:sz w:val="24"/>
                <w:szCs w:val="24"/>
              </w:rPr>
              <w:t>L</w:t>
            </w:r>
            <w:r>
              <w:rPr>
                <w:rFonts w:ascii="Times New Roman" w:hAnsi="Times New Roman"/>
                <w:i/>
                <w:iCs/>
                <w:color w:val="auto"/>
                <w:kern w:val="24"/>
                <w:sz w:val="24"/>
                <w:szCs w:val="24"/>
                <w:vertAlign w:val="subscript"/>
              </w:rPr>
              <w:t>P</w:t>
            </w:r>
            <w:r>
              <w:rPr>
                <w:rFonts w:ascii="Times New Roman" w:hAnsi="Times New Roman"/>
                <w:color w:val="auto"/>
                <w:kern w:val="24"/>
                <w:sz w:val="24"/>
                <w:szCs w:val="24"/>
                <w:vertAlign w:val="subscript"/>
              </w:rPr>
              <w:t>1</w:t>
            </w:r>
            <w:r>
              <w:rPr>
                <w:rFonts w:ascii="Times New Roman" w:hAnsi="Times New Roman"/>
                <w:color w:val="auto"/>
                <w:kern w:val="24"/>
                <w:sz w:val="24"/>
                <w:szCs w:val="24"/>
                <w:vertAlign w:val="superscript"/>
              </w:rPr>
              <w:t>=</w:t>
            </w:r>
            <w:r>
              <w:rPr>
                <w:rFonts w:ascii="Times New Roman" w:hAnsi="Times New Roman"/>
                <w:i/>
                <w:iCs/>
                <w:color w:val="auto"/>
                <w:kern w:val="24"/>
                <w:sz w:val="24"/>
                <w:szCs w:val="24"/>
              </w:rPr>
              <w:t>Lw+10lg</w:t>
            </w:r>
            <w:r>
              <w:rPr>
                <w:rFonts w:ascii="Times New Roman" w:hAnsi="Times New Roman"/>
                <w:iCs/>
                <w:color w:val="auto"/>
                <w:kern w:val="24"/>
                <w:sz w:val="24"/>
                <w:szCs w:val="24"/>
              </w:rPr>
              <w:t>（</w:t>
            </w:r>
            <w:r>
              <w:rPr>
                <w:rFonts w:ascii="Times New Roman" w:hAnsi="Times New Roman"/>
                <w:color w:val="auto"/>
                <w:kern w:val="24"/>
                <w:sz w:val="24"/>
                <w:szCs w:val="24"/>
              </w:rPr>
              <w:drawing>
                <wp:inline distT="0" distB="0" distL="0" distR="0">
                  <wp:extent cx="659130" cy="351790"/>
                  <wp:effectExtent l="0" t="0" r="0" b="0"/>
                  <wp:docPr id="1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3"/>
                          <pic:cNvPicPr>
                            <a:picLocks noChangeAspect="1" noChangeArrowheads="1"/>
                          </pic:cNvPicPr>
                        </pic:nvPicPr>
                        <pic:blipFill>
                          <a:blip r:embed="rId13" cstate="print"/>
                          <a:srcRect/>
                          <a:stretch>
                            <a:fillRect/>
                          </a:stretch>
                        </pic:blipFill>
                        <pic:spPr>
                          <a:xfrm>
                            <a:off x="0" y="0"/>
                            <a:ext cx="659130" cy="351790"/>
                          </a:xfrm>
                          <a:prstGeom prst="rect">
                            <a:avLst/>
                          </a:prstGeom>
                          <a:noFill/>
                          <a:ln w="9525">
                            <a:noFill/>
                            <a:miter lim="800000"/>
                            <a:headEnd/>
                            <a:tailEnd/>
                          </a:ln>
                        </pic:spPr>
                      </pic:pic>
                    </a:graphicData>
                  </a:graphic>
                </wp:inline>
              </w:drawing>
            </w:r>
            <w:r>
              <w:rPr>
                <w:rFonts w:ascii="Times New Roman" w:hAnsi="Times New Roman"/>
                <w:iCs/>
                <w:color w:val="auto"/>
                <w:kern w:val="24"/>
                <w:sz w:val="24"/>
                <w:szCs w:val="24"/>
              </w:rPr>
              <w:t>）</w:t>
            </w:r>
            <w:r>
              <w:rPr>
                <w:rFonts w:ascii="Times New Roman" w:hAnsi="Times New Roman"/>
                <w:color w:val="auto"/>
                <w:kern w:val="24"/>
                <w:szCs w:val="21"/>
              </w:rPr>
              <w:t>（式1）</w:t>
            </w:r>
          </w:p>
          <w:p w14:paraId="7850BBCF">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式中：</w:t>
            </w:r>
            <w:r>
              <w:rPr>
                <w:rFonts w:ascii="Times New Roman" w:hAnsi="Times New Roman"/>
                <w:i/>
                <w:iCs/>
                <w:color w:val="auto"/>
                <w:kern w:val="24"/>
                <w:sz w:val="24"/>
                <w:szCs w:val="24"/>
              </w:rPr>
              <w:t>Q</w:t>
            </w:r>
            <w:r>
              <w:rPr>
                <w:rFonts w:ascii="Times New Roman" w:hAnsi="Times New Roman"/>
                <w:color w:val="auto"/>
                <w:kern w:val="24"/>
                <w:sz w:val="24"/>
                <w:szCs w:val="24"/>
              </w:rPr>
              <w:t>—指向性因数；通常对无指向性声源：</w:t>
            </w:r>
          </w:p>
          <w:p w14:paraId="4170B022">
            <w:pPr>
              <w:spacing w:line="360" w:lineRule="auto"/>
              <w:ind w:firstLine="1200" w:firstLineChars="500"/>
              <w:rPr>
                <w:rFonts w:ascii="Times New Roman" w:hAnsi="Times New Roman"/>
                <w:color w:val="auto"/>
                <w:kern w:val="24"/>
                <w:sz w:val="24"/>
                <w:szCs w:val="24"/>
              </w:rPr>
            </w:pPr>
            <w:r>
              <w:rPr>
                <w:rFonts w:ascii="Times New Roman" w:hAnsi="Times New Roman"/>
                <w:color w:val="auto"/>
                <w:kern w:val="24"/>
                <w:sz w:val="24"/>
                <w:szCs w:val="24"/>
              </w:rPr>
              <w:t>当声源放在房间中心时，</w:t>
            </w:r>
            <w:r>
              <w:rPr>
                <w:rFonts w:ascii="Times New Roman" w:hAnsi="Times New Roman"/>
                <w:i/>
                <w:iCs/>
                <w:color w:val="auto"/>
                <w:kern w:val="24"/>
                <w:sz w:val="24"/>
                <w:szCs w:val="24"/>
              </w:rPr>
              <w:t>Q</w:t>
            </w:r>
            <w:r>
              <w:rPr>
                <w:rFonts w:ascii="Times New Roman" w:hAnsi="Times New Roman"/>
                <w:color w:val="auto"/>
                <w:kern w:val="24"/>
                <w:sz w:val="24"/>
                <w:szCs w:val="24"/>
              </w:rPr>
              <w:t>=1；</w:t>
            </w:r>
          </w:p>
          <w:p w14:paraId="59E1D97F">
            <w:pPr>
              <w:spacing w:line="360" w:lineRule="auto"/>
              <w:ind w:firstLine="1200" w:firstLineChars="500"/>
              <w:rPr>
                <w:rFonts w:ascii="Times New Roman" w:hAnsi="Times New Roman"/>
                <w:color w:val="auto"/>
                <w:kern w:val="24"/>
                <w:sz w:val="24"/>
                <w:szCs w:val="24"/>
              </w:rPr>
            </w:pPr>
            <w:r>
              <w:rPr>
                <w:rFonts w:ascii="Times New Roman" w:hAnsi="Times New Roman"/>
                <w:color w:val="auto"/>
                <w:kern w:val="24"/>
                <w:sz w:val="24"/>
                <w:szCs w:val="24"/>
              </w:rPr>
              <w:t>当放在一面墙的中心时，</w:t>
            </w:r>
            <w:r>
              <w:rPr>
                <w:rFonts w:ascii="Times New Roman" w:hAnsi="Times New Roman"/>
                <w:i/>
                <w:iCs/>
                <w:color w:val="auto"/>
                <w:kern w:val="24"/>
                <w:sz w:val="24"/>
                <w:szCs w:val="24"/>
              </w:rPr>
              <w:t>Q</w:t>
            </w:r>
            <w:r>
              <w:rPr>
                <w:rFonts w:ascii="Times New Roman" w:hAnsi="Times New Roman"/>
                <w:color w:val="auto"/>
                <w:kern w:val="24"/>
                <w:sz w:val="24"/>
                <w:szCs w:val="24"/>
              </w:rPr>
              <w:t>=2；</w:t>
            </w:r>
          </w:p>
          <w:p w14:paraId="17ACE2D5">
            <w:pPr>
              <w:spacing w:line="360" w:lineRule="auto"/>
              <w:ind w:firstLine="1200" w:firstLineChars="500"/>
              <w:rPr>
                <w:rFonts w:ascii="Times New Roman" w:hAnsi="Times New Roman"/>
                <w:color w:val="auto"/>
                <w:kern w:val="24"/>
                <w:sz w:val="24"/>
                <w:szCs w:val="24"/>
              </w:rPr>
            </w:pPr>
            <w:r>
              <w:rPr>
                <w:rFonts w:ascii="Times New Roman" w:hAnsi="Times New Roman"/>
                <w:color w:val="auto"/>
                <w:kern w:val="24"/>
                <w:sz w:val="24"/>
                <w:szCs w:val="24"/>
              </w:rPr>
              <w:t>当放在两面墙夹角处时，</w:t>
            </w:r>
            <w:r>
              <w:rPr>
                <w:rFonts w:ascii="Times New Roman" w:hAnsi="Times New Roman"/>
                <w:i/>
                <w:iCs/>
                <w:color w:val="auto"/>
                <w:kern w:val="24"/>
                <w:sz w:val="24"/>
                <w:szCs w:val="24"/>
              </w:rPr>
              <w:t>Q</w:t>
            </w:r>
            <w:r>
              <w:rPr>
                <w:rFonts w:ascii="Times New Roman" w:hAnsi="Times New Roman"/>
                <w:color w:val="auto"/>
                <w:kern w:val="24"/>
                <w:sz w:val="24"/>
                <w:szCs w:val="24"/>
              </w:rPr>
              <w:t>=4；</w:t>
            </w:r>
          </w:p>
          <w:p w14:paraId="5BF38DD7">
            <w:pPr>
              <w:spacing w:line="360" w:lineRule="auto"/>
              <w:ind w:firstLine="1200" w:firstLineChars="500"/>
              <w:rPr>
                <w:rFonts w:ascii="Times New Roman" w:hAnsi="Times New Roman"/>
                <w:color w:val="auto"/>
                <w:kern w:val="24"/>
                <w:sz w:val="24"/>
                <w:szCs w:val="24"/>
              </w:rPr>
            </w:pPr>
            <w:r>
              <w:rPr>
                <w:rFonts w:ascii="Times New Roman" w:hAnsi="Times New Roman"/>
                <w:color w:val="auto"/>
                <w:kern w:val="24"/>
                <w:sz w:val="24"/>
                <w:szCs w:val="24"/>
              </w:rPr>
              <w:t>当放在三面墙夹角处时，</w:t>
            </w:r>
            <w:r>
              <w:rPr>
                <w:rFonts w:ascii="Times New Roman" w:hAnsi="Times New Roman"/>
                <w:i/>
                <w:iCs/>
                <w:color w:val="auto"/>
                <w:kern w:val="24"/>
                <w:sz w:val="24"/>
                <w:szCs w:val="24"/>
              </w:rPr>
              <w:t>Q</w:t>
            </w:r>
            <w:r>
              <w:rPr>
                <w:rFonts w:ascii="Times New Roman" w:hAnsi="Times New Roman"/>
                <w:color w:val="auto"/>
                <w:kern w:val="24"/>
                <w:sz w:val="24"/>
                <w:szCs w:val="24"/>
              </w:rPr>
              <w:t>=8。</w:t>
            </w:r>
          </w:p>
          <w:p w14:paraId="1D2CD834">
            <w:pPr>
              <w:spacing w:line="360" w:lineRule="auto"/>
              <w:ind w:firstLine="1200" w:firstLineChars="500"/>
              <w:rPr>
                <w:rFonts w:ascii="Times New Roman" w:hAnsi="Times New Roman"/>
                <w:color w:val="auto"/>
                <w:kern w:val="24"/>
                <w:sz w:val="24"/>
                <w:szCs w:val="24"/>
              </w:rPr>
            </w:pPr>
            <w:r>
              <w:rPr>
                <w:rFonts w:ascii="Times New Roman" w:hAnsi="Times New Roman"/>
                <w:color w:val="auto"/>
                <w:kern w:val="24"/>
                <w:sz w:val="24"/>
                <w:szCs w:val="24"/>
              </w:rPr>
              <w:t>R—房间常数；</w:t>
            </w:r>
          </w:p>
          <w:p w14:paraId="2815868C">
            <w:pPr>
              <w:spacing w:line="360" w:lineRule="auto"/>
              <w:ind w:firstLine="1200" w:firstLineChars="500"/>
              <w:jc w:val="center"/>
              <w:rPr>
                <w:rFonts w:ascii="Times New Roman" w:hAnsi="Times New Roman"/>
                <w:color w:val="auto"/>
                <w:kern w:val="24"/>
                <w:sz w:val="24"/>
                <w:szCs w:val="24"/>
              </w:rPr>
            </w:pPr>
            <w:r>
              <w:rPr>
                <w:rFonts w:ascii="Times New Roman" w:hAnsi="Times New Roman"/>
                <w:i/>
                <w:iCs/>
                <w:color w:val="auto"/>
                <w:kern w:val="24"/>
                <w:sz w:val="24"/>
                <w:szCs w:val="24"/>
              </w:rPr>
              <w:t>R</w:t>
            </w:r>
            <w:r>
              <w:rPr>
                <w:rFonts w:ascii="Times New Roman" w:hAnsi="Times New Roman"/>
                <w:color w:val="auto"/>
                <w:kern w:val="24"/>
                <w:sz w:val="24"/>
                <w:szCs w:val="24"/>
              </w:rPr>
              <w:t>=</w:t>
            </w:r>
            <w:r>
              <w:rPr>
                <w:rFonts w:ascii="Times New Roman" w:hAnsi="Times New Roman"/>
                <w:i/>
                <w:iCs/>
                <w:color w:val="auto"/>
                <w:kern w:val="24"/>
                <w:sz w:val="24"/>
                <w:szCs w:val="24"/>
              </w:rPr>
              <w:t>S</w:t>
            </w:r>
            <w:r>
              <w:rPr>
                <w:rFonts w:ascii="Times New Roman" w:hAnsi="Times New Roman"/>
                <w:color w:val="auto"/>
                <w:kern w:val="24"/>
                <w:sz w:val="24"/>
                <w:szCs w:val="24"/>
              </w:rPr>
              <w:t>α/(1−α)</w:t>
            </w:r>
          </w:p>
          <w:p w14:paraId="2D430001">
            <w:pPr>
              <w:spacing w:line="360" w:lineRule="auto"/>
              <w:ind w:firstLine="1200" w:firstLineChars="500"/>
              <w:rPr>
                <w:rFonts w:ascii="Times New Roman" w:hAnsi="Times New Roman"/>
                <w:color w:val="auto"/>
                <w:kern w:val="24"/>
                <w:sz w:val="24"/>
                <w:szCs w:val="24"/>
              </w:rPr>
            </w:pPr>
            <w:r>
              <w:rPr>
                <w:rFonts w:ascii="Times New Roman" w:hAnsi="Times New Roman"/>
                <w:color w:val="auto"/>
                <w:kern w:val="24"/>
                <w:sz w:val="24"/>
                <w:szCs w:val="24"/>
              </w:rPr>
              <w:t>S为房间内表面面积，m</w:t>
            </w:r>
            <w:r>
              <w:rPr>
                <w:rFonts w:ascii="Times New Roman" w:hAnsi="Times New Roman"/>
                <w:color w:val="auto"/>
                <w:kern w:val="24"/>
                <w:sz w:val="24"/>
                <w:szCs w:val="24"/>
                <w:vertAlign w:val="superscript"/>
              </w:rPr>
              <w:t>2</w:t>
            </w:r>
            <w:r>
              <w:rPr>
                <w:rFonts w:ascii="Times New Roman" w:hAnsi="Times New Roman"/>
                <w:color w:val="auto"/>
                <w:kern w:val="24"/>
                <w:sz w:val="24"/>
                <w:szCs w:val="24"/>
              </w:rPr>
              <w:t>；</w:t>
            </w:r>
          </w:p>
          <w:p w14:paraId="3BBEEF75">
            <w:pPr>
              <w:spacing w:line="360" w:lineRule="auto"/>
              <w:ind w:firstLine="1200" w:firstLineChars="500"/>
              <w:rPr>
                <w:rFonts w:ascii="Times New Roman" w:hAnsi="Times New Roman"/>
                <w:color w:val="auto"/>
                <w:kern w:val="24"/>
                <w:sz w:val="24"/>
                <w:szCs w:val="24"/>
              </w:rPr>
            </w:pPr>
            <w:r>
              <w:rPr>
                <w:rFonts w:ascii="Times New Roman" w:hAnsi="Times New Roman"/>
                <w:color w:val="auto"/>
                <w:kern w:val="24"/>
                <w:sz w:val="24"/>
                <w:szCs w:val="24"/>
              </w:rPr>
              <w:t>α为平均吸声系数。</w:t>
            </w:r>
          </w:p>
          <w:p w14:paraId="4A6A3CF4">
            <w:pPr>
              <w:spacing w:line="360" w:lineRule="auto"/>
              <w:ind w:firstLine="1200" w:firstLineChars="500"/>
              <w:rPr>
                <w:rFonts w:ascii="Times New Roman" w:hAnsi="Times New Roman"/>
                <w:color w:val="auto"/>
                <w:kern w:val="24"/>
                <w:sz w:val="24"/>
                <w:szCs w:val="24"/>
              </w:rPr>
            </w:pPr>
            <w:r>
              <w:rPr>
                <w:rFonts w:ascii="Times New Roman" w:hAnsi="Times New Roman"/>
                <w:color w:val="auto"/>
                <w:kern w:val="24"/>
                <w:sz w:val="24"/>
                <w:szCs w:val="24"/>
              </w:rPr>
              <w:t>r—声源到靠近围护结构某点处的距离，m。</w:t>
            </w:r>
          </w:p>
          <w:p w14:paraId="2C4B9D88">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然后按式2计算出所有室内声源在围护结构处产生的</w:t>
            </w:r>
            <w:r>
              <w:rPr>
                <w:rFonts w:ascii="Times New Roman" w:hAnsi="Times New Roman"/>
                <w:i/>
                <w:iCs/>
                <w:color w:val="auto"/>
                <w:kern w:val="24"/>
                <w:sz w:val="24"/>
                <w:szCs w:val="24"/>
              </w:rPr>
              <w:t>i</w:t>
            </w:r>
            <w:r>
              <w:rPr>
                <w:rFonts w:ascii="Times New Roman" w:hAnsi="Times New Roman"/>
                <w:color w:val="auto"/>
                <w:kern w:val="24"/>
                <w:sz w:val="24"/>
                <w:szCs w:val="24"/>
              </w:rPr>
              <w:t>倍频带叠加声压级：</w:t>
            </w:r>
          </w:p>
          <w:p w14:paraId="38A2875C">
            <w:pPr>
              <w:spacing w:line="360" w:lineRule="auto"/>
              <w:ind w:firstLine="480" w:firstLineChars="200"/>
              <w:jc w:val="center"/>
              <w:rPr>
                <w:rFonts w:ascii="Times New Roman" w:hAnsi="Times New Roman"/>
                <w:color w:val="auto"/>
                <w:kern w:val="24"/>
                <w:sz w:val="24"/>
                <w:szCs w:val="24"/>
              </w:rPr>
            </w:pPr>
            <w:r>
              <w:rPr>
                <w:rFonts w:ascii="Times New Roman" w:hAnsi="Times New Roman"/>
                <w:i/>
                <w:iCs/>
                <w:color w:val="auto"/>
                <w:kern w:val="24"/>
                <w:sz w:val="24"/>
                <w:szCs w:val="24"/>
              </w:rPr>
              <w:t>L</w:t>
            </w:r>
            <w:r>
              <w:rPr>
                <w:rFonts w:ascii="Times New Roman" w:hAnsi="Times New Roman"/>
                <w:i/>
                <w:iCs/>
                <w:color w:val="auto"/>
                <w:kern w:val="24"/>
                <w:sz w:val="24"/>
                <w:szCs w:val="24"/>
                <w:vertAlign w:val="subscript"/>
              </w:rPr>
              <w:t>P</w:t>
            </w:r>
            <w:r>
              <w:rPr>
                <w:rFonts w:ascii="Times New Roman" w:hAnsi="Times New Roman"/>
                <w:color w:val="auto"/>
                <w:kern w:val="24"/>
                <w:sz w:val="24"/>
                <w:szCs w:val="24"/>
                <w:vertAlign w:val="subscript"/>
              </w:rPr>
              <w:t>1</w:t>
            </w:r>
            <w:r>
              <w:rPr>
                <w:rFonts w:ascii="Times New Roman" w:hAnsi="Times New Roman"/>
                <w:i/>
                <w:iCs/>
                <w:color w:val="auto"/>
                <w:kern w:val="24"/>
                <w:sz w:val="24"/>
                <w:szCs w:val="24"/>
                <w:vertAlign w:val="subscript"/>
              </w:rPr>
              <w:t>i</w:t>
            </w:r>
            <w:r>
              <w:rPr>
                <w:rFonts w:ascii="Times New Roman" w:hAnsi="Times New Roman"/>
                <w:color w:val="auto"/>
                <w:kern w:val="24"/>
                <w:sz w:val="24"/>
                <w:szCs w:val="24"/>
              </w:rPr>
              <w:t>(T)</w:t>
            </w:r>
            <w:r>
              <w:rPr>
                <w:rFonts w:ascii="Times New Roman" w:hAnsi="Times New Roman"/>
                <w:color w:val="auto"/>
                <w:kern w:val="24"/>
                <w:sz w:val="24"/>
                <w:szCs w:val="24"/>
              </w:rPr>
              <w:drawing>
                <wp:inline distT="0" distB="0" distL="0" distR="0">
                  <wp:extent cx="1169670" cy="281305"/>
                  <wp:effectExtent l="19050" t="0" r="0" b="0"/>
                  <wp:docPr id="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1"/>
                          <pic:cNvPicPr>
                            <a:picLocks noChangeAspect="1" noChangeArrowheads="1"/>
                          </pic:cNvPicPr>
                        </pic:nvPicPr>
                        <pic:blipFill>
                          <a:blip r:embed="rId14" cstate="print"/>
                          <a:srcRect/>
                          <a:stretch>
                            <a:fillRect/>
                          </a:stretch>
                        </pic:blipFill>
                        <pic:spPr>
                          <a:xfrm>
                            <a:off x="0" y="0"/>
                            <a:ext cx="1169670" cy="281305"/>
                          </a:xfrm>
                          <a:prstGeom prst="rect">
                            <a:avLst/>
                          </a:prstGeom>
                          <a:noFill/>
                          <a:ln w="9525">
                            <a:noFill/>
                            <a:miter lim="800000"/>
                            <a:headEnd/>
                            <a:tailEnd/>
                          </a:ln>
                        </pic:spPr>
                      </pic:pic>
                    </a:graphicData>
                  </a:graphic>
                </wp:inline>
              </w:drawing>
            </w:r>
            <w:r>
              <w:rPr>
                <w:rFonts w:ascii="Times New Roman" w:hAnsi="Times New Roman"/>
                <w:color w:val="auto"/>
                <w:kern w:val="24"/>
                <w:szCs w:val="21"/>
              </w:rPr>
              <w:t>（式2）</w:t>
            </w:r>
          </w:p>
          <w:p w14:paraId="1F043BBF">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式中：</w:t>
            </w:r>
          </w:p>
          <w:p w14:paraId="66B12C9B">
            <w:pPr>
              <w:spacing w:line="360" w:lineRule="auto"/>
              <w:ind w:firstLine="480" w:firstLineChars="200"/>
              <w:rPr>
                <w:rFonts w:ascii="Times New Roman" w:hAnsi="Times New Roman"/>
                <w:color w:val="auto"/>
                <w:kern w:val="24"/>
                <w:sz w:val="24"/>
                <w:szCs w:val="24"/>
              </w:rPr>
            </w:pPr>
            <w:r>
              <w:rPr>
                <w:rFonts w:ascii="Times New Roman" w:hAnsi="Times New Roman"/>
                <w:i/>
                <w:iCs/>
                <w:color w:val="auto"/>
                <w:kern w:val="24"/>
                <w:sz w:val="24"/>
                <w:szCs w:val="24"/>
              </w:rPr>
              <w:t>L</w:t>
            </w:r>
            <w:r>
              <w:rPr>
                <w:rFonts w:ascii="Times New Roman" w:hAnsi="Times New Roman"/>
                <w:i/>
                <w:iCs/>
                <w:color w:val="auto"/>
                <w:kern w:val="24"/>
                <w:sz w:val="24"/>
                <w:szCs w:val="24"/>
                <w:vertAlign w:val="subscript"/>
              </w:rPr>
              <w:t>P</w:t>
            </w:r>
            <w:r>
              <w:rPr>
                <w:rFonts w:ascii="Times New Roman" w:hAnsi="Times New Roman"/>
                <w:color w:val="auto"/>
                <w:kern w:val="24"/>
                <w:sz w:val="24"/>
                <w:szCs w:val="24"/>
                <w:vertAlign w:val="subscript"/>
              </w:rPr>
              <w:t>1</w:t>
            </w:r>
            <w:r>
              <w:rPr>
                <w:rFonts w:ascii="Times New Roman" w:hAnsi="Times New Roman"/>
                <w:i/>
                <w:iCs/>
                <w:color w:val="auto"/>
                <w:kern w:val="24"/>
                <w:sz w:val="24"/>
                <w:szCs w:val="24"/>
                <w:vertAlign w:val="subscript"/>
              </w:rPr>
              <w:t>i</w:t>
            </w:r>
            <w:r>
              <w:rPr>
                <w:rFonts w:ascii="Times New Roman" w:hAnsi="Times New Roman"/>
                <w:color w:val="auto"/>
                <w:kern w:val="24"/>
                <w:sz w:val="24"/>
                <w:szCs w:val="24"/>
              </w:rPr>
              <w:t>(T)—靠近围护结构处室内N个声源</w:t>
            </w:r>
            <w:r>
              <w:rPr>
                <w:rFonts w:ascii="Times New Roman" w:hAnsi="Times New Roman"/>
                <w:i/>
                <w:iCs/>
                <w:color w:val="auto"/>
                <w:kern w:val="24"/>
                <w:sz w:val="24"/>
                <w:szCs w:val="24"/>
              </w:rPr>
              <w:t>i</w:t>
            </w:r>
            <w:r>
              <w:rPr>
                <w:rFonts w:ascii="Times New Roman" w:hAnsi="Times New Roman"/>
                <w:color w:val="auto"/>
                <w:kern w:val="24"/>
                <w:sz w:val="24"/>
                <w:szCs w:val="24"/>
              </w:rPr>
              <w:t>倍频带的叠加声压级，dB；</w:t>
            </w:r>
          </w:p>
          <w:p w14:paraId="5935F211">
            <w:pPr>
              <w:spacing w:line="360" w:lineRule="auto"/>
              <w:ind w:firstLine="480" w:firstLineChars="200"/>
              <w:rPr>
                <w:rFonts w:ascii="Times New Roman" w:hAnsi="Times New Roman"/>
                <w:color w:val="auto"/>
                <w:kern w:val="24"/>
                <w:sz w:val="24"/>
                <w:szCs w:val="24"/>
              </w:rPr>
            </w:pPr>
            <w:r>
              <w:rPr>
                <w:rFonts w:ascii="Times New Roman" w:hAnsi="Times New Roman"/>
                <w:i/>
                <w:iCs/>
                <w:color w:val="auto"/>
                <w:kern w:val="24"/>
                <w:sz w:val="24"/>
                <w:szCs w:val="24"/>
              </w:rPr>
              <w:t>L</w:t>
            </w:r>
            <w:r>
              <w:rPr>
                <w:rFonts w:ascii="Times New Roman" w:hAnsi="Times New Roman"/>
                <w:i/>
                <w:iCs/>
                <w:color w:val="auto"/>
                <w:kern w:val="24"/>
                <w:sz w:val="24"/>
                <w:szCs w:val="24"/>
                <w:vertAlign w:val="subscript"/>
              </w:rPr>
              <w:t>P1</w:t>
            </w:r>
            <w:r>
              <w:rPr>
                <w:rFonts w:ascii="Times New Roman" w:hAnsi="Times New Roman"/>
                <w:color w:val="auto"/>
                <w:kern w:val="24"/>
                <w:sz w:val="24"/>
                <w:szCs w:val="24"/>
                <w:vertAlign w:val="subscript"/>
              </w:rPr>
              <w:t>ij</w:t>
            </w:r>
            <w:r>
              <w:rPr>
                <w:rFonts w:ascii="Times New Roman" w:hAnsi="Times New Roman"/>
                <w:color w:val="auto"/>
                <w:kern w:val="24"/>
                <w:sz w:val="24"/>
                <w:szCs w:val="24"/>
              </w:rPr>
              <w:t>—室内</w:t>
            </w:r>
            <w:r>
              <w:rPr>
                <w:rFonts w:ascii="Times New Roman" w:hAnsi="Times New Roman"/>
                <w:i/>
                <w:iCs/>
                <w:color w:val="auto"/>
                <w:kern w:val="24"/>
                <w:sz w:val="24"/>
                <w:szCs w:val="24"/>
              </w:rPr>
              <w:t>j</w:t>
            </w:r>
            <w:r>
              <w:rPr>
                <w:rFonts w:ascii="Times New Roman" w:hAnsi="Times New Roman"/>
                <w:color w:val="auto"/>
                <w:kern w:val="24"/>
                <w:sz w:val="24"/>
                <w:szCs w:val="24"/>
              </w:rPr>
              <w:t>声源</w:t>
            </w:r>
            <w:r>
              <w:rPr>
                <w:rFonts w:ascii="Times New Roman" w:hAnsi="Times New Roman"/>
                <w:i/>
                <w:iCs/>
                <w:color w:val="auto"/>
                <w:kern w:val="24"/>
                <w:sz w:val="24"/>
                <w:szCs w:val="24"/>
              </w:rPr>
              <w:t>i</w:t>
            </w:r>
            <w:r>
              <w:rPr>
                <w:rFonts w:ascii="Times New Roman" w:hAnsi="Times New Roman"/>
                <w:color w:val="auto"/>
                <w:kern w:val="24"/>
                <w:sz w:val="24"/>
                <w:szCs w:val="24"/>
              </w:rPr>
              <w:t>倍频带的声压级，dB；</w:t>
            </w:r>
          </w:p>
          <w:p w14:paraId="2476AA66">
            <w:pPr>
              <w:spacing w:line="360" w:lineRule="auto"/>
              <w:ind w:firstLine="480" w:firstLineChars="200"/>
              <w:rPr>
                <w:rFonts w:ascii="Times New Roman" w:hAnsi="Times New Roman"/>
                <w:color w:val="auto"/>
                <w:kern w:val="24"/>
                <w:sz w:val="24"/>
                <w:szCs w:val="24"/>
              </w:rPr>
            </w:pPr>
            <w:r>
              <w:rPr>
                <w:rFonts w:ascii="Times New Roman" w:hAnsi="Times New Roman"/>
                <w:i/>
                <w:color w:val="auto"/>
                <w:kern w:val="24"/>
                <w:sz w:val="24"/>
                <w:szCs w:val="24"/>
              </w:rPr>
              <w:t>N</w:t>
            </w:r>
            <w:r>
              <w:rPr>
                <w:rFonts w:ascii="Times New Roman" w:hAnsi="Times New Roman"/>
                <w:color w:val="auto"/>
                <w:kern w:val="24"/>
                <w:sz w:val="24"/>
                <w:szCs w:val="24"/>
              </w:rPr>
              <w:t>—室内声源总数。</w:t>
            </w:r>
          </w:p>
          <w:p w14:paraId="12AF0E81">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在室内近似为扩散声场时，按式3计算出靠近室外围护结构处的声压级：</w:t>
            </w:r>
          </w:p>
          <w:p w14:paraId="1D68DF1E">
            <w:pPr>
              <w:spacing w:line="360" w:lineRule="auto"/>
              <w:ind w:firstLine="480" w:firstLineChars="200"/>
              <w:jc w:val="center"/>
              <w:rPr>
                <w:rFonts w:ascii="Times New Roman" w:hAnsi="Times New Roman"/>
                <w:color w:val="auto"/>
                <w:kern w:val="24"/>
                <w:sz w:val="24"/>
                <w:szCs w:val="24"/>
                <w:lang w:val="pl-PL"/>
              </w:rPr>
            </w:pPr>
            <w:r>
              <w:rPr>
                <w:rFonts w:ascii="Times New Roman" w:hAnsi="Times New Roman"/>
                <w:i/>
                <w:iCs/>
                <w:color w:val="auto"/>
                <w:kern w:val="24"/>
                <w:sz w:val="24"/>
                <w:szCs w:val="24"/>
                <w:lang w:val="pl-PL"/>
              </w:rPr>
              <w:t>L</w:t>
            </w:r>
            <w:r>
              <w:rPr>
                <w:rFonts w:ascii="Times New Roman" w:hAnsi="Times New Roman"/>
                <w:i/>
                <w:iCs/>
                <w:color w:val="auto"/>
                <w:kern w:val="24"/>
                <w:sz w:val="24"/>
                <w:szCs w:val="24"/>
                <w:vertAlign w:val="subscript"/>
                <w:lang w:val="pl-PL"/>
              </w:rPr>
              <w:t>P</w:t>
            </w:r>
            <w:r>
              <w:rPr>
                <w:rFonts w:ascii="Times New Roman" w:hAnsi="Times New Roman"/>
                <w:color w:val="auto"/>
                <w:kern w:val="24"/>
                <w:sz w:val="24"/>
                <w:szCs w:val="24"/>
                <w:vertAlign w:val="subscript"/>
                <w:lang w:val="pl-PL"/>
              </w:rPr>
              <w:t>2</w:t>
            </w:r>
            <w:r>
              <w:rPr>
                <w:rFonts w:ascii="Times New Roman" w:hAnsi="Times New Roman"/>
                <w:i/>
                <w:iCs/>
                <w:color w:val="auto"/>
                <w:kern w:val="24"/>
                <w:sz w:val="24"/>
                <w:szCs w:val="24"/>
                <w:vertAlign w:val="subscript"/>
                <w:lang w:val="pl-PL"/>
              </w:rPr>
              <w:t>i</w:t>
            </w:r>
            <w:r>
              <w:rPr>
                <w:rFonts w:ascii="Times New Roman" w:hAnsi="Times New Roman"/>
                <w:color w:val="auto"/>
                <w:kern w:val="24"/>
                <w:sz w:val="24"/>
                <w:szCs w:val="24"/>
                <w:lang w:val="pl-PL"/>
              </w:rPr>
              <w:t>(T)=</w:t>
            </w:r>
            <w:r>
              <w:rPr>
                <w:rFonts w:ascii="Times New Roman" w:hAnsi="Times New Roman"/>
                <w:i/>
                <w:iCs/>
                <w:color w:val="auto"/>
                <w:kern w:val="24"/>
                <w:sz w:val="24"/>
                <w:szCs w:val="24"/>
                <w:lang w:val="pl-PL"/>
              </w:rPr>
              <w:t>L</w:t>
            </w:r>
            <w:r>
              <w:rPr>
                <w:rFonts w:ascii="Times New Roman" w:hAnsi="Times New Roman"/>
                <w:i/>
                <w:iCs/>
                <w:color w:val="auto"/>
                <w:kern w:val="24"/>
                <w:sz w:val="24"/>
                <w:szCs w:val="24"/>
                <w:vertAlign w:val="subscript"/>
                <w:lang w:val="pl-PL"/>
              </w:rPr>
              <w:t>P</w:t>
            </w:r>
            <w:r>
              <w:rPr>
                <w:rFonts w:ascii="Times New Roman" w:hAnsi="Times New Roman"/>
                <w:color w:val="auto"/>
                <w:kern w:val="24"/>
                <w:sz w:val="24"/>
                <w:szCs w:val="24"/>
                <w:vertAlign w:val="subscript"/>
                <w:lang w:val="pl-PL"/>
              </w:rPr>
              <w:t>1</w:t>
            </w:r>
            <w:r>
              <w:rPr>
                <w:rFonts w:ascii="Times New Roman" w:hAnsi="Times New Roman"/>
                <w:i/>
                <w:iCs/>
                <w:color w:val="auto"/>
                <w:kern w:val="24"/>
                <w:sz w:val="24"/>
                <w:szCs w:val="24"/>
                <w:vertAlign w:val="subscript"/>
                <w:lang w:val="pl-PL"/>
              </w:rPr>
              <w:t>i</w:t>
            </w:r>
            <w:r>
              <w:rPr>
                <w:rFonts w:ascii="Times New Roman" w:hAnsi="Times New Roman"/>
                <w:color w:val="auto"/>
                <w:kern w:val="24"/>
                <w:sz w:val="24"/>
                <w:szCs w:val="24"/>
                <w:lang w:val="pl-PL"/>
              </w:rPr>
              <w:t>(T)-（TL</w:t>
            </w:r>
            <w:r>
              <w:rPr>
                <w:rFonts w:ascii="Times New Roman" w:hAnsi="Times New Roman"/>
                <w:color w:val="auto"/>
                <w:kern w:val="24"/>
                <w:sz w:val="24"/>
                <w:szCs w:val="24"/>
                <w:vertAlign w:val="subscript"/>
                <w:lang w:val="pl-PL"/>
              </w:rPr>
              <w:t>i</w:t>
            </w:r>
            <w:r>
              <w:rPr>
                <w:rFonts w:ascii="Times New Roman" w:hAnsi="Times New Roman"/>
                <w:color w:val="auto"/>
                <w:kern w:val="24"/>
                <w:sz w:val="24"/>
                <w:szCs w:val="24"/>
                <w:lang w:val="pl-PL"/>
              </w:rPr>
              <w:t>+6）</w:t>
            </w:r>
            <w:r>
              <w:rPr>
                <w:rFonts w:ascii="Times New Roman" w:hAnsi="Times New Roman"/>
                <w:color w:val="auto"/>
                <w:kern w:val="24"/>
                <w:szCs w:val="21"/>
                <w:lang w:val="pl-PL"/>
              </w:rPr>
              <w:t>（</w:t>
            </w:r>
            <w:r>
              <w:rPr>
                <w:rFonts w:ascii="Times New Roman" w:hAnsi="Times New Roman"/>
                <w:color w:val="auto"/>
                <w:kern w:val="24"/>
                <w:szCs w:val="21"/>
              </w:rPr>
              <w:t>式</w:t>
            </w:r>
            <w:r>
              <w:rPr>
                <w:rFonts w:ascii="Times New Roman" w:hAnsi="Times New Roman"/>
                <w:color w:val="auto"/>
                <w:kern w:val="24"/>
                <w:szCs w:val="21"/>
                <w:lang w:val="pl-PL"/>
              </w:rPr>
              <w:t>3）</w:t>
            </w:r>
          </w:p>
          <w:p w14:paraId="6DE3A724">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式中：</w:t>
            </w:r>
          </w:p>
          <w:p w14:paraId="184F5992">
            <w:pPr>
              <w:spacing w:line="360" w:lineRule="auto"/>
              <w:ind w:firstLine="480" w:firstLineChars="200"/>
              <w:rPr>
                <w:rFonts w:ascii="Times New Roman" w:hAnsi="Times New Roman"/>
                <w:color w:val="auto"/>
                <w:kern w:val="24"/>
                <w:sz w:val="24"/>
                <w:szCs w:val="24"/>
              </w:rPr>
            </w:pPr>
            <w:r>
              <w:rPr>
                <w:rFonts w:ascii="Times New Roman" w:hAnsi="Times New Roman"/>
                <w:i/>
                <w:iCs/>
                <w:color w:val="auto"/>
                <w:kern w:val="24"/>
                <w:sz w:val="24"/>
                <w:szCs w:val="24"/>
              </w:rPr>
              <w:t>L</w:t>
            </w:r>
            <w:r>
              <w:rPr>
                <w:rFonts w:ascii="Times New Roman" w:hAnsi="Times New Roman"/>
                <w:i/>
                <w:iCs/>
                <w:color w:val="auto"/>
                <w:kern w:val="24"/>
                <w:sz w:val="24"/>
                <w:szCs w:val="24"/>
                <w:vertAlign w:val="subscript"/>
              </w:rPr>
              <w:t>P</w:t>
            </w:r>
            <w:r>
              <w:rPr>
                <w:rFonts w:ascii="Times New Roman" w:hAnsi="Times New Roman"/>
                <w:color w:val="auto"/>
                <w:kern w:val="24"/>
                <w:sz w:val="24"/>
                <w:szCs w:val="24"/>
                <w:vertAlign w:val="subscript"/>
              </w:rPr>
              <w:t>2</w:t>
            </w:r>
            <w:r>
              <w:rPr>
                <w:rFonts w:ascii="Times New Roman" w:hAnsi="Times New Roman"/>
                <w:i/>
                <w:iCs/>
                <w:color w:val="auto"/>
                <w:kern w:val="24"/>
                <w:sz w:val="24"/>
                <w:szCs w:val="24"/>
                <w:vertAlign w:val="subscript"/>
              </w:rPr>
              <w:t>i</w:t>
            </w:r>
            <w:r>
              <w:rPr>
                <w:rFonts w:ascii="Times New Roman" w:hAnsi="Times New Roman"/>
                <w:color w:val="auto"/>
                <w:kern w:val="24"/>
                <w:sz w:val="24"/>
                <w:szCs w:val="24"/>
              </w:rPr>
              <w:t>(T)—靠近围护结构处室外N个声源</w:t>
            </w:r>
            <w:r>
              <w:rPr>
                <w:rFonts w:ascii="Times New Roman" w:hAnsi="Times New Roman"/>
                <w:i/>
                <w:iCs/>
                <w:color w:val="auto"/>
                <w:kern w:val="24"/>
                <w:sz w:val="24"/>
                <w:szCs w:val="24"/>
              </w:rPr>
              <w:t>i</w:t>
            </w:r>
            <w:r>
              <w:rPr>
                <w:rFonts w:ascii="Times New Roman" w:hAnsi="Times New Roman"/>
                <w:color w:val="auto"/>
                <w:kern w:val="24"/>
                <w:sz w:val="24"/>
                <w:szCs w:val="24"/>
              </w:rPr>
              <w:t>倍频带的叠加声压级，dB；</w:t>
            </w:r>
          </w:p>
          <w:p w14:paraId="543D90D0">
            <w:pPr>
              <w:spacing w:line="360" w:lineRule="auto"/>
              <w:ind w:firstLine="480" w:firstLineChars="200"/>
              <w:rPr>
                <w:rFonts w:ascii="Times New Roman" w:hAnsi="Times New Roman"/>
                <w:color w:val="auto"/>
                <w:kern w:val="24"/>
                <w:sz w:val="24"/>
                <w:szCs w:val="24"/>
              </w:rPr>
            </w:pPr>
            <w:r>
              <w:rPr>
                <w:rFonts w:ascii="Times New Roman" w:hAnsi="Times New Roman"/>
                <w:i/>
                <w:iCs/>
                <w:color w:val="auto"/>
                <w:kern w:val="24"/>
                <w:sz w:val="24"/>
                <w:szCs w:val="24"/>
              </w:rPr>
              <w:t>TL</w:t>
            </w:r>
            <w:r>
              <w:rPr>
                <w:rFonts w:ascii="Times New Roman" w:hAnsi="Times New Roman"/>
                <w:i/>
                <w:iCs/>
                <w:color w:val="auto"/>
                <w:kern w:val="24"/>
                <w:sz w:val="24"/>
                <w:szCs w:val="24"/>
                <w:vertAlign w:val="subscript"/>
              </w:rPr>
              <w:t>i</w:t>
            </w:r>
            <w:r>
              <w:rPr>
                <w:rFonts w:ascii="Times New Roman" w:hAnsi="Times New Roman"/>
                <w:color w:val="auto"/>
                <w:kern w:val="24"/>
                <w:sz w:val="24"/>
                <w:szCs w:val="24"/>
              </w:rPr>
              <w:t>—围护结构</w:t>
            </w:r>
            <w:r>
              <w:rPr>
                <w:rFonts w:ascii="Times New Roman" w:hAnsi="Times New Roman"/>
                <w:i/>
                <w:iCs/>
                <w:color w:val="auto"/>
                <w:kern w:val="24"/>
                <w:sz w:val="24"/>
                <w:szCs w:val="24"/>
              </w:rPr>
              <w:t>i</w:t>
            </w:r>
            <w:r>
              <w:rPr>
                <w:rFonts w:ascii="Times New Roman" w:hAnsi="Times New Roman"/>
                <w:color w:val="auto"/>
                <w:kern w:val="24"/>
                <w:sz w:val="24"/>
                <w:szCs w:val="24"/>
              </w:rPr>
              <w:t>倍频带的隔声量，dB。</w:t>
            </w:r>
          </w:p>
          <w:p w14:paraId="5953990B">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然后按下式将室外声源的声压级和透过面积换算成等效的室外声源，计算出中心位置位于透声面积（S）处的等效声源的倍频带声功率级。</w:t>
            </w:r>
          </w:p>
          <w:p w14:paraId="3C2A1F4E">
            <w:pPr>
              <w:spacing w:line="360" w:lineRule="auto"/>
              <w:ind w:firstLine="480" w:firstLineChars="200"/>
              <w:jc w:val="center"/>
              <w:rPr>
                <w:rFonts w:ascii="Times New Roman" w:hAnsi="Times New Roman"/>
                <w:color w:val="auto"/>
                <w:kern w:val="24"/>
                <w:sz w:val="24"/>
                <w:szCs w:val="24"/>
              </w:rPr>
            </w:pPr>
            <w:r>
              <w:rPr>
                <w:rFonts w:ascii="Times New Roman" w:hAnsi="Times New Roman"/>
                <w:i/>
                <w:iCs/>
                <w:color w:val="auto"/>
                <w:kern w:val="24"/>
                <w:sz w:val="24"/>
                <w:szCs w:val="24"/>
              </w:rPr>
              <w:t>L</w:t>
            </w:r>
            <w:r>
              <w:rPr>
                <w:rFonts w:ascii="Times New Roman" w:hAnsi="Times New Roman"/>
                <w:i/>
                <w:iCs/>
                <w:color w:val="auto"/>
                <w:kern w:val="24"/>
                <w:sz w:val="24"/>
                <w:szCs w:val="24"/>
                <w:vertAlign w:val="subscript"/>
              </w:rPr>
              <w:t>W</w:t>
            </w:r>
            <w:r>
              <w:rPr>
                <w:rFonts w:ascii="Times New Roman" w:hAnsi="Times New Roman"/>
                <w:color w:val="auto"/>
                <w:kern w:val="24"/>
                <w:sz w:val="24"/>
                <w:szCs w:val="24"/>
              </w:rPr>
              <w:t>=</w:t>
            </w:r>
            <w:r>
              <w:rPr>
                <w:rFonts w:ascii="Times New Roman" w:hAnsi="Times New Roman"/>
                <w:i/>
                <w:iCs/>
                <w:color w:val="auto"/>
                <w:kern w:val="24"/>
                <w:sz w:val="24"/>
                <w:szCs w:val="24"/>
              </w:rPr>
              <w:t>L</w:t>
            </w:r>
            <w:r>
              <w:rPr>
                <w:rFonts w:ascii="Times New Roman" w:hAnsi="Times New Roman"/>
                <w:i/>
                <w:iCs/>
                <w:color w:val="auto"/>
                <w:kern w:val="24"/>
                <w:sz w:val="24"/>
                <w:szCs w:val="24"/>
                <w:vertAlign w:val="subscript"/>
              </w:rPr>
              <w:t>P</w:t>
            </w:r>
            <w:r>
              <w:rPr>
                <w:rFonts w:ascii="Times New Roman" w:hAnsi="Times New Roman"/>
                <w:color w:val="auto"/>
                <w:kern w:val="24"/>
                <w:sz w:val="24"/>
                <w:szCs w:val="24"/>
                <w:vertAlign w:val="subscript"/>
              </w:rPr>
              <w:t>2</w:t>
            </w:r>
            <w:r>
              <w:rPr>
                <w:rFonts w:ascii="Times New Roman" w:hAnsi="Times New Roman"/>
                <w:color w:val="auto"/>
                <w:kern w:val="24"/>
                <w:sz w:val="24"/>
                <w:szCs w:val="24"/>
              </w:rPr>
              <w:t>(T)+10lg</w:t>
            </w:r>
            <w:r>
              <w:rPr>
                <w:rFonts w:ascii="Times New Roman" w:hAnsi="Times New Roman"/>
                <w:i/>
                <w:iCs/>
                <w:color w:val="auto"/>
                <w:kern w:val="24"/>
                <w:sz w:val="24"/>
                <w:szCs w:val="24"/>
              </w:rPr>
              <w:t xml:space="preserve">s           </w:t>
            </w:r>
            <w:r>
              <w:rPr>
                <w:rFonts w:ascii="Times New Roman" w:hAnsi="Times New Roman"/>
                <w:color w:val="auto"/>
                <w:kern w:val="24"/>
                <w:szCs w:val="21"/>
              </w:rPr>
              <w:t>（式4）</w:t>
            </w:r>
          </w:p>
          <w:p w14:paraId="26FD9AE2">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然后按室外声源预测方法计算预测点处的A声级。</w:t>
            </w:r>
          </w:p>
          <w:p w14:paraId="6AB17F24">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2、室外的点声源在预测点产生的声级计算基本公式</w:t>
            </w:r>
          </w:p>
          <w:p w14:paraId="79EBFB80">
            <w:pPr>
              <w:spacing w:line="360" w:lineRule="auto"/>
              <w:ind w:firstLine="480" w:firstLineChars="200"/>
              <w:jc w:val="center"/>
              <w:rPr>
                <w:rFonts w:ascii="Times New Roman" w:hAnsi="Times New Roman"/>
                <w:color w:val="auto"/>
                <w:kern w:val="24"/>
                <w:sz w:val="24"/>
                <w:szCs w:val="24"/>
              </w:rPr>
            </w:pPr>
            <w:r>
              <w:rPr>
                <w:rFonts w:ascii="Times New Roman" w:hAnsi="Times New Roman"/>
                <w:i/>
                <w:color w:val="auto"/>
                <w:kern w:val="24"/>
                <w:sz w:val="24"/>
                <w:szCs w:val="24"/>
              </w:rPr>
              <w:t>L</w:t>
            </w:r>
            <w:r>
              <w:rPr>
                <w:rFonts w:ascii="Times New Roman" w:hAnsi="Times New Roman"/>
                <w:i/>
                <w:color w:val="auto"/>
                <w:kern w:val="24"/>
                <w:sz w:val="24"/>
                <w:szCs w:val="24"/>
                <w:vertAlign w:val="subscript"/>
              </w:rPr>
              <w:t>A（r）</w:t>
            </w:r>
            <w:r>
              <w:rPr>
                <w:rFonts w:ascii="Times New Roman" w:hAnsi="Times New Roman"/>
                <w:color w:val="auto"/>
                <w:kern w:val="24"/>
                <w:sz w:val="24"/>
                <w:szCs w:val="24"/>
              </w:rPr>
              <w:t>=</w:t>
            </w:r>
            <w:r>
              <w:rPr>
                <w:rFonts w:ascii="Times New Roman" w:hAnsi="Times New Roman"/>
                <w:i/>
                <w:color w:val="auto"/>
                <w:kern w:val="24"/>
                <w:sz w:val="24"/>
                <w:szCs w:val="24"/>
              </w:rPr>
              <w:t>L</w:t>
            </w:r>
            <w:r>
              <w:rPr>
                <w:rFonts w:ascii="Times New Roman" w:hAnsi="Times New Roman"/>
                <w:i/>
                <w:color w:val="auto"/>
                <w:kern w:val="24"/>
                <w:sz w:val="24"/>
                <w:szCs w:val="24"/>
                <w:vertAlign w:val="subscript"/>
              </w:rPr>
              <w:t>Aref（r0）</w:t>
            </w:r>
            <w:r>
              <w:rPr>
                <w:rFonts w:ascii="Times New Roman" w:hAnsi="Times New Roman"/>
                <w:color w:val="auto"/>
                <w:kern w:val="24"/>
                <w:sz w:val="24"/>
                <w:szCs w:val="24"/>
              </w:rPr>
              <w:t>+</w:t>
            </w:r>
            <w:r>
              <w:rPr>
                <w:rFonts w:ascii="Times New Roman" w:hAnsi="Times New Roman"/>
                <w:i/>
                <w:color w:val="auto"/>
                <w:kern w:val="24"/>
                <w:sz w:val="24"/>
                <w:szCs w:val="24"/>
              </w:rPr>
              <w:t>D</w:t>
            </w:r>
            <w:r>
              <w:rPr>
                <w:rFonts w:ascii="Times New Roman" w:hAnsi="Times New Roman"/>
                <w:i/>
                <w:color w:val="auto"/>
                <w:kern w:val="24"/>
                <w:sz w:val="24"/>
                <w:szCs w:val="24"/>
                <w:vertAlign w:val="subscript"/>
              </w:rPr>
              <w:t>c</w:t>
            </w:r>
            <w:r>
              <w:rPr>
                <w:rFonts w:ascii="Times New Roman" w:hAnsi="Times New Roman"/>
                <w:color w:val="auto"/>
                <w:kern w:val="24"/>
                <w:sz w:val="24"/>
                <w:szCs w:val="24"/>
              </w:rPr>
              <w:t>-（</w:t>
            </w: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div</w:t>
            </w:r>
            <w:r>
              <w:rPr>
                <w:rFonts w:ascii="Times New Roman" w:hAnsi="Times New Roman"/>
                <w:color w:val="auto"/>
                <w:kern w:val="24"/>
                <w:sz w:val="24"/>
                <w:szCs w:val="24"/>
              </w:rPr>
              <w:t>+</w:t>
            </w: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bar</w:t>
            </w:r>
            <w:r>
              <w:rPr>
                <w:rFonts w:ascii="Times New Roman" w:hAnsi="Times New Roman"/>
                <w:color w:val="auto"/>
                <w:kern w:val="24"/>
                <w:sz w:val="24"/>
                <w:szCs w:val="24"/>
              </w:rPr>
              <w:t>+</w:t>
            </w: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atm</w:t>
            </w:r>
            <w:r>
              <w:rPr>
                <w:rFonts w:ascii="Times New Roman" w:hAnsi="Times New Roman"/>
                <w:color w:val="auto"/>
                <w:kern w:val="24"/>
                <w:sz w:val="24"/>
                <w:szCs w:val="24"/>
              </w:rPr>
              <w:t>+</w:t>
            </w: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gr</w:t>
            </w:r>
            <w:r>
              <w:rPr>
                <w:rFonts w:ascii="Times New Roman" w:hAnsi="Times New Roman"/>
                <w:color w:val="auto"/>
                <w:kern w:val="24"/>
                <w:sz w:val="24"/>
                <w:szCs w:val="24"/>
              </w:rPr>
              <w:t>+</w:t>
            </w: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misc</w:t>
            </w:r>
            <w:r>
              <w:rPr>
                <w:rFonts w:ascii="Times New Roman" w:hAnsi="Times New Roman"/>
                <w:color w:val="auto"/>
                <w:kern w:val="24"/>
                <w:sz w:val="24"/>
                <w:szCs w:val="24"/>
              </w:rPr>
              <w:t>）</w:t>
            </w:r>
            <w:r>
              <w:rPr>
                <w:rFonts w:ascii="Times New Roman" w:hAnsi="Times New Roman"/>
                <w:color w:val="auto"/>
                <w:kern w:val="24"/>
                <w:szCs w:val="21"/>
              </w:rPr>
              <w:t>（式5）</w:t>
            </w:r>
          </w:p>
          <w:p w14:paraId="474EE69E">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式中：</w:t>
            </w:r>
            <w:r>
              <w:rPr>
                <w:rFonts w:ascii="Times New Roman" w:hAnsi="Times New Roman"/>
                <w:i/>
                <w:color w:val="auto"/>
                <w:kern w:val="24"/>
                <w:sz w:val="24"/>
                <w:szCs w:val="24"/>
              </w:rPr>
              <w:t>L</w:t>
            </w:r>
            <w:r>
              <w:rPr>
                <w:rFonts w:ascii="Times New Roman" w:hAnsi="Times New Roman"/>
                <w:i/>
                <w:color w:val="auto"/>
                <w:kern w:val="24"/>
                <w:sz w:val="24"/>
                <w:szCs w:val="24"/>
                <w:vertAlign w:val="subscript"/>
              </w:rPr>
              <w:t>A（r）</w:t>
            </w:r>
            <w:r>
              <w:rPr>
                <w:rFonts w:ascii="Times New Roman" w:hAnsi="Times New Roman"/>
                <w:color w:val="auto"/>
                <w:kern w:val="24"/>
                <w:sz w:val="24"/>
                <w:szCs w:val="24"/>
              </w:rPr>
              <w:t>——距离声源r处A声级，dB（A）；</w:t>
            </w:r>
          </w:p>
          <w:p w14:paraId="3E522CE2">
            <w:pPr>
              <w:spacing w:line="360" w:lineRule="auto"/>
              <w:ind w:firstLine="1200" w:firstLineChars="500"/>
              <w:rPr>
                <w:rFonts w:ascii="Times New Roman" w:hAnsi="Times New Roman"/>
                <w:color w:val="auto"/>
                <w:kern w:val="24"/>
                <w:sz w:val="24"/>
                <w:szCs w:val="24"/>
              </w:rPr>
            </w:pPr>
            <w:r>
              <w:rPr>
                <w:rFonts w:ascii="Times New Roman" w:hAnsi="Times New Roman"/>
                <w:i/>
                <w:color w:val="auto"/>
                <w:kern w:val="24"/>
                <w:sz w:val="24"/>
                <w:szCs w:val="24"/>
              </w:rPr>
              <w:t>D</w:t>
            </w:r>
            <w:r>
              <w:rPr>
                <w:rFonts w:ascii="Times New Roman" w:hAnsi="Times New Roman"/>
                <w:i/>
                <w:color w:val="auto"/>
                <w:kern w:val="24"/>
                <w:sz w:val="24"/>
                <w:szCs w:val="24"/>
                <w:vertAlign w:val="subscript"/>
              </w:rPr>
              <w:t>c</w:t>
            </w:r>
            <w:r>
              <w:rPr>
                <w:rFonts w:ascii="Times New Roman" w:hAnsi="Times New Roman"/>
                <w:color w:val="auto"/>
                <w:kern w:val="24"/>
                <w:sz w:val="24"/>
                <w:szCs w:val="24"/>
              </w:rPr>
              <w:t>——指向性校正，dB(A)，取0；</w:t>
            </w:r>
          </w:p>
          <w:p w14:paraId="335DB0ED">
            <w:pPr>
              <w:spacing w:line="360" w:lineRule="auto"/>
              <w:ind w:firstLine="960" w:firstLineChars="400"/>
              <w:rPr>
                <w:rFonts w:ascii="Times New Roman" w:hAnsi="Times New Roman"/>
                <w:color w:val="auto"/>
                <w:kern w:val="24"/>
                <w:sz w:val="24"/>
                <w:szCs w:val="24"/>
              </w:rPr>
            </w:pP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Aref（r0）</w:t>
            </w:r>
            <w:r>
              <w:rPr>
                <w:rFonts w:ascii="Times New Roman" w:hAnsi="Times New Roman"/>
                <w:color w:val="auto"/>
                <w:kern w:val="24"/>
                <w:sz w:val="24"/>
                <w:szCs w:val="24"/>
              </w:rPr>
              <w:t>——参考位置r</w:t>
            </w:r>
            <w:r>
              <w:rPr>
                <w:rFonts w:ascii="Times New Roman" w:hAnsi="Times New Roman"/>
                <w:color w:val="auto"/>
                <w:kern w:val="24"/>
                <w:sz w:val="24"/>
                <w:szCs w:val="24"/>
                <w:vertAlign w:val="subscript"/>
              </w:rPr>
              <w:t>0</w:t>
            </w:r>
            <w:r>
              <w:rPr>
                <w:rFonts w:ascii="Times New Roman" w:hAnsi="Times New Roman"/>
                <w:color w:val="auto"/>
                <w:kern w:val="24"/>
                <w:sz w:val="24"/>
                <w:szCs w:val="24"/>
              </w:rPr>
              <w:t>处A声级，dB（A）；</w:t>
            </w:r>
          </w:p>
          <w:p w14:paraId="515C3890">
            <w:pPr>
              <w:spacing w:line="360" w:lineRule="auto"/>
              <w:ind w:firstLine="960" w:firstLineChars="400"/>
              <w:rPr>
                <w:rFonts w:ascii="Times New Roman" w:hAnsi="Times New Roman"/>
                <w:color w:val="auto"/>
                <w:kern w:val="24"/>
                <w:sz w:val="24"/>
                <w:szCs w:val="24"/>
              </w:rPr>
            </w:pP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div</w:t>
            </w:r>
            <w:r>
              <w:rPr>
                <w:rFonts w:ascii="Times New Roman" w:hAnsi="Times New Roman"/>
                <w:color w:val="auto"/>
                <w:kern w:val="24"/>
                <w:sz w:val="24"/>
                <w:szCs w:val="24"/>
              </w:rPr>
              <w:t>——声波几何发散引起的A声级衰减量，dB（A）；</w:t>
            </w:r>
          </w:p>
          <w:p w14:paraId="197B51A5">
            <w:pPr>
              <w:spacing w:line="360" w:lineRule="auto"/>
              <w:ind w:firstLine="960" w:firstLineChars="400"/>
              <w:rPr>
                <w:rFonts w:ascii="Times New Roman" w:hAnsi="Times New Roman"/>
                <w:color w:val="auto"/>
                <w:kern w:val="24"/>
                <w:sz w:val="24"/>
                <w:szCs w:val="24"/>
              </w:rPr>
            </w:pP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bar</w:t>
            </w:r>
            <w:r>
              <w:rPr>
                <w:rFonts w:ascii="Times New Roman" w:hAnsi="Times New Roman"/>
                <w:color w:val="auto"/>
                <w:kern w:val="24"/>
                <w:sz w:val="24"/>
                <w:szCs w:val="24"/>
              </w:rPr>
              <w:t>——遮挡物引起的A声级衰减量，dB（A）；</w:t>
            </w:r>
          </w:p>
          <w:p w14:paraId="72CE133E">
            <w:pPr>
              <w:spacing w:line="360" w:lineRule="auto"/>
              <w:ind w:firstLine="960" w:firstLineChars="400"/>
              <w:rPr>
                <w:rFonts w:ascii="Times New Roman" w:hAnsi="Times New Roman"/>
                <w:color w:val="auto"/>
                <w:kern w:val="24"/>
                <w:sz w:val="24"/>
                <w:szCs w:val="24"/>
              </w:rPr>
            </w:pP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atm</w:t>
            </w:r>
            <w:r>
              <w:rPr>
                <w:rFonts w:ascii="Times New Roman" w:hAnsi="Times New Roman"/>
                <w:color w:val="auto"/>
                <w:kern w:val="24"/>
                <w:sz w:val="24"/>
                <w:szCs w:val="24"/>
              </w:rPr>
              <w:t>——空气吸收引起的A声级衰减量，dB（A）；</w:t>
            </w:r>
          </w:p>
          <w:p w14:paraId="4DE8AF3D">
            <w:pPr>
              <w:spacing w:line="360" w:lineRule="auto"/>
              <w:ind w:firstLine="960" w:firstLineChars="400"/>
              <w:rPr>
                <w:rFonts w:ascii="Times New Roman" w:hAnsi="Times New Roman"/>
                <w:color w:val="auto"/>
                <w:kern w:val="24"/>
                <w:sz w:val="24"/>
                <w:szCs w:val="24"/>
              </w:rPr>
            </w:pP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gr</w:t>
            </w:r>
            <w:r>
              <w:rPr>
                <w:rFonts w:ascii="Times New Roman" w:hAnsi="Times New Roman"/>
                <w:color w:val="auto"/>
                <w:kern w:val="24"/>
                <w:sz w:val="24"/>
                <w:szCs w:val="24"/>
              </w:rPr>
              <w:t>——地面效应衰减量，dB（A）</w:t>
            </w:r>
            <w:r>
              <w:rPr>
                <w:rFonts w:hint="eastAsia" w:ascii="Times New Roman" w:hAnsi="Times New Roman"/>
                <w:color w:val="auto"/>
                <w:kern w:val="24"/>
                <w:sz w:val="24"/>
                <w:szCs w:val="24"/>
              </w:rPr>
              <w:t>；</w:t>
            </w:r>
          </w:p>
          <w:p w14:paraId="5FD7A628">
            <w:pPr>
              <w:spacing w:line="360" w:lineRule="auto"/>
              <w:ind w:firstLine="960" w:firstLineChars="400"/>
              <w:rPr>
                <w:rFonts w:ascii="Times New Roman" w:hAnsi="Times New Roman"/>
                <w:color w:val="auto"/>
                <w:kern w:val="24"/>
                <w:sz w:val="24"/>
                <w:szCs w:val="24"/>
              </w:rPr>
            </w:pP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misc</w:t>
            </w:r>
            <w:r>
              <w:rPr>
                <w:rFonts w:ascii="Times New Roman" w:hAnsi="Times New Roman"/>
                <w:color w:val="auto"/>
                <w:kern w:val="24"/>
                <w:sz w:val="24"/>
                <w:szCs w:val="24"/>
              </w:rPr>
              <w:t>——其它方面引起的衰减量，dB(A)。</w:t>
            </w:r>
          </w:p>
          <w:p w14:paraId="1E26EEE1">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根据上述公式，对主要生产设备噪声值进行叠加计算，预测项目实施后对厂界声环境的影响。</w:t>
            </w:r>
          </w:p>
          <w:p w14:paraId="01856FAA">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各预测点声压级按下列公式进行叠加：</w:t>
            </w:r>
          </w:p>
          <w:p w14:paraId="3270729E">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mc:AlternateContent>
                <mc:Choice Requires="wps">
                  <w:drawing>
                    <wp:anchor distT="0" distB="0" distL="114300" distR="114300" simplePos="0" relativeHeight="251662336" behindDoc="0" locked="0" layoutInCell="1" allowOverlap="1">
                      <wp:simplePos x="0" y="0"/>
                      <wp:positionH relativeFrom="column">
                        <wp:posOffset>3815080</wp:posOffset>
                      </wp:positionH>
                      <wp:positionV relativeFrom="paragraph">
                        <wp:posOffset>67310</wp:posOffset>
                      </wp:positionV>
                      <wp:extent cx="897890" cy="322580"/>
                      <wp:effectExtent l="0" t="0" r="0" b="0"/>
                      <wp:wrapNone/>
                      <wp:docPr id="233" name="文本框 1435"/>
                      <wp:cNvGraphicFramePr/>
                      <a:graphic xmlns:a="http://schemas.openxmlformats.org/drawingml/2006/main">
                        <a:graphicData uri="http://schemas.microsoft.com/office/word/2010/wordprocessingShape">
                          <wps:wsp>
                            <wps:cNvSpPr txBox="1">
                              <a:spLocks noChangeArrowheads="1"/>
                            </wps:cNvSpPr>
                            <wps:spPr bwMode="auto">
                              <a:xfrm>
                                <a:off x="0" y="0"/>
                                <a:ext cx="897890" cy="322580"/>
                              </a:xfrm>
                              <a:prstGeom prst="rect">
                                <a:avLst/>
                              </a:prstGeom>
                              <a:noFill/>
                              <a:ln>
                                <a:noFill/>
                              </a:ln>
                              <a:effectLst/>
                            </wps:spPr>
                            <wps:txbx>
                              <w:txbxContent>
                                <w:p w14:paraId="094ED3A9">
                                  <w:r>
                                    <w:rPr>
                                      <w:rFonts w:hint="eastAsia"/>
                                    </w:rPr>
                                    <w:t>（式</w:t>
                                  </w:r>
                                  <w:r>
                                    <w:t>6</w:t>
                                  </w:r>
                                  <w:r>
                                    <w:rPr>
                                      <w:rFonts w:hint="eastAsia"/>
                                    </w:rPr>
                                    <w:t>）</w:t>
                                  </w:r>
                                </w:p>
                              </w:txbxContent>
                            </wps:txbx>
                            <wps:bodyPr rot="0" vert="horz" wrap="square" lIns="91440" tIns="45720" rIns="91440" bIns="45720" anchor="t" anchorCtr="0" upright="1">
                              <a:noAutofit/>
                            </wps:bodyPr>
                          </wps:wsp>
                        </a:graphicData>
                      </a:graphic>
                    </wp:anchor>
                  </w:drawing>
                </mc:Choice>
                <mc:Fallback>
                  <w:pict>
                    <v:shape id="文本框 1435" o:spid="_x0000_s1026" o:spt="202" type="#_x0000_t202" style="position:absolute;left:0pt;margin-left:300.4pt;margin-top:5.3pt;height:25.4pt;width:70.7pt;z-index:251662336;mso-width-relative:page;mso-height-relative:page;" filled="f" stroked="f" coordsize="21600,21600" o:gfxdata="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tbDYTVAAAA&#10;CQEAAA8AAAAAAAAAAQAgAAAAIgAAAGRycy9kb3ducmV2LnhtbFBLAQIUABQAAAAIAIdO4kAGl6yO&#10;IAIAACcEAAAOAAAAAAAAAAEAIAAAACQBAABkcnMvZTJvRG9jLnhtbFBLBQYAAAAABgAGAFkBAAC2&#10;BQAAAAA=&#10;">
                      <v:fill on="f" focussize="0,0"/>
                      <v:stroke on="f"/>
                      <v:imagedata o:title=""/>
                      <o:lock v:ext="edit" aspectratio="f"/>
                      <v:textbox>
                        <w:txbxContent>
                          <w:p w14:paraId="094ED3A9">
                            <w:r>
                              <w:rPr>
                                <w:rFonts w:hint="eastAsia"/>
                              </w:rPr>
                              <w:t>（式</w:t>
                            </w:r>
                            <w:r>
                              <w:t>6</w:t>
                            </w:r>
                            <w:r>
                              <w:rPr>
                                <w:rFonts w:hint="eastAsia"/>
                              </w:rPr>
                              <w:t>）</w:t>
                            </w:r>
                          </w:p>
                        </w:txbxContent>
                      </v:textbox>
                    </v:shape>
                  </w:pict>
                </mc:Fallback>
              </mc:AlternateContent>
            </w:r>
            <w:r>
              <w:rPr>
                <w:rFonts w:ascii="Times New Roman" w:hAnsi="Times New Roman"/>
                <w:color w:val="auto"/>
                <w:kern w:val="24"/>
                <w:sz w:val="24"/>
                <w:szCs w:val="24"/>
              </w:rPr>
              <w:drawing>
                <wp:anchor distT="0" distB="0" distL="114300" distR="114300" simplePos="0" relativeHeight="251660288" behindDoc="0" locked="0" layoutInCell="1" allowOverlap="1">
                  <wp:simplePos x="0" y="0"/>
                  <wp:positionH relativeFrom="column">
                    <wp:posOffset>1811655</wp:posOffset>
                  </wp:positionH>
                  <wp:positionV relativeFrom="paragraph">
                    <wp:posOffset>635</wp:posOffset>
                  </wp:positionV>
                  <wp:extent cx="2083435" cy="468630"/>
                  <wp:effectExtent l="0" t="0" r="0" b="0"/>
                  <wp:wrapNone/>
                  <wp:docPr id="6126" name="对象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6" name="对象 1434"/>
                          <pic:cNvPicPr>
                            <a:picLocks noChangeAspect="1" noChangeArrowheads="1"/>
                          </pic:cNvPicPr>
                        </pic:nvPicPr>
                        <pic:blipFill>
                          <a:blip r:embed="rId15" cstate="print"/>
                          <a:srcRect/>
                          <a:stretch>
                            <a:fillRect/>
                          </a:stretch>
                        </pic:blipFill>
                        <pic:spPr>
                          <a:xfrm>
                            <a:off x="0" y="0"/>
                            <a:ext cx="2083435" cy="468630"/>
                          </a:xfrm>
                          <a:prstGeom prst="rect">
                            <a:avLst/>
                          </a:prstGeom>
                          <a:noFill/>
                        </pic:spPr>
                      </pic:pic>
                    </a:graphicData>
                  </a:graphic>
                </wp:anchor>
              </w:drawing>
            </w:r>
          </w:p>
          <w:p w14:paraId="6540A930">
            <w:pPr>
              <w:spacing w:line="360" w:lineRule="auto"/>
              <w:ind w:firstLine="480" w:firstLineChars="200"/>
              <w:rPr>
                <w:rFonts w:ascii="Times New Roman" w:hAnsi="Times New Roman"/>
                <w:color w:val="auto"/>
                <w:kern w:val="24"/>
                <w:sz w:val="24"/>
                <w:szCs w:val="24"/>
              </w:rPr>
            </w:pPr>
          </w:p>
          <w:p w14:paraId="14298D1F">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式中：</w:t>
            </w:r>
            <w:r>
              <w:rPr>
                <w:rFonts w:ascii="Times New Roman" w:hAnsi="Times New Roman"/>
                <w:i/>
                <w:color w:val="auto"/>
                <w:kern w:val="24"/>
                <w:sz w:val="24"/>
                <w:szCs w:val="24"/>
              </w:rPr>
              <w:t>L</w:t>
            </w:r>
            <w:r>
              <w:rPr>
                <w:rFonts w:ascii="Times New Roman" w:hAnsi="Times New Roman"/>
                <w:color w:val="auto"/>
                <w:kern w:val="24"/>
                <w:sz w:val="24"/>
                <w:szCs w:val="24"/>
              </w:rPr>
              <w:t>总－－预测点总的A声级，dB(A)；</w:t>
            </w:r>
          </w:p>
          <w:p w14:paraId="647EC22C">
            <w:pPr>
              <w:spacing w:line="360" w:lineRule="auto"/>
              <w:ind w:firstLine="1200" w:firstLineChars="500"/>
              <w:rPr>
                <w:rFonts w:ascii="Times New Roman" w:hAnsi="Times New Roman"/>
                <w:color w:val="auto"/>
                <w:kern w:val="24"/>
                <w:sz w:val="24"/>
                <w:szCs w:val="24"/>
              </w:rPr>
            </w:pPr>
            <w:r>
              <w:rPr>
                <w:rFonts w:ascii="Times New Roman" w:hAnsi="Times New Roman"/>
                <w:i/>
                <w:color w:val="auto"/>
                <w:kern w:val="24"/>
                <w:sz w:val="24"/>
                <w:szCs w:val="24"/>
              </w:rPr>
              <w:t>Li</w:t>
            </w:r>
            <w:r>
              <w:rPr>
                <w:rFonts w:ascii="Times New Roman" w:hAnsi="Times New Roman"/>
                <w:color w:val="auto"/>
                <w:kern w:val="24"/>
                <w:sz w:val="24"/>
                <w:szCs w:val="24"/>
              </w:rPr>
              <w:t>－－第i个声源到预测点处的声压级，dB(A)；</w:t>
            </w:r>
          </w:p>
          <w:p w14:paraId="28FF2392">
            <w:pPr>
              <w:spacing w:line="360" w:lineRule="auto"/>
              <w:ind w:firstLine="1200" w:firstLineChars="500"/>
              <w:rPr>
                <w:rFonts w:ascii="Times New Roman" w:hAnsi="Times New Roman"/>
                <w:color w:val="auto"/>
                <w:kern w:val="24"/>
                <w:sz w:val="24"/>
                <w:szCs w:val="24"/>
              </w:rPr>
            </w:pPr>
            <w:r>
              <w:rPr>
                <w:rFonts w:ascii="Times New Roman" w:hAnsi="Times New Roman"/>
                <w:i/>
                <w:color w:val="auto"/>
                <w:kern w:val="24"/>
                <w:sz w:val="24"/>
                <w:szCs w:val="24"/>
              </w:rPr>
              <w:t>Lb</w:t>
            </w:r>
            <w:r>
              <w:rPr>
                <w:rFonts w:ascii="Times New Roman" w:hAnsi="Times New Roman"/>
                <w:color w:val="auto"/>
                <w:kern w:val="24"/>
                <w:sz w:val="24"/>
                <w:szCs w:val="24"/>
              </w:rPr>
              <w:t>－－背景噪声值，dB(A)；</w:t>
            </w:r>
          </w:p>
          <w:p w14:paraId="623FA753">
            <w:pPr>
              <w:spacing w:line="360" w:lineRule="auto"/>
              <w:ind w:firstLine="1200" w:firstLineChars="500"/>
              <w:rPr>
                <w:rFonts w:ascii="Times New Roman" w:hAnsi="Times New Roman"/>
                <w:color w:val="auto"/>
                <w:kern w:val="24"/>
                <w:sz w:val="24"/>
                <w:szCs w:val="24"/>
              </w:rPr>
            </w:pPr>
            <w:r>
              <w:rPr>
                <w:rFonts w:ascii="Times New Roman" w:hAnsi="Times New Roman"/>
                <w:i/>
                <w:color w:val="auto"/>
                <w:kern w:val="24"/>
                <w:sz w:val="24"/>
                <w:szCs w:val="24"/>
              </w:rPr>
              <w:t>n</w:t>
            </w:r>
            <w:r>
              <w:rPr>
                <w:rFonts w:ascii="Times New Roman" w:hAnsi="Times New Roman"/>
                <w:color w:val="auto"/>
                <w:kern w:val="24"/>
                <w:sz w:val="24"/>
                <w:szCs w:val="24"/>
              </w:rPr>
              <w:t>－－声源个数。</w:t>
            </w:r>
          </w:p>
          <w:p w14:paraId="01F2BE32">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预测参数确定：</w:t>
            </w:r>
          </w:p>
          <w:p w14:paraId="5D8C66B5">
            <w:pPr>
              <w:spacing w:line="360" w:lineRule="auto"/>
              <w:ind w:firstLine="480" w:firstLineChars="200"/>
              <w:rPr>
                <w:rFonts w:ascii="Times New Roman" w:hAnsi="Times New Roman"/>
                <w:color w:val="auto"/>
                <w:kern w:val="24"/>
                <w:sz w:val="24"/>
                <w:szCs w:val="24"/>
                <w:vertAlign w:val="subscript"/>
              </w:rPr>
            </w:pPr>
            <w:r>
              <w:rPr>
                <w:rFonts w:ascii="Times New Roman" w:hAnsi="Times New Roman"/>
                <w:color w:val="auto"/>
                <w:kern w:val="24"/>
                <w:sz w:val="24"/>
                <w:szCs w:val="24"/>
              </w:rPr>
              <w:t>（1）几何发散衰减量A</w:t>
            </w:r>
            <w:r>
              <w:rPr>
                <w:rFonts w:ascii="Times New Roman" w:hAnsi="Times New Roman"/>
                <w:color w:val="auto"/>
                <w:kern w:val="24"/>
                <w:sz w:val="24"/>
                <w:szCs w:val="24"/>
                <w:vertAlign w:val="subscript"/>
              </w:rPr>
              <w:t>div</w:t>
            </w:r>
          </w:p>
          <w:p w14:paraId="561552F7">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选用半自由声场无指向性点声源几何发散衰减基本模式计算：</w:t>
            </w:r>
          </w:p>
          <w:p w14:paraId="0C8279E5">
            <w:pPr>
              <w:spacing w:line="360" w:lineRule="auto"/>
              <w:ind w:firstLine="480" w:firstLineChars="200"/>
              <w:jc w:val="center"/>
              <w:rPr>
                <w:rFonts w:ascii="Times New Roman" w:hAnsi="Times New Roman"/>
                <w:i/>
                <w:color w:val="auto"/>
                <w:kern w:val="24"/>
                <w:sz w:val="24"/>
                <w:szCs w:val="24"/>
                <w:lang w:val="pt-BR"/>
              </w:rPr>
            </w:pPr>
            <w:r>
              <w:rPr>
                <w:rFonts w:ascii="Times New Roman" w:hAnsi="Times New Roman"/>
                <w:i/>
                <w:color w:val="auto"/>
                <w:kern w:val="24"/>
                <w:sz w:val="24"/>
                <w:szCs w:val="24"/>
                <w:lang w:val="pt-BR"/>
              </w:rPr>
              <w:t>A</w:t>
            </w:r>
            <w:r>
              <w:rPr>
                <w:rFonts w:ascii="Times New Roman" w:hAnsi="Times New Roman"/>
                <w:i/>
                <w:color w:val="auto"/>
                <w:kern w:val="24"/>
                <w:sz w:val="24"/>
                <w:szCs w:val="24"/>
                <w:vertAlign w:val="subscript"/>
                <w:lang w:val="pt-BR"/>
              </w:rPr>
              <w:t>div</w:t>
            </w:r>
            <w:r>
              <w:rPr>
                <w:rFonts w:ascii="Times New Roman" w:hAnsi="Times New Roman"/>
                <w:i/>
                <w:color w:val="auto"/>
                <w:kern w:val="24"/>
                <w:sz w:val="24"/>
                <w:szCs w:val="24"/>
                <w:lang w:val="pt-BR"/>
              </w:rPr>
              <w:t>＝20lg（r/r</w:t>
            </w:r>
            <w:r>
              <w:rPr>
                <w:rFonts w:ascii="Times New Roman" w:hAnsi="Times New Roman"/>
                <w:i/>
                <w:color w:val="auto"/>
                <w:kern w:val="24"/>
                <w:sz w:val="24"/>
                <w:szCs w:val="24"/>
                <w:vertAlign w:val="subscript"/>
                <w:lang w:val="pt-BR"/>
              </w:rPr>
              <w:t>0</w:t>
            </w:r>
            <w:r>
              <w:rPr>
                <w:rFonts w:ascii="Times New Roman" w:hAnsi="Times New Roman"/>
                <w:i/>
                <w:color w:val="auto"/>
                <w:kern w:val="24"/>
                <w:sz w:val="24"/>
                <w:szCs w:val="24"/>
                <w:lang w:val="pt-BR"/>
              </w:rPr>
              <w:t xml:space="preserve">）+8    </w:t>
            </w:r>
            <w:r>
              <w:rPr>
                <w:rFonts w:ascii="Times New Roman" w:hAnsi="Times New Roman"/>
                <w:color w:val="auto"/>
                <w:kern w:val="24"/>
                <w:szCs w:val="21"/>
              </w:rPr>
              <w:t>（式7）</w:t>
            </w:r>
          </w:p>
          <w:p w14:paraId="653E63F4">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（2）遮挡物衰减量A</w:t>
            </w:r>
            <w:r>
              <w:rPr>
                <w:rFonts w:ascii="Times New Roman" w:hAnsi="Times New Roman"/>
                <w:color w:val="auto"/>
                <w:kern w:val="24"/>
                <w:sz w:val="24"/>
                <w:szCs w:val="24"/>
                <w:vertAlign w:val="subscript"/>
              </w:rPr>
              <w:t>ba</w:t>
            </w:r>
          </w:p>
          <w:p w14:paraId="7FA828EA">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噪声源辐射的噪声由室内传播至室外遇到围墙或建筑物等障碍物时引起的能量衰减。对于安装在厂房内的设备，预测时主要考虑厂房墙壁等围栏结构产生的衰减量。</w:t>
            </w:r>
          </w:p>
          <w:p w14:paraId="778777DB">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（3）空气吸收衰减量A</w:t>
            </w:r>
            <w:r>
              <w:rPr>
                <w:rFonts w:ascii="Times New Roman" w:hAnsi="Times New Roman"/>
                <w:color w:val="auto"/>
                <w:kern w:val="24"/>
                <w:sz w:val="24"/>
                <w:szCs w:val="24"/>
                <w:vertAlign w:val="subscript"/>
              </w:rPr>
              <w:t>atm</w:t>
            </w:r>
          </w:p>
          <w:p w14:paraId="17700509">
            <w:pPr>
              <w:spacing w:line="360" w:lineRule="auto"/>
              <w:ind w:firstLine="480" w:firstLineChars="200"/>
              <w:jc w:val="center"/>
              <w:rPr>
                <w:rFonts w:ascii="Times New Roman" w:hAnsi="Times New Roman"/>
                <w:color w:val="auto"/>
                <w:kern w:val="24"/>
                <w:sz w:val="24"/>
                <w:szCs w:val="24"/>
              </w:rPr>
            </w:pPr>
            <w:r>
              <w:rPr>
                <w:rFonts w:ascii="Times New Roman" w:hAnsi="Times New Roman"/>
                <w:color w:val="auto"/>
                <w:kern w:val="24"/>
                <w:sz w:val="24"/>
                <w:szCs w:val="24"/>
              </w:rPr>
              <mc:AlternateContent>
                <mc:Choice Requires="wps">
                  <w:drawing>
                    <wp:anchor distT="0" distB="0" distL="114300" distR="114300" simplePos="0" relativeHeight="251663360" behindDoc="0" locked="0" layoutInCell="1" allowOverlap="1">
                      <wp:simplePos x="0" y="0"/>
                      <wp:positionH relativeFrom="column">
                        <wp:posOffset>3815080</wp:posOffset>
                      </wp:positionH>
                      <wp:positionV relativeFrom="paragraph">
                        <wp:posOffset>219710</wp:posOffset>
                      </wp:positionV>
                      <wp:extent cx="897890" cy="322580"/>
                      <wp:effectExtent l="0" t="0" r="0" b="0"/>
                      <wp:wrapNone/>
                      <wp:docPr id="234" name="文本框 1436"/>
                      <wp:cNvGraphicFramePr/>
                      <a:graphic xmlns:a="http://schemas.openxmlformats.org/drawingml/2006/main">
                        <a:graphicData uri="http://schemas.microsoft.com/office/word/2010/wordprocessingShape">
                          <wps:wsp>
                            <wps:cNvSpPr txBox="1">
                              <a:spLocks noChangeArrowheads="1"/>
                            </wps:cNvSpPr>
                            <wps:spPr bwMode="auto">
                              <a:xfrm>
                                <a:off x="0" y="0"/>
                                <a:ext cx="897890" cy="322580"/>
                              </a:xfrm>
                              <a:prstGeom prst="rect">
                                <a:avLst/>
                              </a:prstGeom>
                              <a:noFill/>
                              <a:ln>
                                <a:noFill/>
                              </a:ln>
                              <a:effectLst/>
                            </wps:spPr>
                            <wps:txbx>
                              <w:txbxContent>
                                <w:p w14:paraId="6C64F5C2">
                                  <w:r>
                                    <w:rPr>
                                      <w:rFonts w:hint="eastAsia"/>
                                    </w:rPr>
                                    <w:t>（式</w:t>
                                  </w:r>
                                  <w:r>
                                    <w:t>8</w:t>
                                  </w:r>
                                  <w:r>
                                    <w:rPr>
                                      <w:rFonts w:hint="eastAsia"/>
                                    </w:rPr>
                                    <w:t>）</w:t>
                                  </w:r>
                                </w:p>
                              </w:txbxContent>
                            </wps:txbx>
                            <wps:bodyPr rot="0" vert="horz" wrap="square" lIns="91440" tIns="45720" rIns="91440" bIns="45720" anchor="t" anchorCtr="0" upright="1">
                              <a:noAutofit/>
                            </wps:bodyPr>
                          </wps:wsp>
                        </a:graphicData>
                      </a:graphic>
                    </wp:anchor>
                  </w:drawing>
                </mc:Choice>
                <mc:Fallback>
                  <w:pict>
                    <v:shape id="文本框 1436" o:spid="_x0000_s1026" o:spt="202" type="#_x0000_t202" style="position:absolute;left:0pt;margin-left:300.4pt;margin-top:17.3pt;height:25.4pt;width:70.7pt;z-index:251663360;mso-width-relative:page;mso-height-relative:page;" filled="f" stroked="f" coordsize="21600,21600" o:gfxdata="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gXHLfX&#10;AAAACQEAAA8AAAAAAAAAAQAgAAAAIgAAAGRycy9kb3ducmV2LnhtbFBLAQIUABQAAAAIAIdO4kD0&#10;mnsXIQIAACcEAAAOAAAAAAAAAAEAIAAAACYBAABkcnMvZTJvRG9jLnhtbFBLBQYAAAAABgAGAFkB&#10;AAC5BQAAAAA=&#10;">
                      <v:fill on="f" focussize="0,0"/>
                      <v:stroke on="f"/>
                      <v:imagedata o:title=""/>
                      <o:lock v:ext="edit" aspectratio="f"/>
                      <v:textbox>
                        <w:txbxContent>
                          <w:p w14:paraId="6C64F5C2">
                            <w:r>
                              <w:rPr>
                                <w:rFonts w:hint="eastAsia"/>
                              </w:rPr>
                              <w:t>（式</w:t>
                            </w:r>
                            <w:r>
                              <w:t>8</w:t>
                            </w:r>
                            <w:r>
                              <w:rPr>
                                <w:rFonts w:hint="eastAsia"/>
                              </w:rPr>
                              <w:t>）</w:t>
                            </w:r>
                          </w:p>
                        </w:txbxContent>
                      </v:textbox>
                    </v:shape>
                  </w:pict>
                </mc:Fallback>
              </mc:AlternateContent>
            </w:r>
            <w:r>
              <w:rPr>
                <w:rFonts w:ascii="Times New Roman" w:hAnsi="Times New Roman"/>
                <w:color w:val="auto"/>
                <w:kern w:val="24"/>
                <w:sz w:val="24"/>
                <w:szCs w:val="24"/>
              </w:rPr>
              <w:drawing>
                <wp:inline distT="0" distB="0" distL="0" distR="0">
                  <wp:extent cx="1292225" cy="351790"/>
                  <wp:effectExtent l="19050" t="0" r="3175" b="0"/>
                  <wp:docPr id="1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2"/>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a:xfrm>
                            <a:off x="0" y="0"/>
                            <a:ext cx="1292225" cy="351790"/>
                          </a:xfrm>
                          <a:prstGeom prst="rect">
                            <a:avLst/>
                          </a:prstGeom>
                          <a:noFill/>
                          <a:ln w="9525">
                            <a:noFill/>
                            <a:miter lim="800000"/>
                            <a:headEnd/>
                            <a:tailEnd/>
                          </a:ln>
                        </pic:spPr>
                      </pic:pic>
                    </a:graphicData>
                  </a:graphic>
                </wp:inline>
              </w:drawing>
            </w:r>
          </w:p>
          <w:p w14:paraId="40854EAC">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式中：</w:t>
            </w:r>
            <w:r>
              <w:rPr>
                <w:rFonts w:ascii="Times New Roman" w:hAnsi="Times New Roman"/>
                <w:i/>
                <w:iCs/>
                <w:color w:val="auto"/>
                <w:kern w:val="24"/>
                <w:sz w:val="24"/>
                <w:szCs w:val="24"/>
              </w:rPr>
              <w:t>a</w:t>
            </w:r>
            <w:r>
              <w:rPr>
                <w:rFonts w:ascii="Times New Roman" w:hAnsi="Times New Roman"/>
                <w:color w:val="auto"/>
                <w:kern w:val="24"/>
                <w:sz w:val="24"/>
                <w:szCs w:val="24"/>
              </w:rPr>
              <w:t>为温度、湿度和声波频率的函数。</w:t>
            </w:r>
          </w:p>
          <w:p w14:paraId="1D48B826">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空气吸收衰减量与几何发散衰减量相比很小，本次预测计算中忽略空气吸收衰减量。</w:t>
            </w:r>
          </w:p>
          <w:p w14:paraId="6E59670C">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（4）地面衰减量</w:t>
            </w: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gr</w:t>
            </w:r>
          </w:p>
          <w:p w14:paraId="4BD5720C">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本次评价忽略。</w:t>
            </w:r>
          </w:p>
          <w:p w14:paraId="2475E524">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（5）其它方面衰减量</w:t>
            </w:r>
            <w:r>
              <w:rPr>
                <w:rFonts w:ascii="Times New Roman" w:hAnsi="Times New Roman"/>
                <w:i/>
                <w:color w:val="auto"/>
                <w:kern w:val="24"/>
                <w:sz w:val="24"/>
                <w:szCs w:val="24"/>
              </w:rPr>
              <w:t>A</w:t>
            </w:r>
            <w:r>
              <w:rPr>
                <w:rFonts w:ascii="Times New Roman" w:hAnsi="Times New Roman"/>
                <w:i/>
                <w:color w:val="auto"/>
                <w:kern w:val="24"/>
                <w:sz w:val="24"/>
                <w:szCs w:val="24"/>
                <w:vertAlign w:val="subscript"/>
              </w:rPr>
              <w:t>misc</w:t>
            </w:r>
            <w:r>
              <w:rPr>
                <w:rFonts w:ascii="Times New Roman" w:hAnsi="Times New Roman"/>
                <w:color w:val="auto"/>
                <w:kern w:val="24"/>
                <w:sz w:val="24"/>
                <w:szCs w:val="24"/>
              </w:rPr>
              <w:t>，本次评价忽略。</w:t>
            </w:r>
          </w:p>
          <w:p w14:paraId="7B648798">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环境噪声预测结果见</w:t>
            </w:r>
            <w:r>
              <w:rPr>
                <w:rFonts w:hint="eastAsia" w:ascii="Times New Roman" w:hAnsi="Times New Roman"/>
                <w:color w:val="auto"/>
                <w:kern w:val="24"/>
                <w:sz w:val="24"/>
                <w:szCs w:val="24"/>
              </w:rPr>
              <w:t>下表。</w:t>
            </w:r>
          </w:p>
          <w:p w14:paraId="371C8573">
            <w:pPr>
              <w:spacing w:line="360" w:lineRule="auto"/>
              <w:ind w:firstLine="480" w:firstLineChars="200"/>
              <w:rPr>
                <w:rFonts w:ascii="Times New Roman" w:hAnsi="Times New Roman"/>
                <w:color w:val="auto"/>
                <w:kern w:val="24"/>
                <w:sz w:val="24"/>
                <w:szCs w:val="24"/>
              </w:rPr>
            </w:pPr>
            <w:r>
              <w:rPr>
                <w:rFonts w:ascii="Times New Roman" w:hAnsi="Times New Roman"/>
                <w:color w:val="auto"/>
                <w:kern w:val="24"/>
                <w:sz w:val="24"/>
                <w:szCs w:val="24"/>
              </w:rPr>
              <w:t>根据预测模式计算出噪声源传播至各厂界1m处噪声值，结果如下表。</w:t>
            </w:r>
          </w:p>
          <w:p w14:paraId="31909933">
            <w:pPr>
              <w:spacing w:line="360" w:lineRule="auto"/>
              <w:ind w:firstLine="480" w:firstLineChars="200"/>
              <w:rPr>
                <w:rFonts w:ascii="Times New Roman" w:hAnsi="Times New Roman" w:eastAsia="宋体" w:cs="Times New Roman"/>
                <w:color w:val="auto"/>
                <w:sz w:val="24"/>
                <w:szCs w:val="24"/>
              </w:rPr>
            </w:pPr>
          </w:p>
          <w:p w14:paraId="0088898F">
            <w:pPr>
              <w:spacing w:line="360" w:lineRule="auto"/>
              <w:ind w:firstLine="482" w:firstLineChars="200"/>
              <w:jc w:val="left"/>
              <w:rPr>
                <w:rFonts w:ascii="Times New Roman" w:hAnsi="Times New Roman" w:eastAsia="宋体" w:cs="Times New Roman"/>
                <w:b/>
                <w:bCs/>
                <w:color w:val="auto"/>
                <w:sz w:val="24"/>
                <w:szCs w:val="24"/>
              </w:rPr>
            </w:pPr>
          </w:p>
        </w:tc>
      </w:tr>
    </w:tbl>
    <w:p w14:paraId="2C9E60D9">
      <w:pPr>
        <w:jc w:val="center"/>
        <w:rPr>
          <w:rFonts w:ascii="Times New Roman" w:hAnsi="Times New Roman" w:eastAsia="宋体" w:cs="宋体"/>
          <w:bCs/>
          <w:color w:val="auto"/>
          <w:sz w:val="24"/>
          <w:szCs w:val="24"/>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7"/>
        <w:tblW w:w="491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7794"/>
      </w:tblGrid>
      <w:tr w14:paraId="447694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72" w:hRule="atLeast"/>
          <w:jc w:val="center"/>
        </w:trPr>
        <w:tc>
          <w:tcPr>
            <w:tcW w:w="299" w:type="pct"/>
            <w:tcMar>
              <w:left w:w="28" w:type="dxa"/>
              <w:right w:w="28" w:type="dxa"/>
            </w:tcMar>
            <w:vAlign w:val="center"/>
          </w:tcPr>
          <w:p w14:paraId="7D508C00">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运</w:t>
            </w:r>
          </w:p>
          <w:p w14:paraId="43C7A398">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营</w:t>
            </w:r>
          </w:p>
          <w:p w14:paraId="668082E6">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期</w:t>
            </w:r>
          </w:p>
          <w:p w14:paraId="1AF1673C">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环</w:t>
            </w:r>
          </w:p>
          <w:p w14:paraId="5EF277D2">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境</w:t>
            </w:r>
          </w:p>
          <w:p w14:paraId="758E45E9">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影</w:t>
            </w:r>
          </w:p>
          <w:p w14:paraId="6F10E0ED">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响</w:t>
            </w:r>
          </w:p>
          <w:p w14:paraId="334238D1">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和</w:t>
            </w:r>
          </w:p>
          <w:p w14:paraId="3BE4FD3D">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保</w:t>
            </w:r>
          </w:p>
          <w:p w14:paraId="39F704B4">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护</w:t>
            </w:r>
          </w:p>
          <w:p w14:paraId="38645718">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措</w:t>
            </w:r>
          </w:p>
          <w:p w14:paraId="0DD4B947">
            <w:pPr>
              <w:spacing w:line="360" w:lineRule="auto"/>
              <w:jc w:val="center"/>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施</w:t>
            </w:r>
          </w:p>
        </w:tc>
        <w:tc>
          <w:tcPr>
            <w:tcW w:w="4701" w:type="pct"/>
          </w:tcPr>
          <w:p w14:paraId="5606DE41">
            <w:pPr>
              <w:pStyle w:val="38"/>
              <w:adjustRightInd/>
              <w:spacing w:line="360" w:lineRule="auto"/>
              <w:ind w:firstLine="0"/>
              <w:jc w:val="center"/>
              <w:rPr>
                <w:rFonts w:ascii="Times New Roman" w:hAnsi="Times New Roman" w:eastAsia="黑体" w:cs="Times New Roman"/>
                <w:color w:val="auto"/>
                <w:szCs w:val="24"/>
              </w:rPr>
            </w:pPr>
            <w:r>
              <w:rPr>
                <w:rFonts w:ascii="Times New Roman" w:hAnsi="Times New Roman" w:eastAsia="黑体" w:cs="Times New Roman"/>
                <w:color w:val="auto"/>
                <w:szCs w:val="24"/>
              </w:rPr>
              <w:t>表4-</w:t>
            </w:r>
            <w:r>
              <w:rPr>
                <w:rFonts w:hint="eastAsia" w:ascii="Times New Roman" w:hAnsi="Times New Roman" w:eastAsia="黑体" w:cs="Times New Roman"/>
                <w:color w:val="auto"/>
                <w:szCs w:val="24"/>
              </w:rPr>
              <w:t xml:space="preserve">11  </w:t>
            </w:r>
            <w:r>
              <w:rPr>
                <w:rFonts w:ascii="Times New Roman" w:hAnsi="Times New Roman" w:eastAsia="黑体" w:cs="Times New Roman"/>
                <w:color w:val="auto"/>
                <w:szCs w:val="24"/>
              </w:rPr>
              <w:t>噪声预测结果单位dB（A）</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61"/>
              <w:gridCol w:w="2808"/>
              <w:gridCol w:w="2809"/>
            </w:tblGrid>
            <w:tr w14:paraId="3FBDD1E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94" w:type="pct"/>
                  <w:vMerge w:val="restart"/>
                  <w:vAlign w:val="center"/>
                </w:tcPr>
                <w:p w14:paraId="08099292">
                  <w:pPr>
                    <w:pStyle w:val="7"/>
                    <w:spacing w:after="0" w:line="276" w:lineRule="auto"/>
                    <w:ind w:left="0" w:leftChars="0"/>
                    <w:jc w:val="center"/>
                    <w:rPr>
                      <w:b/>
                      <w:bCs/>
                      <w:color w:val="auto"/>
                      <w:sz w:val="21"/>
                      <w:szCs w:val="21"/>
                    </w:rPr>
                  </w:pPr>
                  <w:r>
                    <w:rPr>
                      <w:b/>
                      <w:bCs/>
                      <w:color w:val="auto"/>
                      <w:sz w:val="21"/>
                      <w:szCs w:val="21"/>
                    </w:rPr>
                    <w:t>预测点</w:t>
                  </w:r>
                </w:p>
              </w:tc>
              <w:tc>
                <w:tcPr>
                  <w:tcW w:w="1853" w:type="pct"/>
                  <w:vAlign w:val="center"/>
                </w:tcPr>
                <w:p w14:paraId="0F1D0DD3">
                  <w:pPr>
                    <w:pStyle w:val="7"/>
                    <w:spacing w:after="0" w:line="276" w:lineRule="auto"/>
                    <w:ind w:left="0" w:leftChars="0"/>
                    <w:jc w:val="center"/>
                    <w:rPr>
                      <w:b/>
                      <w:bCs/>
                      <w:color w:val="auto"/>
                      <w:sz w:val="21"/>
                      <w:szCs w:val="21"/>
                    </w:rPr>
                  </w:pPr>
                  <w:r>
                    <w:rPr>
                      <w:b/>
                      <w:bCs/>
                      <w:color w:val="auto"/>
                      <w:sz w:val="21"/>
                      <w:szCs w:val="21"/>
                    </w:rPr>
                    <w:t>贡献值</w:t>
                  </w:r>
                </w:p>
              </w:tc>
              <w:tc>
                <w:tcPr>
                  <w:tcW w:w="1853" w:type="pct"/>
                </w:tcPr>
                <w:p w14:paraId="61E325E6">
                  <w:pPr>
                    <w:pStyle w:val="7"/>
                    <w:spacing w:after="0" w:line="276" w:lineRule="auto"/>
                    <w:ind w:left="0" w:leftChars="0"/>
                    <w:jc w:val="center"/>
                    <w:rPr>
                      <w:b/>
                      <w:bCs/>
                      <w:color w:val="auto"/>
                      <w:sz w:val="21"/>
                      <w:szCs w:val="21"/>
                    </w:rPr>
                  </w:pPr>
                  <w:r>
                    <w:rPr>
                      <w:b/>
                      <w:bCs/>
                      <w:color w:val="auto"/>
                      <w:sz w:val="21"/>
                      <w:szCs w:val="21"/>
                    </w:rPr>
                    <w:t>标准值</w:t>
                  </w:r>
                </w:p>
              </w:tc>
            </w:tr>
            <w:tr w14:paraId="62AC41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94" w:type="pct"/>
                  <w:vMerge w:val="continue"/>
                  <w:vAlign w:val="center"/>
                </w:tcPr>
                <w:p w14:paraId="2147CC7B">
                  <w:pPr>
                    <w:pStyle w:val="7"/>
                    <w:spacing w:after="0" w:line="276" w:lineRule="auto"/>
                    <w:ind w:left="0" w:leftChars="0"/>
                    <w:jc w:val="center"/>
                    <w:rPr>
                      <w:b/>
                      <w:bCs/>
                      <w:color w:val="auto"/>
                      <w:sz w:val="21"/>
                      <w:szCs w:val="21"/>
                    </w:rPr>
                  </w:pPr>
                </w:p>
              </w:tc>
              <w:tc>
                <w:tcPr>
                  <w:tcW w:w="1853" w:type="pct"/>
                  <w:vAlign w:val="center"/>
                </w:tcPr>
                <w:p w14:paraId="5B134B24">
                  <w:pPr>
                    <w:pStyle w:val="7"/>
                    <w:spacing w:after="0" w:line="276" w:lineRule="auto"/>
                    <w:ind w:left="0" w:leftChars="0"/>
                    <w:jc w:val="center"/>
                    <w:rPr>
                      <w:b/>
                      <w:bCs/>
                      <w:color w:val="auto"/>
                      <w:sz w:val="21"/>
                      <w:szCs w:val="21"/>
                    </w:rPr>
                  </w:pPr>
                  <w:r>
                    <w:rPr>
                      <w:b/>
                      <w:bCs/>
                      <w:color w:val="auto"/>
                      <w:sz w:val="21"/>
                      <w:szCs w:val="21"/>
                    </w:rPr>
                    <w:t>昼间</w:t>
                  </w:r>
                </w:p>
              </w:tc>
              <w:tc>
                <w:tcPr>
                  <w:tcW w:w="1853" w:type="pct"/>
                </w:tcPr>
                <w:p w14:paraId="3241C87B">
                  <w:pPr>
                    <w:pStyle w:val="7"/>
                    <w:spacing w:after="0" w:line="276" w:lineRule="auto"/>
                    <w:ind w:left="0" w:leftChars="0"/>
                    <w:jc w:val="center"/>
                    <w:rPr>
                      <w:b/>
                      <w:bCs/>
                      <w:color w:val="auto"/>
                      <w:sz w:val="21"/>
                      <w:szCs w:val="21"/>
                    </w:rPr>
                  </w:pPr>
                  <w:r>
                    <w:rPr>
                      <w:rFonts w:hint="eastAsia"/>
                      <w:b/>
                      <w:bCs/>
                      <w:color w:val="auto"/>
                      <w:sz w:val="21"/>
                      <w:szCs w:val="21"/>
                    </w:rPr>
                    <w:t>昼间</w:t>
                  </w:r>
                </w:p>
              </w:tc>
            </w:tr>
            <w:tr w14:paraId="4EE597C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94" w:type="pct"/>
                  <w:vAlign w:val="center"/>
                </w:tcPr>
                <w:p w14:paraId="26804013">
                  <w:pPr>
                    <w:pStyle w:val="7"/>
                    <w:spacing w:after="0" w:line="276" w:lineRule="auto"/>
                    <w:ind w:left="0" w:leftChars="0"/>
                    <w:jc w:val="center"/>
                    <w:rPr>
                      <w:color w:val="auto"/>
                      <w:sz w:val="21"/>
                      <w:szCs w:val="21"/>
                    </w:rPr>
                  </w:pPr>
                  <w:r>
                    <w:rPr>
                      <w:color w:val="auto"/>
                      <w:sz w:val="21"/>
                      <w:szCs w:val="21"/>
                    </w:rPr>
                    <w:t>东厂界</w:t>
                  </w:r>
                </w:p>
              </w:tc>
              <w:tc>
                <w:tcPr>
                  <w:tcW w:w="1853" w:type="pct"/>
                  <w:vAlign w:val="center"/>
                </w:tcPr>
                <w:p w14:paraId="136914BC">
                  <w:pPr>
                    <w:spacing w:line="276" w:lineRule="auto"/>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rPr>
                    <w:t>44.</w:t>
                  </w:r>
                  <w:r>
                    <w:rPr>
                      <w:rFonts w:hint="eastAsia" w:ascii="Times New Roman" w:hAnsi="Times New Roman" w:eastAsia="宋体" w:cs="Times New Roman"/>
                      <w:color w:val="auto"/>
                      <w:szCs w:val="21"/>
                      <w:lang w:val="en-US" w:eastAsia="zh-CN"/>
                    </w:rPr>
                    <w:t>2</w:t>
                  </w:r>
                </w:p>
              </w:tc>
              <w:tc>
                <w:tcPr>
                  <w:tcW w:w="1853" w:type="pct"/>
                </w:tcPr>
                <w:p w14:paraId="6B8A6607">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65</w:t>
                  </w:r>
                </w:p>
              </w:tc>
            </w:tr>
            <w:tr w14:paraId="717C1F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94" w:type="pct"/>
                  <w:vAlign w:val="center"/>
                </w:tcPr>
                <w:p w14:paraId="489D6431">
                  <w:pPr>
                    <w:pStyle w:val="7"/>
                    <w:spacing w:after="0" w:line="276" w:lineRule="auto"/>
                    <w:ind w:left="0" w:leftChars="0"/>
                    <w:jc w:val="center"/>
                    <w:rPr>
                      <w:color w:val="auto"/>
                      <w:sz w:val="21"/>
                      <w:szCs w:val="21"/>
                    </w:rPr>
                  </w:pPr>
                  <w:r>
                    <w:rPr>
                      <w:color w:val="auto"/>
                      <w:sz w:val="21"/>
                      <w:szCs w:val="21"/>
                    </w:rPr>
                    <w:t>南厂界</w:t>
                  </w:r>
                </w:p>
              </w:tc>
              <w:tc>
                <w:tcPr>
                  <w:tcW w:w="1853" w:type="pct"/>
                  <w:vAlign w:val="center"/>
                </w:tcPr>
                <w:p w14:paraId="0ABC2BF8">
                  <w:pPr>
                    <w:spacing w:line="276" w:lineRule="auto"/>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38.2</w:t>
                  </w:r>
                </w:p>
              </w:tc>
              <w:tc>
                <w:tcPr>
                  <w:tcW w:w="1853" w:type="pct"/>
                </w:tcPr>
                <w:p w14:paraId="7031CCD0">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65</w:t>
                  </w:r>
                </w:p>
              </w:tc>
            </w:tr>
            <w:tr w14:paraId="60415C3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94" w:type="pct"/>
                  <w:vAlign w:val="center"/>
                </w:tcPr>
                <w:p w14:paraId="0AA7375A">
                  <w:pPr>
                    <w:pStyle w:val="7"/>
                    <w:spacing w:after="0" w:line="276" w:lineRule="auto"/>
                    <w:ind w:left="0" w:leftChars="0"/>
                    <w:jc w:val="center"/>
                    <w:rPr>
                      <w:color w:val="auto"/>
                      <w:sz w:val="21"/>
                      <w:szCs w:val="21"/>
                    </w:rPr>
                  </w:pPr>
                  <w:r>
                    <w:rPr>
                      <w:color w:val="auto"/>
                      <w:sz w:val="21"/>
                      <w:szCs w:val="21"/>
                    </w:rPr>
                    <w:t>西厂界</w:t>
                  </w:r>
                </w:p>
              </w:tc>
              <w:tc>
                <w:tcPr>
                  <w:tcW w:w="1853" w:type="pct"/>
                  <w:vAlign w:val="center"/>
                </w:tcPr>
                <w:p w14:paraId="12F5A078">
                  <w:pPr>
                    <w:spacing w:line="276" w:lineRule="auto"/>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55.6</w:t>
                  </w:r>
                </w:p>
              </w:tc>
              <w:tc>
                <w:tcPr>
                  <w:tcW w:w="1853" w:type="pct"/>
                </w:tcPr>
                <w:p w14:paraId="7367221F">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65</w:t>
                  </w:r>
                </w:p>
              </w:tc>
            </w:tr>
            <w:tr w14:paraId="507E8C4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94" w:type="pct"/>
                  <w:vAlign w:val="center"/>
                </w:tcPr>
                <w:p w14:paraId="4765EF4E">
                  <w:pPr>
                    <w:pStyle w:val="7"/>
                    <w:spacing w:after="0" w:line="276" w:lineRule="auto"/>
                    <w:ind w:left="0" w:leftChars="0"/>
                    <w:jc w:val="center"/>
                    <w:rPr>
                      <w:color w:val="auto"/>
                      <w:sz w:val="21"/>
                      <w:szCs w:val="21"/>
                    </w:rPr>
                  </w:pPr>
                  <w:r>
                    <w:rPr>
                      <w:color w:val="auto"/>
                      <w:sz w:val="21"/>
                      <w:szCs w:val="21"/>
                    </w:rPr>
                    <w:t>北厂界</w:t>
                  </w:r>
                </w:p>
              </w:tc>
              <w:tc>
                <w:tcPr>
                  <w:tcW w:w="1853" w:type="pct"/>
                  <w:vAlign w:val="center"/>
                </w:tcPr>
                <w:p w14:paraId="0A422DB4">
                  <w:pPr>
                    <w:spacing w:line="276" w:lineRule="auto"/>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57.4</w:t>
                  </w:r>
                </w:p>
              </w:tc>
              <w:tc>
                <w:tcPr>
                  <w:tcW w:w="1853" w:type="pct"/>
                </w:tcPr>
                <w:p w14:paraId="1CAE8EBB">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65</w:t>
                  </w:r>
                </w:p>
              </w:tc>
            </w:tr>
          </w:tbl>
          <w:p w14:paraId="3718F7E6">
            <w:pPr>
              <w:pStyle w:val="38"/>
              <w:snapToGrid w:val="0"/>
              <w:spacing w:line="480" w:lineRule="exact"/>
              <w:rPr>
                <w:rFonts w:ascii="Times New Roman" w:hAnsi="Times New Roman" w:cs="Times New Roman"/>
                <w:color w:val="auto"/>
                <w:szCs w:val="24"/>
              </w:rPr>
            </w:pPr>
            <w:r>
              <w:rPr>
                <w:rFonts w:ascii="Times New Roman" w:hAnsi="Times New Roman" w:cs="Times New Roman"/>
                <w:color w:val="auto"/>
                <w:szCs w:val="24"/>
              </w:rPr>
              <w:t>根据预测结果可知，厂房</w:t>
            </w:r>
            <w:r>
              <w:rPr>
                <w:rFonts w:hint="eastAsia" w:ascii="Times New Roman" w:hAnsi="Times New Roman" w:cs="Times New Roman"/>
                <w:color w:val="auto"/>
                <w:szCs w:val="24"/>
              </w:rPr>
              <w:t>四至</w:t>
            </w:r>
            <w:r>
              <w:rPr>
                <w:rFonts w:ascii="Times New Roman" w:hAnsi="Times New Roman" w:cs="Times New Roman"/>
                <w:color w:val="auto"/>
                <w:szCs w:val="24"/>
              </w:rPr>
              <w:t>厂界噪声均能够满足《工业企业厂界环境噪声排放标准》(GB12348-2008)中</w:t>
            </w:r>
            <w:r>
              <w:rPr>
                <w:rFonts w:hint="eastAsia" w:ascii="Times New Roman" w:hAnsi="Times New Roman" w:cs="Times New Roman"/>
                <w:color w:val="auto"/>
                <w:szCs w:val="24"/>
              </w:rPr>
              <w:t>3</w:t>
            </w:r>
            <w:r>
              <w:rPr>
                <w:rFonts w:ascii="Times New Roman" w:hAnsi="Times New Roman" w:cs="Times New Roman"/>
                <w:color w:val="auto"/>
                <w:szCs w:val="24"/>
              </w:rPr>
              <w:t>类标准</w:t>
            </w:r>
            <w:r>
              <w:rPr>
                <w:rFonts w:ascii="Times New Roman" w:hAnsi="Times New Roman" w:cs="Times New Roman"/>
                <w:bCs/>
                <w:color w:val="auto"/>
              </w:rPr>
              <w:t>。</w:t>
            </w:r>
            <w:r>
              <w:rPr>
                <w:rFonts w:ascii="Times New Roman" w:hAnsi="Times New Roman" w:cs="Times New Roman"/>
                <w:color w:val="auto"/>
                <w:szCs w:val="24"/>
              </w:rPr>
              <w:t>综上所述，本项目对周边声环境影响</w:t>
            </w:r>
            <w:r>
              <w:rPr>
                <w:rFonts w:hint="eastAsia" w:ascii="Times New Roman" w:hAnsi="Times New Roman" w:cs="Times New Roman"/>
                <w:color w:val="auto"/>
                <w:szCs w:val="24"/>
              </w:rPr>
              <w:t>不显著</w:t>
            </w:r>
            <w:r>
              <w:rPr>
                <w:rFonts w:ascii="Times New Roman" w:hAnsi="Times New Roman" w:cs="Times New Roman"/>
                <w:color w:val="auto"/>
                <w:szCs w:val="24"/>
              </w:rPr>
              <w:t>。</w:t>
            </w:r>
          </w:p>
          <w:p w14:paraId="368BDBE9">
            <w:pPr>
              <w:pStyle w:val="38"/>
              <w:snapToGrid w:val="0"/>
              <w:spacing w:line="480" w:lineRule="exact"/>
              <w:rPr>
                <w:rFonts w:ascii="Times New Roman" w:hAnsi="Times New Roman" w:cs="Times New Roman"/>
                <w:color w:val="auto"/>
                <w:szCs w:val="24"/>
              </w:rPr>
            </w:pPr>
            <w:r>
              <w:rPr>
                <w:rFonts w:ascii="Times New Roman" w:hAnsi="Times New Roman" w:cs="Times New Roman"/>
                <w:color w:val="auto"/>
                <w:szCs w:val="24"/>
              </w:rPr>
              <w:t>2、运营期声环境保护措施</w:t>
            </w:r>
          </w:p>
          <w:p w14:paraId="6818EB7A">
            <w:pPr>
              <w:pStyle w:val="38"/>
              <w:snapToGrid w:val="0"/>
              <w:spacing w:line="480" w:lineRule="exact"/>
              <w:rPr>
                <w:rFonts w:ascii="Times New Roman" w:hAnsi="Times New Roman" w:cs="Times New Roman"/>
                <w:color w:val="auto"/>
                <w:szCs w:val="24"/>
              </w:rPr>
            </w:pPr>
            <w:r>
              <w:rPr>
                <w:rFonts w:ascii="Times New Roman" w:hAnsi="Times New Roman" w:cs="Times New Roman"/>
                <w:color w:val="auto"/>
                <w:szCs w:val="24"/>
              </w:rPr>
              <w:t>根据建设单位提供资料，各类生产设施均置于室内，主要噪声源距离厂界较远，但为了进一步降低噪声对周围环境的影响，建议企业应采取以下措施：</w:t>
            </w:r>
          </w:p>
          <w:p w14:paraId="7A98C9EA">
            <w:pPr>
              <w:pStyle w:val="38"/>
              <w:snapToGrid w:val="0"/>
              <w:spacing w:line="480" w:lineRule="exact"/>
              <w:rPr>
                <w:rFonts w:ascii="Times New Roman" w:hAnsi="Times New Roman" w:cs="Times New Roman"/>
                <w:color w:val="auto"/>
                <w:szCs w:val="24"/>
              </w:rPr>
            </w:pPr>
            <w:r>
              <w:rPr>
                <w:rFonts w:ascii="Times New Roman" w:hAnsi="Times New Roman" w:cs="Times New Roman"/>
                <w:color w:val="auto"/>
                <w:szCs w:val="24"/>
              </w:rPr>
              <w:t>（1）在高噪声设备机器底面安装垫木或者橡胶减振垫，用地脚螺栓固定，减小了设备运行时的振动和振动引起的噪声；</w:t>
            </w:r>
          </w:p>
          <w:p w14:paraId="2E208405">
            <w:pPr>
              <w:pStyle w:val="38"/>
              <w:snapToGrid w:val="0"/>
              <w:spacing w:line="480" w:lineRule="exact"/>
              <w:rPr>
                <w:rFonts w:ascii="Times New Roman" w:hAnsi="Times New Roman" w:cs="Times New Roman"/>
                <w:color w:val="auto"/>
                <w:szCs w:val="24"/>
              </w:rPr>
            </w:pPr>
            <w:r>
              <w:rPr>
                <w:rFonts w:ascii="Times New Roman" w:hAnsi="Times New Roman" w:cs="Times New Roman"/>
                <w:color w:val="auto"/>
                <w:szCs w:val="24"/>
              </w:rPr>
              <w:t>（2）合理布局，将生产设备集中布置在厂房中部；</w:t>
            </w:r>
          </w:p>
          <w:p w14:paraId="23C2ED45">
            <w:pPr>
              <w:pStyle w:val="38"/>
              <w:snapToGrid w:val="0"/>
              <w:spacing w:line="480" w:lineRule="exact"/>
              <w:rPr>
                <w:rFonts w:ascii="Times New Roman" w:hAnsi="Times New Roman" w:cs="Times New Roman"/>
                <w:color w:val="auto"/>
                <w:szCs w:val="24"/>
              </w:rPr>
            </w:pPr>
            <w:r>
              <w:rPr>
                <w:rFonts w:ascii="Times New Roman" w:hAnsi="Times New Roman" w:cs="Times New Roman"/>
                <w:color w:val="auto"/>
                <w:szCs w:val="24"/>
              </w:rPr>
              <w:t>（3）加强噪声设备的维修管理，避免因不正常运行所导致的噪声增大；</w:t>
            </w:r>
          </w:p>
          <w:p w14:paraId="0D2B4CDE">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根据《</w:t>
            </w:r>
            <w:r>
              <w:rPr>
                <w:rFonts w:hint="eastAsia" w:ascii="Times New Roman" w:hAnsi="Times New Roman" w:eastAsia="宋体" w:cs="Times New Roman"/>
                <w:color w:val="auto"/>
                <w:sz w:val="24"/>
              </w:rPr>
              <w:t>排污许可证申请与核发技术规范 工业噪声</w:t>
            </w:r>
            <w:r>
              <w:rPr>
                <w:rFonts w:ascii="Times New Roman" w:hAnsi="Times New Roman" w:eastAsia="宋体" w:cs="Times New Roman"/>
                <w:color w:val="auto"/>
                <w:sz w:val="24"/>
              </w:rPr>
              <w:t>》（</w:t>
            </w:r>
            <w:r>
              <w:rPr>
                <w:rFonts w:hint="eastAsia" w:ascii="Times New Roman" w:hAnsi="Times New Roman" w:eastAsia="宋体" w:cs="Times New Roman"/>
                <w:color w:val="auto"/>
                <w:sz w:val="24"/>
              </w:rPr>
              <w:t>HJ 1301-2023</w:t>
            </w:r>
            <w:r>
              <w:rPr>
                <w:rFonts w:ascii="Times New Roman" w:hAnsi="Times New Roman" w:eastAsia="宋体" w:cs="Times New Roman"/>
                <w:color w:val="auto"/>
                <w:sz w:val="24"/>
              </w:rPr>
              <w:t>）要求，本项目运行后，污染物噪声监测计划见下表。</w:t>
            </w:r>
          </w:p>
          <w:p w14:paraId="15F060A7">
            <w:pPr>
              <w:spacing w:line="360" w:lineRule="auto"/>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表</w:t>
            </w:r>
            <w:r>
              <w:rPr>
                <w:rFonts w:hint="eastAsia" w:ascii="Times New Roman" w:hAnsi="Times New Roman" w:eastAsia="黑体" w:cs="Times New Roman"/>
                <w:color w:val="auto"/>
                <w:sz w:val="24"/>
                <w:szCs w:val="24"/>
              </w:rPr>
              <w:t xml:space="preserve">4-12  </w:t>
            </w:r>
            <w:r>
              <w:rPr>
                <w:rFonts w:ascii="Times New Roman" w:hAnsi="Times New Roman" w:eastAsia="黑体" w:cs="Times New Roman"/>
                <w:color w:val="auto"/>
                <w:sz w:val="24"/>
                <w:szCs w:val="24"/>
              </w:rPr>
              <w:t>项目噪声环境监测计划一览表</w:t>
            </w:r>
          </w:p>
          <w:tbl>
            <w:tblPr>
              <w:tblStyle w:val="18"/>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081"/>
              <w:gridCol w:w="1767"/>
              <w:gridCol w:w="1083"/>
              <w:gridCol w:w="2998"/>
            </w:tblGrid>
            <w:tr w14:paraId="4D561C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FA1F197">
                  <w:pPr>
                    <w:spacing w:line="276" w:lineRule="auto"/>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类别</w:t>
                  </w:r>
                </w:p>
              </w:tc>
              <w:tc>
                <w:tcPr>
                  <w:tcW w:w="0" w:type="auto"/>
                  <w:vAlign w:val="center"/>
                </w:tcPr>
                <w:p w14:paraId="14C6F0BB">
                  <w:pPr>
                    <w:spacing w:line="276" w:lineRule="auto"/>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监测点位</w:t>
                  </w:r>
                </w:p>
              </w:tc>
              <w:tc>
                <w:tcPr>
                  <w:tcW w:w="0" w:type="auto"/>
                  <w:vAlign w:val="center"/>
                </w:tcPr>
                <w:p w14:paraId="5514D22E">
                  <w:pPr>
                    <w:spacing w:line="276" w:lineRule="auto"/>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监测指标</w:t>
                  </w:r>
                </w:p>
              </w:tc>
              <w:tc>
                <w:tcPr>
                  <w:tcW w:w="0" w:type="auto"/>
                  <w:vAlign w:val="center"/>
                </w:tcPr>
                <w:p w14:paraId="35C44F87">
                  <w:pPr>
                    <w:spacing w:line="276" w:lineRule="auto"/>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监测频次</w:t>
                  </w:r>
                </w:p>
              </w:tc>
              <w:tc>
                <w:tcPr>
                  <w:tcW w:w="0" w:type="auto"/>
                  <w:vAlign w:val="center"/>
                </w:tcPr>
                <w:p w14:paraId="2AB4A490">
                  <w:pPr>
                    <w:spacing w:line="276" w:lineRule="auto"/>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执行标准</w:t>
                  </w:r>
                </w:p>
              </w:tc>
            </w:tr>
            <w:tr w14:paraId="2E31E9C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52F3B5D">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噪声</w:t>
                  </w:r>
                </w:p>
              </w:tc>
              <w:tc>
                <w:tcPr>
                  <w:tcW w:w="0" w:type="auto"/>
                  <w:vAlign w:val="center"/>
                </w:tcPr>
                <w:p w14:paraId="2078DE56">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厂界</w:t>
                  </w:r>
                </w:p>
              </w:tc>
              <w:tc>
                <w:tcPr>
                  <w:tcW w:w="0" w:type="auto"/>
                  <w:vAlign w:val="center"/>
                </w:tcPr>
                <w:p w14:paraId="0F6692F2">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等效连续A声级</w:t>
                  </w:r>
                </w:p>
              </w:tc>
              <w:tc>
                <w:tcPr>
                  <w:tcW w:w="0" w:type="auto"/>
                  <w:vAlign w:val="center"/>
                </w:tcPr>
                <w:p w14:paraId="315AA720">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1次/季度</w:t>
                  </w:r>
                </w:p>
              </w:tc>
              <w:tc>
                <w:tcPr>
                  <w:tcW w:w="0" w:type="auto"/>
                  <w:vAlign w:val="center"/>
                </w:tcPr>
                <w:p w14:paraId="1825ED8F">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（GB12348-2008）3类区标准</w:t>
                  </w:r>
                </w:p>
              </w:tc>
            </w:tr>
          </w:tbl>
          <w:p w14:paraId="4DCDF9C6">
            <w:pPr>
              <w:spacing w:line="440" w:lineRule="exact"/>
              <w:ind w:firstLine="472" w:firstLineChars="196"/>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四、固体废物处置措施及管理要求</w:t>
            </w:r>
          </w:p>
          <w:p w14:paraId="3BAA0323">
            <w:pPr>
              <w:spacing w:line="360" w:lineRule="auto"/>
              <w:ind w:firstLine="480" w:firstLineChars="200"/>
              <w:jc w:val="left"/>
              <w:rPr>
                <w:rFonts w:ascii="Times New Roman" w:hAnsi="Times New Roman" w:cs="Times New Roman"/>
                <w:color w:val="auto"/>
                <w:kern w:val="0"/>
                <w:sz w:val="24"/>
                <w:szCs w:val="24"/>
              </w:rPr>
            </w:pPr>
            <w:r>
              <w:rPr>
                <w:rFonts w:ascii="Times New Roman" w:hAnsi="Times New Roman" w:cs="Times New Roman"/>
                <w:color w:val="auto"/>
                <w:kern w:val="0"/>
                <w:sz w:val="24"/>
                <w:szCs w:val="24"/>
              </w:rPr>
              <w:t>1、运营期固废环境影响分析</w:t>
            </w:r>
          </w:p>
          <w:p w14:paraId="37266D2B">
            <w:pPr>
              <w:spacing w:line="360" w:lineRule="auto"/>
              <w:ind w:firstLine="480" w:firstLineChars="200"/>
              <w:jc w:val="left"/>
              <w:rPr>
                <w:rFonts w:ascii="Times New Roman" w:hAnsi="Times New Roman"/>
                <w:color w:val="auto"/>
                <w:kern w:val="0"/>
                <w:sz w:val="24"/>
                <w:szCs w:val="24"/>
              </w:rPr>
            </w:pPr>
            <w:r>
              <w:rPr>
                <w:rFonts w:hint="eastAsia" w:ascii="Times New Roman" w:hAnsi="Times New Roman"/>
                <w:color w:val="auto"/>
                <w:kern w:val="0"/>
                <w:sz w:val="24"/>
                <w:szCs w:val="24"/>
              </w:rPr>
              <w:t>根据工程分析，</w:t>
            </w:r>
            <w:r>
              <w:rPr>
                <w:rFonts w:ascii="Times New Roman" w:hAnsi="Times New Roman"/>
                <w:color w:val="auto"/>
                <w:kern w:val="0"/>
                <w:sz w:val="24"/>
                <w:szCs w:val="24"/>
              </w:rPr>
              <w:t>本项目固体废物主要有一般工业固体废物</w:t>
            </w:r>
            <w:r>
              <w:rPr>
                <w:rFonts w:hint="eastAsia" w:ascii="Times New Roman" w:hAnsi="Times New Roman"/>
                <w:color w:val="auto"/>
                <w:kern w:val="0"/>
                <w:sz w:val="24"/>
                <w:szCs w:val="24"/>
              </w:rPr>
              <w:t>、</w:t>
            </w:r>
            <w:r>
              <w:rPr>
                <w:rFonts w:ascii="Times New Roman" w:hAnsi="Times New Roman"/>
                <w:color w:val="auto"/>
                <w:kern w:val="0"/>
                <w:sz w:val="24"/>
                <w:szCs w:val="24"/>
              </w:rPr>
              <w:t>危险废物和生活垃圾</w:t>
            </w:r>
            <w:r>
              <w:rPr>
                <w:rFonts w:hint="eastAsia" w:ascii="Times New Roman" w:hAnsi="Times New Roman"/>
                <w:color w:val="auto"/>
                <w:kern w:val="0"/>
                <w:sz w:val="24"/>
                <w:szCs w:val="24"/>
              </w:rPr>
              <w:t>。</w:t>
            </w:r>
            <w:r>
              <w:rPr>
                <w:rFonts w:ascii="Times New Roman" w:hAnsi="Times New Roman"/>
                <w:color w:val="auto"/>
                <w:kern w:val="0"/>
                <w:sz w:val="24"/>
                <w:szCs w:val="24"/>
              </w:rPr>
              <w:t>其中一般工业固体废物包括</w:t>
            </w:r>
            <w:r>
              <w:rPr>
                <w:rFonts w:hint="eastAsia" w:ascii="Times New Roman" w:hAnsi="Times New Roman" w:cs="Times New Roman"/>
                <w:bCs/>
                <w:color w:val="auto"/>
                <w:sz w:val="24"/>
                <w:szCs w:val="24"/>
              </w:rPr>
              <w:t>废羊毛球；危险废物包括废漆渣、废过滤棉、废活性炭、</w:t>
            </w:r>
            <w:r>
              <w:rPr>
                <w:rFonts w:hint="eastAsia" w:ascii="Times New Roman" w:hAnsi="Times New Roman" w:eastAsia="宋体" w:cs="Times New Roman"/>
                <w:color w:val="auto"/>
                <w:sz w:val="24"/>
                <w:szCs w:val="24"/>
              </w:rPr>
              <w:t>水帘喷漆定期更换的废液、</w:t>
            </w:r>
            <w:r>
              <w:rPr>
                <w:rFonts w:hint="eastAsia" w:ascii="Times New Roman" w:hAnsi="Times New Roman" w:cs="Times New Roman"/>
                <w:bCs/>
                <w:color w:val="auto"/>
                <w:sz w:val="24"/>
                <w:szCs w:val="24"/>
              </w:rPr>
              <w:t>废涂料桶、废润滑油、废润滑油桶</w:t>
            </w:r>
            <w:r>
              <w:rPr>
                <w:rFonts w:hint="eastAsia" w:ascii="Times New Roman" w:hAnsi="Times New Roman" w:cs="Times New Roman"/>
                <w:bCs/>
                <w:color w:val="auto"/>
                <w:sz w:val="24"/>
                <w:szCs w:val="24"/>
                <w:lang w:val="en-US" w:eastAsia="zh-CN"/>
              </w:rPr>
              <w:t>等</w:t>
            </w:r>
            <w:r>
              <w:rPr>
                <w:rFonts w:hint="eastAsia" w:ascii="Times New Roman" w:hAnsi="Times New Roman"/>
                <w:color w:val="auto"/>
                <w:kern w:val="0"/>
                <w:sz w:val="24"/>
                <w:szCs w:val="24"/>
              </w:rPr>
              <w:t>。</w:t>
            </w:r>
          </w:p>
          <w:p w14:paraId="2EE17773">
            <w:pPr>
              <w:spacing w:line="360" w:lineRule="auto"/>
              <w:ind w:firstLine="482" w:firstLineChars="200"/>
              <w:jc w:val="left"/>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（1）一般工业固体废物</w:t>
            </w:r>
          </w:p>
          <w:p w14:paraId="5E50B2F5">
            <w:pPr>
              <w:spacing w:line="360" w:lineRule="auto"/>
              <w:ind w:firstLine="470" w:firstLineChars="196"/>
              <w:rPr>
                <w:rFonts w:ascii="Times New Roman" w:hAnsi="Times New Roman"/>
                <w:color w:val="auto"/>
                <w:sz w:val="24"/>
                <w:szCs w:val="24"/>
              </w:rPr>
            </w:pPr>
            <w:r>
              <w:rPr>
                <w:rFonts w:hint="eastAsia" w:ascii="Times New Roman" w:hAnsi="Times New Roman"/>
                <w:color w:val="auto"/>
                <w:sz w:val="24"/>
                <w:szCs w:val="24"/>
              </w:rPr>
              <w:t>1</w:t>
            </w:r>
            <w:r>
              <w:rPr>
                <w:rFonts w:ascii="Times New Roman" w:hAnsi="Times New Roman"/>
                <w:color w:val="auto"/>
                <w:sz w:val="24"/>
                <w:szCs w:val="24"/>
              </w:rPr>
              <w:t>）</w:t>
            </w:r>
            <w:r>
              <w:rPr>
                <w:rFonts w:hint="eastAsia" w:ascii="Times New Roman" w:hAnsi="Times New Roman"/>
                <w:color w:val="auto"/>
                <w:sz w:val="24"/>
                <w:szCs w:val="24"/>
              </w:rPr>
              <w:t>废羊毛球</w:t>
            </w:r>
          </w:p>
          <w:p w14:paraId="24F0DB00">
            <w:pPr>
              <w:spacing w:line="360" w:lineRule="auto"/>
              <w:ind w:firstLine="470" w:firstLineChars="196"/>
              <w:rPr>
                <w:rFonts w:ascii="Times New Roman" w:hAnsi="Times New Roman"/>
                <w:color w:val="auto"/>
                <w:sz w:val="24"/>
                <w:szCs w:val="24"/>
              </w:rPr>
            </w:pPr>
            <w:r>
              <w:rPr>
                <w:rFonts w:hint="eastAsia" w:ascii="Times New Roman" w:hAnsi="Times New Roman"/>
                <w:color w:val="auto"/>
                <w:sz w:val="24"/>
                <w:szCs w:val="24"/>
              </w:rPr>
              <w:t>本项目产生的废羊毛球主要为涂装工艺抛光过程</w:t>
            </w:r>
            <w:r>
              <w:rPr>
                <w:rFonts w:hint="eastAsia" w:ascii="Times New Roman" w:hAnsi="Times New Roman"/>
                <w:color w:val="auto"/>
                <w:sz w:val="24"/>
                <w:szCs w:val="24"/>
                <w:lang w:val="en-US" w:eastAsia="zh-CN"/>
              </w:rPr>
              <w:t>小型抛光机</w:t>
            </w:r>
            <w:r>
              <w:rPr>
                <w:rFonts w:hint="eastAsia" w:ascii="Times New Roman" w:hAnsi="Times New Roman"/>
                <w:color w:val="auto"/>
                <w:sz w:val="24"/>
                <w:szCs w:val="24"/>
              </w:rPr>
              <w:t>产生的，根据企业经验可知，废羊毛球产生量约为1.5t/a，经统一收集后定期外售。</w:t>
            </w:r>
          </w:p>
          <w:p w14:paraId="553DC210">
            <w:pPr>
              <w:spacing w:line="360" w:lineRule="auto"/>
              <w:ind w:firstLine="482" w:firstLineChars="200"/>
              <w:jc w:val="left"/>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（2）危险废物</w:t>
            </w:r>
          </w:p>
          <w:p w14:paraId="551A576F">
            <w:pPr>
              <w:spacing w:line="360" w:lineRule="auto"/>
              <w:ind w:firstLine="480" w:firstLineChars="200"/>
              <w:jc w:val="left"/>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1）废漆渣</w:t>
            </w:r>
          </w:p>
          <w:p w14:paraId="2017489A">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宋体" w:eastAsia="宋体" w:cs="Times New Roman"/>
                <w:color w:val="auto"/>
                <w:sz w:val="24"/>
                <w:szCs w:val="24"/>
                <w:highlight w:val="none"/>
              </w:rPr>
              <w:t>项目定期对水帘循环水池的沉淀漆渣和喷漆房内的漆渣进行清理，产生量约为</w:t>
            </w:r>
            <w:r>
              <w:rPr>
                <w:rFonts w:hint="eastAsia" w:ascii="Times New Roman" w:hAnsi="Times New Roman" w:eastAsia="宋体" w:cs="Times New Roman"/>
                <w:color w:val="auto"/>
                <w:sz w:val="24"/>
                <w:szCs w:val="24"/>
                <w:highlight w:val="none"/>
              </w:rPr>
              <w:t>1.8</w:t>
            </w:r>
            <w:r>
              <w:rPr>
                <w:rFonts w:hint="eastAsia" w:ascii="Times New Roman" w:hAnsi="Times New Roman" w:eastAsia="宋体" w:cs="Times New Roman"/>
                <w:color w:val="auto"/>
                <w:sz w:val="24"/>
                <w:szCs w:val="24"/>
                <w:highlight w:val="none"/>
                <w:lang w:val="en-US" w:eastAsia="zh-CN"/>
              </w:rPr>
              <w:t>63</w:t>
            </w:r>
            <w:r>
              <w:rPr>
                <w:rFonts w:ascii="Times New Roman" w:hAnsi="Times New Roman" w:eastAsia="宋体" w:cs="Times New Roman"/>
                <w:color w:val="auto"/>
                <w:sz w:val="24"/>
                <w:szCs w:val="24"/>
                <w:highlight w:val="none"/>
              </w:rPr>
              <w:t>t/a</w:t>
            </w:r>
            <w:r>
              <w:rPr>
                <w:rFonts w:hint="eastAsia" w:ascii="Times New Roman" w:hAnsi="宋体" w:eastAsia="宋体" w:cs="Times New Roman"/>
                <w:color w:val="auto"/>
                <w:sz w:val="24"/>
                <w:szCs w:val="24"/>
                <w:highlight w:val="none"/>
              </w:rPr>
              <w:t>，</w:t>
            </w:r>
            <w:r>
              <w:rPr>
                <w:rFonts w:hint="eastAsia" w:ascii="Times New Roman" w:hAnsi="Times New Roman" w:eastAsia="宋体" w:cs="Times New Roman"/>
                <w:color w:val="auto"/>
                <w:spacing w:val="-2"/>
                <w:sz w:val="24"/>
                <w:szCs w:val="24"/>
                <w:highlight w:val="none"/>
              </w:rPr>
              <w:t>根据《国家危险废物名录》（2025年版），</w:t>
            </w:r>
            <w:r>
              <w:rPr>
                <w:rFonts w:hint="eastAsia" w:ascii="Times New Roman" w:hAnsi="宋体" w:eastAsia="宋体" w:cs="Times New Roman"/>
                <w:color w:val="auto"/>
                <w:sz w:val="24"/>
                <w:szCs w:val="24"/>
                <w:highlight w:val="none"/>
              </w:rPr>
              <w:t>清理产生的废漆渣属于危险废物（</w:t>
            </w:r>
            <w:r>
              <w:rPr>
                <w:rFonts w:ascii="Times New Roman" w:hAnsi="Times New Roman" w:eastAsia="宋体" w:cs="Times New Roman"/>
                <w:color w:val="auto"/>
                <w:sz w:val="24"/>
                <w:szCs w:val="24"/>
                <w:highlight w:val="none"/>
              </w:rPr>
              <w:t>HW12</w:t>
            </w:r>
            <w:r>
              <w:rPr>
                <w:rFonts w:hint="eastAsia" w:ascii="Times New Roman" w:hAnsi="宋体" w:eastAsia="宋体" w:cs="Times New Roman"/>
                <w:color w:val="auto"/>
                <w:sz w:val="24"/>
                <w:szCs w:val="24"/>
                <w:highlight w:val="none"/>
              </w:rPr>
              <w:t>染料、涂料废物），危废代码为</w:t>
            </w:r>
            <w:r>
              <w:rPr>
                <w:rFonts w:ascii="Times New Roman" w:hAnsi="Times New Roman" w:eastAsia="宋体" w:cs="Times New Roman"/>
                <w:color w:val="auto"/>
                <w:sz w:val="24"/>
                <w:szCs w:val="24"/>
                <w:highlight w:val="none"/>
              </w:rPr>
              <w:t>900-252-12</w:t>
            </w:r>
            <w:r>
              <w:rPr>
                <w:rFonts w:hint="eastAsia" w:ascii="Times New Roman" w:hAnsi="宋体" w:eastAsia="宋体" w:cs="Times New Roman"/>
                <w:color w:val="auto"/>
                <w:sz w:val="24"/>
                <w:szCs w:val="24"/>
                <w:highlight w:val="none"/>
              </w:rPr>
              <w:t>。在厂区危废暂存库暂存后委托有资质的单位处理</w:t>
            </w:r>
            <w:r>
              <w:rPr>
                <w:rFonts w:hint="eastAsia" w:ascii="Times New Roman" w:hAnsi="Times New Roman" w:eastAsia="宋体" w:cs="Times New Roman"/>
                <w:color w:val="auto"/>
                <w:sz w:val="24"/>
                <w:szCs w:val="24"/>
                <w:highlight w:val="none"/>
              </w:rPr>
              <w:t>。</w:t>
            </w:r>
          </w:p>
          <w:p w14:paraId="55592075">
            <w:pPr>
              <w:spacing w:line="360" w:lineRule="auto"/>
              <w:ind w:firstLine="470" w:firstLineChars="196"/>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2）废涂料桶</w:t>
            </w:r>
          </w:p>
          <w:p w14:paraId="5461C3D9">
            <w:pPr>
              <w:spacing w:line="360" w:lineRule="auto"/>
              <w:ind w:firstLine="470" w:firstLineChars="196"/>
              <w:rPr>
                <w:color w:val="auto"/>
                <w:highlight w:val="none"/>
              </w:rPr>
            </w:pPr>
            <w:r>
              <w:rPr>
                <w:rFonts w:hint="eastAsia" w:ascii="Times New Roman" w:hAnsi="Times New Roman" w:eastAsia="宋体" w:cs="Times New Roman"/>
                <w:color w:val="auto"/>
                <w:sz w:val="24"/>
                <w:szCs w:val="24"/>
                <w:highlight w:val="none"/>
              </w:rPr>
              <w:t>本项目使用漆料等会产生废包装桶，根据原辅材料一览表，项目涂料使用量为5</w:t>
            </w:r>
            <w:r>
              <w:rPr>
                <w:rFonts w:hint="eastAsia" w:ascii="Times New Roman" w:hAnsi="Times New Roman" w:eastAsia="宋体" w:cs="Times New Roman"/>
                <w:color w:val="auto"/>
                <w:sz w:val="24"/>
                <w:szCs w:val="24"/>
                <w:highlight w:val="none"/>
                <w:lang w:val="en-US" w:eastAsia="zh-CN"/>
              </w:rPr>
              <w:t>4.265</w:t>
            </w:r>
            <w:r>
              <w:rPr>
                <w:rFonts w:hint="eastAsia" w:ascii="Times New Roman" w:hAnsi="Times New Roman" w:eastAsia="宋体" w:cs="Times New Roman"/>
                <w:color w:val="auto"/>
                <w:sz w:val="24"/>
                <w:szCs w:val="24"/>
                <w:highlight w:val="none"/>
              </w:rPr>
              <w:t>t，涂料包装规格为25kg/桶，则涂料桶产生量为21</w:t>
            </w:r>
            <w:r>
              <w:rPr>
                <w:rFonts w:hint="eastAsia" w:ascii="Times New Roman" w:hAnsi="Times New Roman" w:eastAsia="宋体" w:cs="Times New Roman"/>
                <w:color w:val="auto"/>
                <w:sz w:val="24"/>
                <w:szCs w:val="24"/>
                <w:highlight w:val="none"/>
                <w:lang w:val="en-US" w:eastAsia="zh-CN"/>
              </w:rPr>
              <w:t>71</w:t>
            </w:r>
            <w:r>
              <w:rPr>
                <w:rFonts w:hint="eastAsia" w:ascii="Times New Roman" w:hAnsi="Times New Roman" w:eastAsia="宋体" w:cs="Times New Roman"/>
                <w:color w:val="auto"/>
                <w:sz w:val="24"/>
                <w:szCs w:val="24"/>
                <w:highlight w:val="none"/>
              </w:rPr>
              <w:t>个/a，</w:t>
            </w:r>
            <w:r>
              <w:rPr>
                <w:rFonts w:hint="eastAsia" w:ascii="Times New Roman" w:hAnsi="Times New Roman" w:eastAsia="宋体" w:cs="Times New Roman"/>
                <w:color w:val="auto"/>
                <w:sz w:val="24"/>
                <w:szCs w:val="24"/>
                <w:highlight w:val="none"/>
                <w:lang w:val="en-US" w:eastAsia="zh-CN"/>
              </w:rPr>
              <w:t>每年破损的涂料桶产生量约为涂料桶的1%，产生量为22个/a，</w:t>
            </w:r>
            <w:r>
              <w:rPr>
                <w:rFonts w:hint="eastAsia" w:ascii="Times New Roman" w:hAnsi="Times New Roman" w:eastAsia="宋体" w:cs="Times New Roman"/>
                <w:color w:val="auto"/>
                <w:sz w:val="24"/>
                <w:szCs w:val="24"/>
                <w:highlight w:val="none"/>
              </w:rPr>
              <w:t>单个涂料桶重量约为0.5kg，则废涂料桶产生量约为</w:t>
            </w:r>
            <w:r>
              <w:rPr>
                <w:rFonts w:hint="eastAsia" w:ascii="Times New Roman" w:hAnsi="Times New Roman" w:eastAsia="宋体" w:cs="Times New Roman"/>
                <w:color w:val="auto"/>
                <w:sz w:val="24"/>
                <w:szCs w:val="24"/>
                <w:highlight w:val="none"/>
                <w:lang w:val="en-US" w:eastAsia="zh-CN"/>
              </w:rPr>
              <w:t>0.011</w:t>
            </w:r>
            <w:r>
              <w:rPr>
                <w:rFonts w:hint="eastAsia" w:ascii="Times New Roman" w:hAnsi="Times New Roman" w:eastAsia="宋体" w:cs="Times New Roman"/>
                <w:color w:val="auto"/>
                <w:sz w:val="24"/>
                <w:szCs w:val="24"/>
                <w:highlight w:val="none"/>
              </w:rPr>
              <w:t>t/a，</w:t>
            </w:r>
            <w:r>
              <w:rPr>
                <w:rFonts w:hint="eastAsia" w:ascii="Times New Roman" w:hAnsi="Times New Roman" w:eastAsia="宋体" w:cs="Times New Roman"/>
                <w:color w:val="auto"/>
                <w:spacing w:val="-2"/>
                <w:sz w:val="24"/>
                <w:szCs w:val="24"/>
                <w:highlight w:val="none"/>
              </w:rPr>
              <w:t>根据《国家危险废物名录》（2025年版），</w:t>
            </w:r>
            <w:r>
              <w:rPr>
                <w:rFonts w:hint="eastAsia" w:ascii="Times New Roman" w:hAnsi="Times New Roman" w:eastAsia="宋体" w:cs="Times New Roman"/>
                <w:color w:val="auto"/>
                <w:sz w:val="24"/>
                <w:szCs w:val="24"/>
                <w:highlight w:val="none"/>
              </w:rPr>
              <w:t>废</w:t>
            </w:r>
            <w:r>
              <w:rPr>
                <w:rFonts w:hint="eastAsia" w:ascii="Times New Roman" w:hAnsi="Times New Roman" w:eastAsia="宋体" w:cs="Times New Roman"/>
                <w:color w:val="auto"/>
                <w:sz w:val="24"/>
                <w:szCs w:val="24"/>
                <w:highlight w:val="none"/>
                <w:lang w:val="en-US" w:eastAsia="zh-CN"/>
              </w:rPr>
              <w:t>涂料桶</w:t>
            </w:r>
            <w:r>
              <w:rPr>
                <w:rFonts w:hint="eastAsia" w:ascii="Times New Roman" w:hAnsi="Times New Roman" w:eastAsia="宋体" w:cs="Times New Roman"/>
                <w:color w:val="auto"/>
                <w:sz w:val="24"/>
                <w:szCs w:val="24"/>
                <w:highlight w:val="none"/>
              </w:rPr>
              <w:t>属于危险废物</w:t>
            </w:r>
            <w:r>
              <w:rPr>
                <w:rFonts w:ascii="Times New Roman" w:hAnsi="Times New Roman" w:eastAsia="宋体" w:cs="Times New Roman"/>
                <w:color w:val="auto"/>
                <w:sz w:val="24"/>
                <w:szCs w:val="24"/>
                <w:highlight w:val="none"/>
              </w:rPr>
              <w:t>（</w:t>
            </w:r>
            <w:r>
              <w:rPr>
                <w:rFonts w:ascii="Times New Roman" w:hAnsi="Times New Roman" w:eastAsia="宋体" w:cs="Times New Roman"/>
                <w:color w:val="auto"/>
                <w:kern w:val="0"/>
                <w:sz w:val="24"/>
                <w:szCs w:val="24"/>
                <w:highlight w:val="none"/>
              </w:rPr>
              <w:t>HW49其他废物，</w:t>
            </w:r>
            <w:r>
              <w:rPr>
                <w:rFonts w:ascii="Times New Roman" w:hAnsi="Times New Roman" w:eastAsia="宋体" w:cs="Times New Roman"/>
                <w:color w:val="auto"/>
                <w:sz w:val="24"/>
                <w:szCs w:val="24"/>
                <w:highlight w:val="none"/>
              </w:rPr>
              <w:t>危废代码为900-041-49）</w:t>
            </w:r>
            <w:r>
              <w:rPr>
                <w:rFonts w:hint="eastAsia" w:ascii="Times New Roman" w:hAnsi="Times New Roman" w:eastAsia="宋体" w:cs="Times New Roman"/>
                <w:color w:val="auto"/>
                <w:sz w:val="24"/>
                <w:szCs w:val="24"/>
                <w:highlight w:val="none"/>
              </w:rPr>
              <w:t>，废</w:t>
            </w:r>
            <w:r>
              <w:rPr>
                <w:rFonts w:hint="eastAsia" w:ascii="Times New Roman" w:hAnsi="Times New Roman" w:eastAsia="宋体" w:cs="Times New Roman"/>
                <w:color w:val="auto"/>
                <w:sz w:val="24"/>
                <w:szCs w:val="24"/>
                <w:highlight w:val="none"/>
                <w:lang w:val="en-US" w:eastAsia="zh-CN"/>
              </w:rPr>
              <w:t>涂料</w:t>
            </w:r>
            <w:r>
              <w:rPr>
                <w:rFonts w:hint="eastAsia" w:ascii="Times New Roman" w:hAnsi="Times New Roman" w:eastAsia="宋体" w:cs="Times New Roman"/>
                <w:color w:val="auto"/>
                <w:sz w:val="24"/>
                <w:szCs w:val="24"/>
                <w:highlight w:val="none"/>
              </w:rPr>
              <w:t>桶暂存于厂区危险废物暂存间后，委托有资质的单位处置。</w:t>
            </w:r>
          </w:p>
          <w:p w14:paraId="45213B38">
            <w:pPr>
              <w:spacing w:line="360" w:lineRule="auto"/>
              <w:ind w:firstLine="470" w:firstLineChars="196"/>
              <w:rPr>
                <w:color w:val="auto"/>
                <w:highlight w:val="none"/>
              </w:rPr>
            </w:pPr>
            <w:r>
              <w:rPr>
                <w:rFonts w:ascii="Times New Roman" w:hAnsi="Times New Roman" w:cs="Times New Roman"/>
                <w:color w:val="auto"/>
                <w:kern w:val="0"/>
                <w:sz w:val="24"/>
                <w:highlight w:val="none"/>
              </w:rPr>
              <w:t>则可回收的</w:t>
            </w:r>
            <w:r>
              <w:rPr>
                <w:rFonts w:hint="eastAsia" w:ascii="Times New Roman" w:hAnsi="Times New Roman" w:cs="Times New Roman"/>
                <w:color w:val="auto"/>
                <w:kern w:val="0"/>
                <w:sz w:val="24"/>
                <w:highlight w:val="none"/>
                <w:lang w:val="en-US" w:eastAsia="zh-CN"/>
              </w:rPr>
              <w:t>涂料</w:t>
            </w:r>
            <w:r>
              <w:rPr>
                <w:rFonts w:ascii="Times New Roman" w:hAnsi="Times New Roman" w:cs="Times New Roman"/>
                <w:color w:val="auto"/>
                <w:kern w:val="0"/>
                <w:sz w:val="24"/>
                <w:highlight w:val="none"/>
              </w:rPr>
              <w:t>桶的产生量约为</w:t>
            </w:r>
            <w:r>
              <w:rPr>
                <w:rFonts w:hint="eastAsia" w:ascii="Times New Roman" w:hAnsi="Times New Roman" w:cs="Times New Roman"/>
                <w:color w:val="auto"/>
                <w:kern w:val="0"/>
                <w:sz w:val="24"/>
                <w:highlight w:val="none"/>
                <w:lang w:val="en-US" w:eastAsia="zh-CN"/>
              </w:rPr>
              <w:t>2149</w:t>
            </w:r>
            <w:r>
              <w:rPr>
                <w:rFonts w:ascii="Times New Roman" w:hAnsi="Times New Roman" w:cs="Times New Roman"/>
                <w:color w:val="auto"/>
                <w:kern w:val="0"/>
                <w:sz w:val="24"/>
                <w:highlight w:val="none"/>
              </w:rPr>
              <w:t>个，</w:t>
            </w:r>
            <w:r>
              <w:rPr>
                <w:rFonts w:hint="eastAsia" w:ascii="Times New Roman" w:hAnsi="Times New Roman" w:cs="Times New Roman"/>
                <w:color w:val="auto"/>
                <w:kern w:val="0"/>
                <w:sz w:val="24"/>
                <w:highlight w:val="none"/>
                <w:lang w:val="en-US" w:eastAsia="zh-CN"/>
              </w:rPr>
              <w:t>涂料</w:t>
            </w:r>
            <w:r>
              <w:rPr>
                <w:rFonts w:ascii="Times New Roman" w:hAnsi="Times New Roman" w:cs="Times New Roman"/>
                <w:color w:val="auto"/>
                <w:kern w:val="0"/>
                <w:sz w:val="24"/>
                <w:highlight w:val="none"/>
              </w:rPr>
              <w:t>桶暂存于</w:t>
            </w:r>
            <w:r>
              <w:rPr>
                <w:rFonts w:hint="eastAsia" w:ascii="Times New Roman" w:hAnsi="Times New Roman" w:cs="Times New Roman"/>
                <w:color w:val="auto"/>
                <w:kern w:val="0"/>
                <w:sz w:val="24"/>
                <w:highlight w:val="none"/>
                <w:lang w:val="en-US" w:eastAsia="zh-CN"/>
              </w:rPr>
              <w:t>危废暂存</w:t>
            </w:r>
            <w:r>
              <w:rPr>
                <w:rFonts w:ascii="Times New Roman" w:hAnsi="Times New Roman" w:cs="Times New Roman"/>
                <w:color w:val="auto"/>
                <w:kern w:val="0"/>
                <w:sz w:val="24"/>
                <w:highlight w:val="none"/>
              </w:rPr>
              <w:t>间，定期由原厂家回收用作原始用途。根据《固体废物鉴别标准通则》（GB34330-2017）：任何不需要修复和加工即可用于其原始用途的物质，或者在产生点经过修复和加工后满足国家、地方制定或行业通行的产品质量标准并且用于其原始用途的物质，不作为固体废物管理。</w:t>
            </w:r>
          </w:p>
          <w:p w14:paraId="5FE0304F">
            <w:pPr>
              <w:spacing w:line="360" w:lineRule="auto"/>
              <w:ind w:firstLine="470" w:firstLineChars="196"/>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3）废过滤棉</w:t>
            </w:r>
          </w:p>
          <w:p w14:paraId="2A30E0E2">
            <w:pPr>
              <w:spacing w:line="360" w:lineRule="auto"/>
              <w:ind w:firstLine="470" w:firstLineChars="196"/>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项目使用过</w:t>
            </w:r>
            <w:r>
              <w:rPr>
                <w:rFonts w:hint="eastAsia" w:ascii="Times New Roman" w:hAnsi="Times New Roman" w:eastAsia="宋体" w:cs="Times New Roman"/>
                <w:bCs/>
                <w:color w:val="auto"/>
                <w:sz w:val="24"/>
                <w:szCs w:val="24"/>
                <w:highlight w:val="none"/>
              </w:rPr>
              <w:t>两级</w:t>
            </w:r>
            <w:r>
              <w:rPr>
                <w:rFonts w:ascii="Times New Roman" w:hAnsi="Times New Roman" w:eastAsia="宋体" w:cs="Times New Roman"/>
                <w:color w:val="auto"/>
                <w:sz w:val="24"/>
                <w:szCs w:val="24"/>
                <w:highlight w:val="none"/>
              </w:rPr>
              <w:t>过滤棉</w:t>
            </w:r>
            <w:r>
              <w:rPr>
                <w:rFonts w:hint="eastAsia" w:ascii="Times New Roman" w:hAnsi="Times New Roman" w:eastAsia="宋体" w:cs="Times New Roman"/>
                <w:color w:val="auto"/>
                <w:sz w:val="24"/>
                <w:szCs w:val="24"/>
                <w:highlight w:val="none"/>
              </w:rPr>
              <w:t>设备处理喷漆废气产生的颗粒物，此过程会产生废过滤棉。</w:t>
            </w:r>
            <w:r>
              <w:rPr>
                <w:rFonts w:ascii="Times New Roman" w:hAnsi="Times New Roman" w:eastAsia="宋体" w:cs="Times New Roman"/>
                <w:color w:val="auto"/>
                <w:sz w:val="24"/>
                <w:szCs w:val="24"/>
                <w:highlight w:val="none"/>
              </w:rPr>
              <w:t>根据工程分析可知，通过过滤棉去除的颗粒物总量</w:t>
            </w:r>
            <w:r>
              <w:rPr>
                <w:rFonts w:hint="eastAsia" w:ascii="Times New Roman" w:hAnsi="Times New Roman" w:eastAsia="宋体" w:cs="Times New Roman"/>
                <w:color w:val="auto"/>
                <w:sz w:val="24"/>
                <w:szCs w:val="24"/>
                <w:highlight w:val="none"/>
              </w:rPr>
              <w:t>约为</w:t>
            </w:r>
            <w:r>
              <w:rPr>
                <w:rFonts w:hint="eastAsia" w:ascii="Times New Roman" w:hAnsi="Times New Roman" w:eastAsia="宋体" w:cs="Times New Roman"/>
                <w:color w:val="auto"/>
                <w:sz w:val="24"/>
                <w:szCs w:val="24"/>
                <w:highlight w:val="none"/>
                <w:lang w:val="en-US" w:eastAsia="zh-CN"/>
              </w:rPr>
              <w:t>1.717</w:t>
            </w:r>
            <w:r>
              <w:rPr>
                <w:rFonts w:hint="eastAsia" w:ascii="Times New Roman" w:hAnsi="Times New Roman" w:eastAsia="宋体" w:cs="Times New Roman"/>
                <w:color w:val="auto"/>
                <w:sz w:val="24"/>
                <w:szCs w:val="24"/>
                <w:highlight w:val="none"/>
              </w:rPr>
              <w:t>t/a</w:t>
            </w:r>
            <w:r>
              <w:rPr>
                <w:rFonts w:ascii="Times New Roman" w:hAnsi="Times New Roman" w:eastAsia="宋体" w:cs="Times New Roman"/>
                <w:color w:val="auto"/>
                <w:sz w:val="24"/>
                <w:szCs w:val="24"/>
                <w:highlight w:val="none"/>
              </w:rPr>
              <w:t>，项目使用的过滤棉密度为260g/m</w:t>
            </w:r>
            <w:r>
              <w:rPr>
                <w:rFonts w:hint="eastAsia" w:ascii="Times New Roman" w:hAnsi="Times New Roman" w:eastAsia="宋体" w:cs="Times New Roman"/>
                <w:color w:val="auto"/>
                <w:sz w:val="24"/>
                <w:szCs w:val="24"/>
                <w:highlight w:val="none"/>
                <w:vertAlign w:val="superscript"/>
              </w:rPr>
              <w:t>3</w:t>
            </w:r>
            <w:r>
              <w:rPr>
                <w:rFonts w:ascii="Times New Roman" w:hAnsi="Times New Roman" w:eastAsia="宋体" w:cs="Times New Roman"/>
                <w:color w:val="auto"/>
                <w:sz w:val="24"/>
                <w:szCs w:val="24"/>
                <w:highlight w:val="none"/>
              </w:rPr>
              <w:t>，容尘量3550g/m</w:t>
            </w:r>
            <w:r>
              <w:rPr>
                <w:rFonts w:hint="eastAsia" w:ascii="Times New Roman" w:hAnsi="Times New Roman" w:eastAsia="宋体" w:cs="Times New Roman"/>
                <w:color w:val="auto"/>
                <w:sz w:val="24"/>
                <w:szCs w:val="24"/>
                <w:highlight w:val="none"/>
                <w:vertAlign w:val="superscript"/>
              </w:rPr>
              <w:t>3</w:t>
            </w:r>
            <w:r>
              <w:rPr>
                <w:rFonts w:ascii="Times New Roman" w:hAnsi="Times New Roman" w:eastAsia="宋体" w:cs="Times New Roman"/>
                <w:color w:val="auto"/>
                <w:sz w:val="24"/>
                <w:szCs w:val="24"/>
                <w:highlight w:val="none"/>
              </w:rPr>
              <w:t>，容尘量使用率按80%计算，</w:t>
            </w:r>
            <w:r>
              <w:rPr>
                <w:rFonts w:hint="eastAsia" w:ascii="Times New Roman" w:hAnsi="Times New Roman" w:eastAsia="宋体" w:cs="Times New Roman"/>
                <w:color w:val="auto"/>
                <w:sz w:val="24"/>
                <w:szCs w:val="24"/>
                <w:highlight w:val="none"/>
              </w:rPr>
              <w:t>经计算，</w:t>
            </w:r>
            <w:r>
              <w:rPr>
                <w:rFonts w:ascii="Times New Roman" w:hAnsi="Times New Roman" w:eastAsia="宋体" w:cs="Times New Roman"/>
                <w:color w:val="auto"/>
                <w:sz w:val="24"/>
                <w:szCs w:val="24"/>
                <w:highlight w:val="none"/>
              </w:rPr>
              <w:t>过滤棉年用量</w:t>
            </w:r>
            <w:r>
              <w:rPr>
                <w:rFonts w:hint="eastAsia" w:ascii="Times New Roman" w:hAnsi="Times New Roman" w:eastAsia="宋体" w:cs="Times New Roman"/>
                <w:color w:val="auto"/>
                <w:sz w:val="24"/>
                <w:szCs w:val="24"/>
                <w:highlight w:val="none"/>
              </w:rPr>
              <w:t>约</w:t>
            </w:r>
            <w:r>
              <w:rPr>
                <w:rFonts w:ascii="Times New Roman" w:hAnsi="Times New Roman" w:eastAsia="宋体" w:cs="Times New Roman"/>
                <w:color w:val="auto"/>
                <w:sz w:val="24"/>
                <w:szCs w:val="24"/>
                <w:highlight w:val="none"/>
              </w:rPr>
              <w:t>为</w:t>
            </w:r>
            <w:r>
              <w:rPr>
                <w:rFonts w:hint="eastAsia" w:ascii="Times New Roman" w:hAnsi="Times New Roman" w:eastAsia="宋体" w:cs="Times New Roman"/>
                <w:color w:val="auto"/>
                <w:sz w:val="24"/>
                <w:szCs w:val="24"/>
                <w:highlight w:val="none"/>
                <w:lang w:val="en-US" w:eastAsia="zh-CN"/>
              </w:rPr>
              <w:t>605</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vertAlign w:val="superscript"/>
              </w:rPr>
              <w:t>3</w:t>
            </w:r>
            <w:r>
              <w:rPr>
                <w:rFonts w:hint="eastAsia" w:ascii="Times New Roman" w:hAnsi="Times New Roman" w:eastAsia="宋体" w:cs="Times New Roman"/>
                <w:color w:val="auto"/>
                <w:sz w:val="24"/>
                <w:szCs w:val="24"/>
                <w:highlight w:val="none"/>
              </w:rPr>
              <w:t>，</w:t>
            </w:r>
            <w:r>
              <w:rPr>
                <w:rFonts w:ascii="Times New Roman" w:hAnsi="Times New Roman" w:eastAsia="宋体" w:cs="Times New Roman"/>
                <w:color w:val="auto"/>
                <w:sz w:val="24"/>
                <w:szCs w:val="24"/>
                <w:highlight w:val="none"/>
              </w:rPr>
              <w:t>废过滤棉产生量（包括收集的颗粒物）为</w:t>
            </w:r>
            <w:r>
              <w:rPr>
                <w:rFonts w:hint="eastAsia" w:ascii="Times New Roman" w:hAnsi="Times New Roman" w:eastAsia="宋体" w:cs="Times New Roman"/>
                <w:color w:val="auto"/>
                <w:sz w:val="24"/>
                <w:szCs w:val="24"/>
                <w:highlight w:val="none"/>
                <w:lang w:val="en-US" w:eastAsia="zh-CN"/>
              </w:rPr>
              <w:t>1.87</w:t>
            </w:r>
            <w:r>
              <w:rPr>
                <w:rFonts w:hint="eastAsia" w:ascii="Times New Roman" w:hAnsi="Times New Roman" w:eastAsia="宋体" w:cs="Times New Roman"/>
                <w:color w:val="auto"/>
                <w:sz w:val="24"/>
                <w:szCs w:val="24"/>
                <w:highlight w:val="none"/>
              </w:rPr>
              <w:t>t</w:t>
            </w:r>
            <w:r>
              <w:rPr>
                <w:rFonts w:ascii="Times New Roman" w:hAnsi="Times New Roman" w:eastAsia="宋体" w:cs="Times New Roman"/>
                <w:color w:val="auto"/>
                <w:sz w:val="24"/>
                <w:szCs w:val="24"/>
                <w:highlight w:val="none"/>
              </w:rPr>
              <w:t>/a，废过滤棉</w:t>
            </w:r>
            <w:r>
              <w:rPr>
                <w:rFonts w:hint="eastAsia" w:ascii="Times New Roman" w:hAnsi="Times New Roman" w:eastAsia="宋体" w:cs="Times New Roman"/>
                <w:color w:val="auto"/>
                <w:sz w:val="24"/>
                <w:szCs w:val="24"/>
                <w:highlight w:val="none"/>
              </w:rPr>
              <w:t>属于</w:t>
            </w:r>
            <w:r>
              <w:rPr>
                <w:rFonts w:ascii="Times New Roman" w:hAnsi="Times New Roman" w:eastAsia="宋体" w:cs="Times New Roman"/>
                <w:color w:val="auto"/>
                <w:sz w:val="24"/>
                <w:szCs w:val="24"/>
                <w:highlight w:val="none"/>
              </w:rPr>
              <w:t>危险废物</w:t>
            </w:r>
            <w:r>
              <w:rPr>
                <w:rFonts w:hint="eastAsia" w:ascii="Times New Roman" w:hAnsi="Times New Roman" w:eastAsia="宋体" w:cs="Times New Roman"/>
                <w:color w:val="auto"/>
                <w:sz w:val="24"/>
                <w:szCs w:val="24"/>
                <w:highlight w:val="none"/>
              </w:rPr>
              <w:t>。废过滤棉暂存于厂区危险废物暂存间后，委托有资质的单位处置。</w:t>
            </w:r>
          </w:p>
          <w:p w14:paraId="5CA030B3">
            <w:pPr>
              <w:spacing w:line="360" w:lineRule="auto"/>
              <w:ind w:firstLine="470" w:firstLineChars="196"/>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4）废活性炭</w:t>
            </w:r>
          </w:p>
          <w:p w14:paraId="68BFF0B5">
            <w:pPr>
              <w:spacing w:line="360" w:lineRule="auto"/>
              <w:ind w:firstLine="470" w:firstLineChars="196"/>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项目生产过程中产生的有机废气收集后经活性炭吸附装置内进行吸附处理，活性炭吸附装置在吸附有机废气过程中产生废活性炭，一般活性炭的吸附能力约为25kg（废气）/100kg（活性炭），本项目进入活性炭吸附装置</w:t>
            </w:r>
            <w:r>
              <w:rPr>
                <w:rFonts w:hint="eastAsia" w:ascii="Times New Roman" w:hAnsi="Times New Roman" w:eastAsia="宋体" w:cs="Times New Roman"/>
                <w:color w:val="auto"/>
                <w:sz w:val="24"/>
                <w:szCs w:val="24"/>
                <w:highlight w:val="none"/>
              </w:rPr>
              <w:t>吸附有机废气量为</w:t>
            </w:r>
            <w:r>
              <w:rPr>
                <w:rFonts w:hint="eastAsia" w:ascii="Times New Roman" w:hAnsi="Times New Roman" w:eastAsia="宋体" w:cs="Times New Roman"/>
                <w:color w:val="auto"/>
                <w:sz w:val="24"/>
                <w:szCs w:val="24"/>
                <w:highlight w:val="none"/>
                <w:lang w:val="en-US" w:eastAsia="zh-CN"/>
              </w:rPr>
              <w:t>1.9129</w:t>
            </w:r>
            <w:r>
              <w:rPr>
                <w:rFonts w:hint="eastAsia" w:ascii="Times New Roman" w:hAnsi="Times New Roman" w:eastAsia="宋体" w:cs="Times New Roman"/>
                <w:color w:val="auto"/>
                <w:sz w:val="24"/>
                <w:szCs w:val="24"/>
                <w:highlight w:val="none"/>
              </w:rPr>
              <w:t>t/a，</w:t>
            </w:r>
            <w:r>
              <w:rPr>
                <w:rFonts w:ascii="Times New Roman" w:hAnsi="Times New Roman" w:eastAsia="宋体" w:cs="Times New Roman"/>
                <w:color w:val="auto"/>
                <w:sz w:val="24"/>
                <w:szCs w:val="24"/>
                <w:highlight w:val="none"/>
              </w:rPr>
              <w:t>则需要活性炭</w:t>
            </w:r>
            <w:r>
              <w:rPr>
                <w:rFonts w:hint="eastAsia" w:ascii="Times New Roman" w:hAnsi="Times New Roman" w:eastAsia="宋体" w:cs="Times New Roman"/>
                <w:color w:val="auto"/>
                <w:sz w:val="24"/>
                <w:szCs w:val="24"/>
                <w:highlight w:val="none"/>
                <w:lang w:val="en-US" w:eastAsia="zh-CN"/>
              </w:rPr>
              <w:t>7.65</w:t>
            </w:r>
            <w:r>
              <w:rPr>
                <w:rFonts w:hint="eastAsia" w:ascii="Times New Roman" w:hAnsi="Times New Roman" w:eastAsia="宋体" w:cs="Times New Roman"/>
                <w:color w:val="auto"/>
                <w:sz w:val="24"/>
                <w:szCs w:val="24"/>
                <w:highlight w:val="none"/>
              </w:rPr>
              <w:t>t</w:t>
            </w:r>
            <w:r>
              <w:rPr>
                <w:rFonts w:ascii="Times New Roman" w:hAnsi="Times New Roman" w:eastAsia="宋体" w:cs="Times New Roman"/>
                <w:color w:val="auto"/>
                <w:sz w:val="24"/>
                <w:szCs w:val="24"/>
                <w:highlight w:val="none"/>
              </w:rPr>
              <w:t>/a，因此，产生的废活性炭量约为</w:t>
            </w:r>
            <w:r>
              <w:rPr>
                <w:rFonts w:hint="eastAsia" w:ascii="Times New Roman" w:hAnsi="Times New Roman" w:eastAsia="宋体" w:cs="Times New Roman"/>
                <w:color w:val="auto"/>
                <w:sz w:val="24"/>
                <w:szCs w:val="24"/>
                <w:highlight w:val="none"/>
                <w:lang w:val="en-US" w:eastAsia="zh-CN"/>
              </w:rPr>
              <w:t>9.565</w:t>
            </w:r>
            <w:r>
              <w:rPr>
                <w:rFonts w:ascii="Times New Roman" w:hAnsi="Times New Roman" w:eastAsia="宋体" w:cs="Times New Roman"/>
                <w:color w:val="auto"/>
                <w:sz w:val="24"/>
                <w:szCs w:val="24"/>
                <w:highlight w:val="none"/>
              </w:rPr>
              <w:t>t/a。活性炭吸附装置吸附后产生的</w:t>
            </w:r>
            <w:r>
              <w:rPr>
                <w:rFonts w:hint="eastAsia" w:ascii="Times New Roman" w:hAnsi="Times New Roman" w:eastAsia="宋体" w:cs="Times New Roman"/>
                <w:color w:val="auto"/>
                <w:sz w:val="24"/>
                <w:szCs w:val="24"/>
                <w:highlight w:val="none"/>
              </w:rPr>
              <w:t>废活性炭属于危险废物（编号HW49其他废物，废物代码为900-039-49，烟气、VOCs治理过程中产生的废活性炭、化学原料和化学脱色、除杂、净化过程产生的废活性炭），</w:t>
            </w:r>
            <w:r>
              <w:rPr>
                <w:rFonts w:ascii="Times New Roman" w:hAnsi="Times New Roman" w:eastAsia="宋体" w:cs="Times New Roman"/>
                <w:color w:val="auto"/>
                <w:sz w:val="24"/>
                <w:szCs w:val="24"/>
                <w:highlight w:val="none"/>
              </w:rPr>
              <w:t>更换的废活性炭放置在危险废物暂存间暂存，</w:t>
            </w:r>
            <w:r>
              <w:rPr>
                <w:rFonts w:hint="eastAsia" w:ascii="Times New Roman" w:hAnsi="Times New Roman" w:eastAsia="宋体" w:cs="Times New Roman"/>
                <w:color w:val="auto"/>
                <w:sz w:val="24"/>
                <w:szCs w:val="24"/>
                <w:highlight w:val="none"/>
              </w:rPr>
              <w:t>定期</w:t>
            </w:r>
            <w:r>
              <w:rPr>
                <w:rFonts w:ascii="Times New Roman" w:hAnsi="Times New Roman" w:eastAsia="宋体" w:cs="Times New Roman"/>
                <w:color w:val="auto"/>
                <w:sz w:val="24"/>
                <w:szCs w:val="24"/>
                <w:highlight w:val="none"/>
              </w:rPr>
              <w:t>委托有资质单位进行处置。</w:t>
            </w:r>
          </w:p>
          <w:p w14:paraId="43B6B832">
            <w:pPr>
              <w:spacing w:line="360" w:lineRule="auto"/>
              <w:ind w:firstLine="470" w:firstLineChars="196"/>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5）水帘喷漆定期更换的废液</w:t>
            </w:r>
          </w:p>
          <w:p w14:paraId="4112F3FD">
            <w:pPr>
              <w:spacing w:line="360" w:lineRule="auto"/>
              <w:ind w:firstLine="480" w:firstLineChars="200"/>
              <w:rPr>
                <w:rFonts w:hAnsi="宋体"/>
                <w:color w:val="auto"/>
                <w:kern w:val="0"/>
                <w:sz w:val="24"/>
                <w:highlight w:val="none"/>
              </w:rPr>
            </w:pPr>
            <w:r>
              <w:rPr>
                <w:rFonts w:ascii="Times New Roman" w:hAnsi="Times New Roman" w:eastAsia="宋体" w:cs="Times New Roman"/>
                <w:color w:val="auto"/>
                <w:sz w:val="24"/>
                <w:szCs w:val="24"/>
                <w:highlight w:val="none"/>
              </w:rPr>
              <w:t>项目定期对水帘循环水池废水进行彻底清排，废水排放量为</w:t>
            </w:r>
            <w:r>
              <w:rPr>
                <w:rFonts w:hint="eastAsia" w:ascii="Times New Roman" w:hAnsi="Times New Roman" w:eastAsia="宋体" w:cs="Times New Roman"/>
                <w:color w:val="auto"/>
                <w:sz w:val="24"/>
                <w:szCs w:val="24"/>
                <w:highlight w:val="none"/>
                <w:lang w:val="en-US" w:eastAsia="zh-CN"/>
              </w:rPr>
              <w:t>12</w:t>
            </w:r>
            <w:bookmarkStart w:id="2" w:name="_GoBack"/>
            <w:bookmarkEnd w:id="2"/>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3</w:t>
            </w:r>
            <w:r>
              <w:rPr>
                <w:rFonts w:ascii="Times New Roman" w:hAnsi="Times New Roman" w:eastAsia="宋体" w:cs="Times New Roman"/>
                <w:color w:val="auto"/>
                <w:sz w:val="24"/>
                <w:szCs w:val="24"/>
                <w:highlight w:val="none"/>
              </w:rPr>
              <w:t>/a，清理产生的废水属于危险废物（HW49其他废物），危废代码为900-041-49。</w:t>
            </w:r>
            <w:r>
              <w:rPr>
                <w:rFonts w:hint="eastAsia" w:ascii="Times New Roman" w:hAnsi="Times New Roman" w:eastAsia="宋体" w:cs="Times New Roman"/>
                <w:color w:val="auto"/>
                <w:sz w:val="24"/>
                <w:szCs w:val="24"/>
                <w:highlight w:val="none"/>
              </w:rPr>
              <w:t>收集后</w:t>
            </w:r>
            <w:r>
              <w:rPr>
                <w:rFonts w:ascii="Times New Roman" w:hAnsi="Times New Roman" w:eastAsia="宋体" w:cs="Times New Roman"/>
                <w:color w:val="auto"/>
                <w:sz w:val="24"/>
                <w:szCs w:val="24"/>
                <w:highlight w:val="none"/>
              </w:rPr>
              <w:t>的漆雾废水放置在危险废物暂存间的密闭容器内暂存，</w:t>
            </w:r>
            <w:r>
              <w:rPr>
                <w:rFonts w:hint="eastAsia" w:ascii="Times New Roman" w:hAnsi="Times New Roman" w:eastAsia="宋体" w:cs="Times New Roman"/>
                <w:color w:val="auto"/>
                <w:sz w:val="24"/>
                <w:szCs w:val="24"/>
                <w:highlight w:val="none"/>
              </w:rPr>
              <w:t>容器</w:t>
            </w:r>
            <w:r>
              <w:rPr>
                <w:rFonts w:ascii="Times New Roman" w:hAnsi="Times New Roman" w:eastAsia="宋体" w:cs="Times New Roman"/>
                <w:color w:val="auto"/>
                <w:sz w:val="24"/>
                <w:szCs w:val="24"/>
                <w:highlight w:val="none"/>
              </w:rPr>
              <w:t>顶部与液体表面之间保留</w:t>
            </w:r>
            <w:r>
              <w:rPr>
                <w:rFonts w:hint="eastAsia" w:ascii="Times New Roman" w:hAnsi="Times New Roman" w:eastAsia="宋体" w:cs="Times New Roman"/>
                <w:color w:val="auto"/>
                <w:sz w:val="24"/>
                <w:szCs w:val="24"/>
                <w:highlight w:val="none"/>
              </w:rPr>
              <w:t>100mm以上的空间</w:t>
            </w:r>
            <w:r>
              <w:rPr>
                <w:rFonts w:ascii="Times New Roman" w:hAnsi="Times New Roman" w:eastAsia="宋体" w:cs="Times New Roman"/>
                <w:color w:val="auto"/>
                <w:sz w:val="24"/>
                <w:szCs w:val="24"/>
                <w:highlight w:val="none"/>
              </w:rPr>
              <w:t>，之后委托有资质单位进</w:t>
            </w:r>
            <w:r>
              <w:rPr>
                <w:rFonts w:hAnsi="宋体"/>
                <w:color w:val="auto"/>
                <w:sz w:val="24"/>
                <w:highlight w:val="none"/>
              </w:rPr>
              <w:t>行处置</w:t>
            </w:r>
            <w:r>
              <w:rPr>
                <w:rFonts w:hAnsi="宋体"/>
                <w:color w:val="auto"/>
                <w:kern w:val="0"/>
                <w:sz w:val="24"/>
                <w:highlight w:val="none"/>
              </w:rPr>
              <w:t>。</w:t>
            </w:r>
          </w:p>
          <w:p w14:paraId="3DE904C5">
            <w:pPr>
              <w:numPr>
                <w:ilvl w:val="0"/>
                <w:numId w:val="1"/>
              </w:numPr>
              <w:spacing w:line="360" w:lineRule="auto"/>
              <w:ind w:firstLine="480" w:firstLineChars="200"/>
              <w:rPr>
                <w:rFonts w:hAnsi="宋体"/>
                <w:color w:val="auto"/>
                <w:kern w:val="0"/>
                <w:sz w:val="24"/>
              </w:rPr>
            </w:pPr>
            <w:r>
              <w:rPr>
                <w:rFonts w:hint="eastAsia" w:hAnsi="宋体"/>
                <w:color w:val="auto"/>
                <w:kern w:val="0"/>
                <w:sz w:val="24"/>
              </w:rPr>
              <w:t>废润滑油桶</w:t>
            </w:r>
          </w:p>
          <w:p w14:paraId="4CFC819F">
            <w:pPr>
              <w:spacing w:line="360" w:lineRule="auto"/>
              <w:ind w:firstLine="480" w:firstLineChars="200"/>
              <w:rPr>
                <w:rFonts w:ascii="Times New Roman" w:hAnsi="Times New Roman" w:cs="Times New Roman"/>
                <w:color w:val="auto"/>
                <w:kern w:val="0"/>
                <w:sz w:val="24"/>
              </w:rPr>
            </w:pPr>
            <w:r>
              <w:rPr>
                <w:rFonts w:ascii="Times New Roman" w:hAnsi="Times New Roman" w:cs="Times New Roman"/>
                <w:color w:val="auto"/>
                <w:kern w:val="0"/>
                <w:sz w:val="24"/>
              </w:rPr>
              <w:t>根据企业提供的信息及原辅料情况，本项目年使用润滑油</w:t>
            </w:r>
            <w:r>
              <w:rPr>
                <w:rFonts w:hint="eastAsia" w:ascii="Times New Roman" w:hAnsi="Times New Roman" w:cs="Times New Roman"/>
                <w:color w:val="auto"/>
                <w:kern w:val="0"/>
                <w:sz w:val="24"/>
                <w:lang w:val="en-US" w:eastAsia="zh-CN"/>
              </w:rPr>
              <w:t>1</w:t>
            </w:r>
            <w:r>
              <w:rPr>
                <w:rFonts w:ascii="Times New Roman" w:hAnsi="Times New Roman" w:cs="Times New Roman"/>
                <w:color w:val="auto"/>
                <w:kern w:val="0"/>
                <w:sz w:val="24"/>
              </w:rPr>
              <w:t>t，采用规格200kg桶装，润滑油桶的产生量约为</w:t>
            </w:r>
            <w:r>
              <w:rPr>
                <w:rFonts w:hint="eastAsia" w:ascii="Times New Roman" w:hAnsi="Times New Roman" w:cs="Times New Roman"/>
                <w:color w:val="auto"/>
                <w:kern w:val="0"/>
                <w:sz w:val="24"/>
                <w:lang w:val="en-US" w:eastAsia="zh-CN"/>
              </w:rPr>
              <w:t>5</w:t>
            </w:r>
            <w:r>
              <w:rPr>
                <w:rFonts w:ascii="Times New Roman" w:hAnsi="Times New Roman" w:cs="Times New Roman"/>
                <w:color w:val="auto"/>
                <w:kern w:val="0"/>
                <w:sz w:val="24"/>
              </w:rPr>
              <w:t>个，每年破损的润滑油桶产生量约为润滑油桶的1%，产生量为</w:t>
            </w:r>
            <w:r>
              <w:rPr>
                <w:rFonts w:hint="eastAsia" w:ascii="Times New Roman" w:hAnsi="Times New Roman" w:cs="Times New Roman"/>
                <w:color w:val="auto"/>
                <w:kern w:val="0"/>
                <w:sz w:val="24"/>
                <w:lang w:val="en-US" w:eastAsia="zh-CN"/>
              </w:rPr>
              <w:t>1</w:t>
            </w:r>
            <w:r>
              <w:rPr>
                <w:rFonts w:ascii="Times New Roman" w:hAnsi="Times New Roman" w:cs="Times New Roman"/>
                <w:color w:val="auto"/>
                <w:kern w:val="0"/>
                <w:sz w:val="24"/>
              </w:rPr>
              <w:t>个/a，润滑油桶每只以2kg计，约0.00</w:t>
            </w:r>
            <w:r>
              <w:rPr>
                <w:rFonts w:hint="eastAsia" w:ascii="Times New Roman" w:hAnsi="Times New Roman" w:cs="Times New Roman"/>
                <w:color w:val="auto"/>
                <w:kern w:val="0"/>
                <w:sz w:val="24"/>
                <w:lang w:val="en-US" w:eastAsia="zh-CN"/>
              </w:rPr>
              <w:t>2</w:t>
            </w:r>
            <w:r>
              <w:rPr>
                <w:rFonts w:ascii="Times New Roman" w:hAnsi="Times New Roman" w:cs="Times New Roman"/>
                <w:color w:val="auto"/>
                <w:kern w:val="0"/>
                <w:sz w:val="24"/>
              </w:rPr>
              <w:t>t。破损的润滑油桶属于危险废物，暂存于厂区危废暂存间后，委托有资质的单位处置。</w:t>
            </w:r>
          </w:p>
          <w:p w14:paraId="64365E5F">
            <w:pPr>
              <w:spacing w:line="360" w:lineRule="auto"/>
              <w:ind w:firstLine="480" w:firstLineChars="200"/>
              <w:rPr>
                <w:rFonts w:ascii="Times New Roman" w:hAnsi="Times New Roman" w:cs="Times New Roman"/>
                <w:color w:val="auto"/>
                <w:kern w:val="0"/>
                <w:sz w:val="24"/>
                <w:highlight w:val="none"/>
              </w:rPr>
            </w:pPr>
            <w:r>
              <w:rPr>
                <w:rFonts w:ascii="Times New Roman" w:hAnsi="Times New Roman" w:cs="Times New Roman"/>
                <w:color w:val="auto"/>
                <w:kern w:val="0"/>
                <w:sz w:val="24"/>
                <w:highlight w:val="none"/>
              </w:rPr>
              <w:t>则可回收的润滑油桶的产生量约为</w:t>
            </w:r>
            <w:r>
              <w:rPr>
                <w:rFonts w:hint="eastAsia" w:ascii="Times New Roman" w:hAnsi="Times New Roman" w:cs="Times New Roman"/>
                <w:color w:val="auto"/>
                <w:kern w:val="0"/>
                <w:sz w:val="24"/>
                <w:highlight w:val="none"/>
                <w:lang w:val="en-US" w:eastAsia="zh-CN"/>
              </w:rPr>
              <w:t>4</w:t>
            </w:r>
            <w:r>
              <w:rPr>
                <w:rFonts w:ascii="Times New Roman" w:hAnsi="Times New Roman" w:cs="Times New Roman"/>
                <w:color w:val="auto"/>
                <w:kern w:val="0"/>
                <w:sz w:val="24"/>
                <w:highlight w:val="none"/>
              </w:rPr>
              <w:t>个，润滑油桶暂存于</w:t>
            </w:r>
            <w:r>
              <w:rPr>
                <w:rFonts w:hint="eastAsia" w:ascii="Times New Roman" w:hAnsi="Times New Roman" w:cs="Times New Roman"/>
                <w:color w:val="auto"/>
                <w:kern w:val="0"/>
                <w:sz w:val="24"/>
                <w:highlight w:val="none"/>
                <w:lang w:val="en-US" w:eastAsia="zh-CN"/>
              </w:rPr>
              <w:t>危废</w:t>
            </w:r>
            <w:r>
              <w:rPr>
                <w:rFonts w:ascii="Times New Roman" w:hAnsi="Times New Roman" w:cs="Times New Roman"/>
                <w:color w:val="auto"/>
                <w:kern w:val="0"/>
                <w:sz w:val="24"/>
                <w:highlight w:val="none"/>
              </w:rPr>
              <w:t>暂存间，定期由原厂家回收用作原始用途。根据《固体废物鉴别标准通则》（GB34330-2017）：任何不需要修复和加工即可用于其原始用途的物质，或者在产生点经过修复和加工后满足国家、地方制定或行业通行的产品质量标准并且用于其原始用途的物质，不作为固体废物管理。</w:t>
            </w:r>
          </w:p>
          <w:p w14:paraId="73684E4B">
            <w:pPr>
              <w:numPr>
                <w:ilvl w:val="0"/>
                <w:numId w:val="1"/>
              </w:numPr>
              <w:spacing w:line="360" w:lineRule="auto"/>
              <w:ind w:firstLine="480" w:firstLineChars="200"/>
              <w:rPr>
                <w:rFonts w:ascii="Times New Roman" w:hAnsi="Times New Roman" w:cs="Times New Roman"/>
                <w:color w:val="auto"/>
                <w:kern w:val="0"/>
                <w:sz w:val="24"/>
                <w:highlight w:val="none"/>
              </w:rPr>
            </w:pPr>
            <w:r>
              <w:rPr>
                <w:rFonts w:hint="eastAsia" w:ascii="Times New Roman" w:hAnsi="Times New Roman" w:cs="Times New Roman"/>
                <w:color w:val="auto"/>
                <w:kern w:val="0"/>
                <w:sz w:val="24"/>
                <w:highlight w:val="none"/>
              </w:rPr>
              <w:t>废润滑油</w:t>
            </w:r>
          </w:p>
          <w:p w14:paraId="0AE69F4F">
            <w:pPr>
              <w:spacing w:line="360" w:lineRule="auto"/>
              <w:ind w:firstLine="480" w:firstLineChars="200"/>
              <w:rPr>
                <w:rFonts w:hAnsi="宋体"/>
                <w:color w:val="auto"/>
                <w:kern w:val="0"/>
                <w:sz w:val="24"/>
                <w:highlight w:val="none"/>
              </w:rPr>
            </w:pPr>
            <w:r>
              <w:rPr>
                <w:rFonts w:hAnsi="宋体"/>
                <w:color w:val="auto"/>
                <w:kern w:val="0"/>
                <w:sz w:val="24"/>
                <w:highlight w:val="none"/>
              </w:rPr>
              <w:t>项目生产过程中生产设备需要定期添加润滑油，起到减摩抗磨作用，</w:t>
            </w:r>
          </w:p>
          <w:p w14:paraId="384B3309">
            <w:pPr>
              <w:spacing w:line="360" w:lineRule="auto"/>
              <w:rPr>
                <w:rFonts w:hAnsi="宋体"/>
                <w:color w:val="auto"/>
                <w:kern w:val="0"/>
                <w:sz w:val="24"/>
                <w:highlight w:val="none"/>
              </w:rPr>
            </w:pPr>
            <w:r>
              <w:rPr>
                <w:rFonts w:ascii="Times New Roman" w:hAnsi="Times New Roman" w:cs="Times New Roman"/>
                <w:color w:val="auto"/>
                <w:kern w:val="0"/>
                <w:sz w:val="24"/>
                <w:highlight w:val="none"/>
              </w:rPr>
              <w:t>此过程会产生废润滑油，废润滑油属于危险废物，废润滑油的产生量为</w:t>
            </w:r>
            <w:r>
              <w:rPr>
                <w:rFonts w:hint="eastAsia" w:ascii="Times New Roman" w:hAnsi="Times New Roman" w:cs="Times New Roman"/>
                <w:color w:val="auto"/>
                <w:kern w:val="0"/>
                <w:sz w:val="24"/>
                <w:highlight w:val="none"/>
                <w:lang w:val="en-US" w:eastAsia="zh-CN"/>
              </w:rPr>
              <w:t>0.8</w:t>
            </w:r>
            <w:r>
              <w:rPr>
                <w:rFonts w:ascii="Times New Roman" w:hAnsi="Times New Roman" w:cs="Times New Roman"/>
                <w:color w:val="auto"/>
                <w:kern w:val="0"/>
                <w:sz w:val="24"/>
                <w:highlight w:val="none"/>
              </w:rPr>
              <w:t>t/a</w:t>
            </w:r>
            <w:r>
              <w:rPr>
                <w:rFonts w:hAnsi="宋体"/>
                <w:color w:val="auto"/>
                <w:kern w:val="0"/>
                <w:sz w:val="24"/>
                <w:highlight w:val="none"/>
              </w:rPr>
              <w:t>，暂存于厂区危废暂存间后，委托有资质的单位处置。</w:t>
            </w:r>
          </w:p>
          <w:p w14:paraId="0CE03198">
            <w:pPr>
              <w:spacing w:line="360" w:lineRule="auto"/>
              <w:ind w:firstLine="472" w:firstLineChars="196"/>
              <w:rPr>
                <w:rFonts w:ascii="Times New Roman" w:hAnsi="Times New Roman" w:eastAsia="宋体" w:cs="Times New Roman"/>
                <w:b/>
                <w:color w:val="auto"/>
                <w:sz w:val="24"/>
                <w:szCs w:val="24"/>
                <w:highlight w:val="none"/>
              </w:rPr>
            </w:pPr>
            <w:r>
              <w:rPr>
                <w:rFonts w:hint="eastAsia" w:ascii="Times New Roman" w:hAnsi="Times New Roman" w:eastAsia="宋体" w:cs="Times New Roman"/>
                <w:b/>
                <w:color w:val="auto"/>
                <w:sz w:val="24"/>
                <w:szCs w:val="24"/>
                <w:highlight w:val="none"/>
              </w:rPr>
              <w:t>（3）生活垃圾</w:t>
            </w:r>
          </w:p>
          <w:p w14:paraId="689EDC8E">
            <w:pPr>
              <w:spacing w:line="360" w:lineRule="auto"/>
              <w:ind w:firstLine="470" w:firstLineChars="196"/>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本项目劳动定员</w:t>
            </w:r>
            <w:r>
              <w:rPr>
                <w:rFonts w:hint="eastAsia" w:ascii="Times New Roman" w:hAnsi="Times New Roman" w:eastAsia="宋体" w:cs="Times New Roman"/>
                <w:color w:val="auto"/>
                <w:sz w:val="24"/>
                <w:szCs w:val="24"/>
              </w:rPr>
              <w:t>60</w:t>
            </w:r>
            <w:r>
              <w:rPr>
                <w:rFonts w:ascii="Times New Roman" w:hAnsi="Times New Roman" w:eastAsia="宋体" w:cs="Times New Roman"/>
                <w:color w:val="auto"/>
                <w:sz w:val="24"/>
                <w:szCs w:val="24"/>
              </w:rPr>
              <w:t>人，</w:t>
            </w:r>
            <w:r>
              <w:rPr>
                <w:rFonts w:ascii="Times New Roman" w:hAnsi="Times New Roman" w:cs="Times New Roman"/>
                <w:color w:val="auto"/>
                <w:kern w:val="0"/>
                <w:sz w:val="24"/>
                <w:szCs w:val="24"/>
              </w:rPr>
              <w:t>员工每人每日排放生活垃圾按0.5kg计，</w:t>
            </w:r>
            <w:r>
              <w:rPr>
                <w:rFonts w:ascii="Times New Roman" w:hAnsi="Times New Roman" w:eastAsia="宋体" w:cs="Times New Roman"/>
                <w:color w:val="auto"/>
                <w:sz w:val="24"/>
                <w:szCs w:val="24"/>
              </w:rPr>
              <w:t>则生活垃圾产生</w:t>
            </w:r>
            <w:r>
              <w:rPr>
                <w:rFonts w:hint="eastAsia" w:ascii="Times New Roman" w:hAnsi="Times New Roman" w:eastAsia="宋体" w:cs="Times New Roman"/>
                <w:color w:val="auto"/>
                <w:sz w:val="24"/>
                <w:szCs w:val="24"/>
              </w:rPr>
              <w:t>量为9t/a，集中收集后由当地环卫部门统一清运。</w:t>
            </w:r>
          </w:p>
          <w:p w14:paraId="433A1E7B">
            <w:pPr>
              <w:spacing w:line="360" w:lineRule="auto"/>
              <w:ind w:firstLine="470" w:firstLineChars="196"/>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本项目固体废物产生情况见下表。</w:t>
            </w:r>
          </w:p>
          <w:p w14:paraId="56B5B707">
            <w:pPr>
              <w:spacing w:line="360" w:lineRule="auto"/>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表</w:t>
            </w:r>
            <w:r>
              <w:rPr>
                <w:rFonts w:hint="eastAsia" w:ascii="Times New Roman" w:hAnsi="Times New Roman" w:eastAsia="黑体" w:cs="Times New Roman"/>
                <w:color w:val="auto"/>
                <w:sz w:val="24"/>
                <w:szCs w:val="24"/>
              </w:rPr>
              <w:t>4-13  固体废物汇总表</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471"/>
              <w:gridCol w:w="877"/>
              <w:gridCol w:w="1394"/>
              <w:gridCol w:w="1007"/>
              <w:gridCol w:w="652"/>
              <w:gridCol w:w="472"/>
              <w:gridCol w:w="563"/>
              <w:gridCol w:w="562"/>
              <w:gridCol w:w="1580"/>
            </w:tblGrid>
            <w:tr w14:paraId="76BF504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76A2D6D2">
                  <w:pPr>
                    <w:pStyle w:val="32"/>
                    <w:rPr>
                      <w:b/>
                      <w:color w:val="auto"/>
                      <w:highlight w:val="none"/>
                    </w:rPr>
                  </w:pPr>
                  <w:r>
                    <w:rPr>
                      <w:b/>
                      <w:color w:val="auto"/>
                      <w:highlight w:val="none"/>
                    </w:rPr>
                    <w:t>序号</w:t>
                  </w:r>
                </w:p>
              </w:tc>
              <w:tc>
                <w:tcPr>
                  <w:tcW w:w="0" w:type="auto"/>
                  <w:vAlign w:val="center"/>
                </w:tcPr>
                <w:p w14:paraId="1D412BE1">
                  <w:pPr>
                    <w:pStyle w:val="32"/>
                    <w:rPr>
                      <w:b/>
                      <w:color w:val="auto"/>
                      <w:highlight w:val="none"/>
                    </w:rPr>
                  </w:pPr>
                  <w:r>
                    <w:rPr>
                      <w:b/>
                      <w:color w:val="auto"/>
                      <w:highlight w:val="none"/>
                    </w:rPr>
                    <w:t>类别</w:t>
                  </w:r>
                </w:p>
              </w:tc>
              <w:tc>
                <w:tcPr>
                  <w:tcW w:w="0" w:type="auto"/>
                  <w:vAlign w:val="center"/>
                </w:tcPr>
                <w:p w14:paraId="6472767A">
                  <w:pPr>
                    <w:pStyle w:val="32"/>
                    <w:rPr>
                      <w:b/>
                      <w:color w:val="auto"/>
                      <w:highlight w:val="none"/>
                    </w:rPr>
                  </w:pPr>
                  <w:r>
                    <w:rPr>
                      <w:b/>
                      <w:color w:val="auto"/>
                      <w:highlight w:val="none"/>
                    </w:rPr>
                    <w:t>分类编号及代码</w:t>
                  </w:r>
                </w:p>
              </w:tc>
              <w:tc>
                <w:tcPr>
                  <w:tcW w:w="0" w:type="auto"/>
                  <w:vAlign w:val="center"/>
                </w:tcPr>
                <w:p w14:paraId="3B521D36">
                  <w:pPr>
                    <w:pStyle w:val="32"/>
                    <w:rPr>
                      <w:b/>
                      <w:color w:val="auto"/>
                      <w:highlight w:val="none"/>
                    </w:rPr>
                  </w:pPr>
                  <w:r>
                    <w:rPr>
                      <w:b/>
                      <w:color w:val="auto"/>
                      <w:highlight w:val="none"/>
                    </w:rPr>
                    <w:t>产生量（t/a）</w:t>
                  </w:r>
                </w:p>
              </w:tc>
              <w:tc>
                <w:tcPr>
                  <w:tcW w:w="0" w:type="auto"/>
                  <w:vAlign w:val="center"/>
                </w:tcPr>
                <w:p w14:paraId="34323B11">
                  <w:pPr>
                    <w:pStyle w:val="32"/>
                    <w:rPr>
                      <w:b/>
                      <w:color w:val="auto"/>
                      <w:highlight w:val="none"/>
                    </w:rPr>
                  </w:pPr>
                  <w:r>
                    <w:rPr>
                      <w:b/>
                      <w:color w:val="auto"/>
                      <w:highlight w:val="none"/>
                    </w:rPr>
                    <w:t>产生工序</w:t>
                  </w:r>
                </w:p>
              </w:tc>
              <w:tc>
                <w:tcPr>
                  <w:tcW w:w="0" w:type="auto"/>
                  <w:vAlign w:val="center"/>
                </w:tcPr>
                <w:p w14:paraId="44572634">
                  <w:pPr>
                    <w:pStyle w:val="32"/>
                    <w:rPr>
                      <w:b/>
                      <w:color w:val="auto"/>
                      <w:highlight w:val="none"/>
                    </w:rPr>
                  </w:pPr>
                  <w:r>
                    <w:rPr>
                      <w:b/>
                      <w:color w:val="auto"/>
                      <w:highlight w:val="none"/>
                    </w:rPr>
                    <w:t>形态</w:t>
                  </w:r>
                </w:p>
              </w:tc>
              <w:tc>
                <w:tcPr>
                  <w:tcW w:w="0" w:type="auto"/>
                  <w:vAlign w:val="center"/>
                </w:tcPr>
                <w:p w14:paraId="33DEE913">
                  <w:pPr>
                    <w:pStyle w:val="32"/>
                    <w:rPr>
                      <w:b/>
                      <w:color w:val="auto"/>
                      <w:highlight w:val="none"/>
                    </w:rPr>
                  </w:pPr>
                  <w:r>
                    <w:rPr>
                      <w:b/>
                      <w:color w:val="auto"/>
                      <w:highlight w:val="none"/>
                    </w:rPr>
                    <w:t>主要成分</w:t>
                  </w:r>
                </w:p>
              </w:tc>
              <w:tc>
                <w:tcPr>
                  <w:tcW w:w="0" w:type="auto"/>
                  <w:vAlign w:val="center"/>
                </w:tcPr>
                <w:p w14:paraId="2236719D">
                  <w:pPr>
                    <w:pStyle w:val="32"/>
                    <w:rPr>
                      <w:b/>
                      <w:color w:val="auto"/>
                      <w:highlight w:val="none"/>
                    </w:rPr>
                  </w:pPr>
                  <w:r>
                    <w:rPr>
                      <w:b/>
                      <w:color w:val="auto"/>
                      <w:highlight w:val="none"/>
                    </w:rPr>
                    <w:t>性质</w:t>
                  </w:r>
                </w:p>
              </w:tc>
              <w:tc>
                <w:tcPr>
                  <w:tcW w:w="0" w:type="auto"/>
                  <w:vAlign w:val="center"/>
                </w:tcPr>
                <w:p w14:paraId="28F9DCFA">
                  <w:pPr>
                    <w:pStyle w:val="32"/>
                    <w:rPr>
                      <w:b/>
                      <w:color w:val="auto"/>
                      <w:highlight w:val="none"/>
                    </w:rPr>
                  </w:pPr>
                  <w:r>
                    <w:rPr>
                      <w:b/>
                      <w:color w:val="auto"/>
                      <w:highlight w:val="none"/>
                    </w:rPr>
                    <w:t>处理方式</w:t>
                  </w:r>
                </w:p>
              </w:tc>
            </w:tr>
            <w:tr w14:paraId="2AE50CB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0482CE5B">
                  <w:pPr>
                    <w:pStyle w:val="32"/>
                    <w:rPr>
                      <w:color w:val="auto"/>
                      <w:highlight w:val="none"/>
                    </w:rPr>
                  </w:pPr>
                  <w:r>
                    <w:rPr>
                      <w:rFonts w:hint="eastAsia"/>
                      <w:color w:val="auto"/>
                      <w:highlight w:val="none"/>
                    </w:rPr>
                    <w:t>1</w:t>
                  </w:r>
                </w:p>
              </w:tc>
              <w:tc>
                <w:tcPr>
                  <w:tcW w:w="0" w:type="auto"/>
                  <w:vAlign w:val="center"/>
                </w:tcPr>
                <w:p w14:paraId="0B73BCA6">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废羊毛球</w:t>
                  </w:r>
                </w:p>
              </w:tc>
              <w:tc>
                <w:tcPr>
                  <w:tcW w:w="0" w:type="auto"/>
                  <w:vAlign w:val="center"/>
                </w:tcPr>
                <w:p w14:paraId="68FD13A8">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SW59</w:t>
                  </w:r>
                </w:p>
                <w:p w14:paraId="363F1689">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900-099-S59</w:t>
                  </w:r>
                </w:p>
              </w:tc>
              <w:tc>
                <w:tcPr>
                  <w:tcW w:w="0" w:type="auto"/>
                  <w:vAlign w:val="center"/>
                </w:tcPr>
                <w:p w14:paraId="449ED9AB">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1.5</w:t>
                  </w:r>
                </w:p>
              </w:tc>
              <w:tc>
                <w:tcPr>
                  <w:tcW w:w="0" w:type="auto"/>
                  <w:vAlign w:val="center"/>
                </w:tcPr>
                <w:p w14:paraId="32D74C23">
                  <w:pPr>
                    <w:pStyle w:val="32"/>
                    <w:rPr>
                      <w:color w:val="auto"/>
                      <w:highlight w:val="none"/>
                    </w:rPr>
                  </w:pPr>
                  <w:r>
                    <w:rPr>
                      <w:rFonts w:hint="eastAsia"/>
                      <w:color w:val="auto"/>
                      <w:highlight w:val="none"/>
                    </w:rPr>
                    <w:t>抛光工序</w:t>
                  </w:r>
                </w:p>
              </w:tc>
              <w:tc>
                <w:tcPr>
                  <w:tcW w:w="0" w:type="auto"/>
                  <w:vAlign w:val="center"/>
                </w:tcPr>
                <w:p w14:paraId="39EBD617">
                  <w:pPr>
                    <w:pStyle w:val="32"/>
                    <w:rPr>
                      <w:color w:val="auto"/>
                      <w:highlight w:val="none"/>
                    </w:rPr>
                  </w:pPr>
                  <w:r>
                    <w:rPr>
                      <w:rFonts w:hint="eastAsia"/>
                      <w:color w:val="auto"/>
                      <w:highlight w:val="none"/>
                    </w:rPr>
                    <w:t>固态</w:t>
                  </w:r>
                </w:p>
              </w:tc>
              <w:tc>
                <w:tcPr>
                  <w:tcW w:w="0" w:type="auto"/>
                  <w:vAlign w:val="center"/>
                </w:tcPr>
                <w:p w14:paraId="1B697ABD">
                  <w:pPr>
                    <w:pStyle w:val="32"/>
                    <w:rPr>
                      <w:color w:val="auto"/>
                      <w:highlight w:val="none"/>
                    </w:rPr>
                  </w:pPr>
                  <w:r>
                    <w:rPr>
                      <w:rFonts w:hint="eastAsia"/>
                      <w:color w:val="auto"/>
                      <w:highlight w:val="none"/>
                    </w:rPr>
                    <w:t>羊毛</w:t>
                  </w:r>
                </w:p>
              </w:tc>
              <w:tc>
                <w:tcPr>
                  <w:tcW w:w="0" w:type="auto"/>
                  <w:vAlign w:val="center"/>
                </w:tcPr>
                <w:p w14:paraId="5B46BB1A">
                  <w:pPr>
                    <w:pStyle w:val="32"/>
                    <w:rPr>
                      <w:color w:val="auto"/>
                      <w:highlight w:val="none"/>
                    </w:rPr>
                  </w:pPr>
                  <w:r>
                    <w:rPr>
                      <w:color w:val="auto"/>
                      <w:highlight w:val="none"/>
                    </w:rPr>
                    <w:t>一般固废</w:t>
                  </w:r>
                </w:p>
              </w:tc>
              <w:tc>
                <w:tcPr>
                  <w:tcW w:w="0" w:type="auto"/>
                  <w:vAlign w:val="center"/>
                </w:tcPr>
                <w:p w14:paraId="78533BF3">
                  <w:pPr>
                    <w:pStyle w:val="32"/>
                    <w:rPr>
                      <w:color w:val="auto"/>
                      <w:highlight w:val="none"/>
                    </w:rPr>
                  </w:pPr>
                  <w:r>
                    <w:rPr>
                      <w:rFonts w:hint="eastAsia"/>
                      <w:color w:val="auto"/>
                      <w:highlight w:val="none"/>
                    </w:rPr>
                    <w:t>外售综合利用</w:t>
                  </w:r>
                </w:p>
              </w:tc>
            </w:tr>
            <w:tr w14:paraId="4CCA852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5ABD22FC">
                  <w:pPr>
                    <w:pStyle w:val="32"/>
                    <w:rPr>
                      <w:color w:val="auto"/>
                      <w:highlight w:val="none"/>
                    </w:rPr>
                  </w:pPr>
                  <w:r>
                    <w:rPr>
                      <w:rFonts w:hint="eastAsia"/>
                      <w:color w:val="auto"/>
                      <w:highlight w:val="none"/>
                    </w:rPr>
                    <w:t>2</w:t>
                  </w:r>
                </w:p>
              </w:tc>
              <w:tc>
                <w:tcPr>
                  <w:tcW w:w="0" w:type="auto"/>
                  <w:vAlign w:val="center"/>
                </w:tcPr>
                <w:p w14:paraId="5B7BE53E">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废漆渣</w:t>
                  </w:r>
                </w:p>
              </w:tc>
              <w:tc>
                <w:tcPr>
                  <w:tcW w:w="0" w:type="auto"/>
                  <w:vAlign w:val="center"/>
                </w:tcPr>
                <w:p w14:paraId="6B4B2AFC">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HW12</w:t>
                  </w:r>
                </w:p>
                <w:p w14:paraId="12F372DF">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900-252-12</w:t>
                  </w:r>
                </w:p>
              </w:tc>
              <w:tc>
                <w:tcPr>
                  <w:tcW w:w="0" w:type="auto"/>
                  <w:vAlign w:val="center"/>
                </w:tcPr>
                <w:p w14:paraId="274A28B9">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rPr>
                    <w:t>1.8</w:t>
                  </w:r>
                  <w:r>
                    <w:rPr>
                      <w:rFonts w:hint="eastAsia" w:ascii="Times New Roman" w:hAnsi="Times New Roman" w:eastAsia="宋体" w:cs="Times New Roman"/>
                      <w:color w:val="auto"/>
                      <w:szCs w:val="21"/>
                      <w:highlight w:val="none"/>
                      <w:lang w:val="en-US" w:eastAsia="zh-CN"/>
                    </w:rPr>
                    <w:t>63</w:t>
                  </w:r>
                </w:p>
              </w:tc>
              <w:tc>
                <w:tcPr>
                  <w:tcW w:w="0" w:type="auto"/>
                  <w:vAlign w:val="center"/>
                </w:tcPr>
                <w:p w14:paraId="2DB18D7D">
                  <w:pPr>
                    <w:pStyle w:val="32"/>
                    <w:rPr>
                      <w:color w:val="auto"/>
                      <w:highlight w:val="none"/>
                    </w:rPr>
                  </w:pPr>
                  <w:r>
                    <w:rPr>
                      <w:color w:val="auto"/>
                      <w:highlight w:val="none"/>
                    </w:rPr>
                    <w:t>喷漆工序</w:t>
                  </w:r>
                </w:p>
              </w:tc>
              <w:tc>
                <w:tcPr>
                  <w:tcW w:w="0" w:type="auto"/>
                  <w:vAlign w:val="center"/>
                </w:tcPr>
                <w:p w14:paraId="5977CF30">
                  <w:pPr>
                    <w:pStyle w:val="32"/>
                    <w:rPr>
                      <w:color w:val="auto"/>
                      <w:highlight w:val="none"/>
                    </w:rPr>
                  </w:pPr>
                  <w:r>
                    <w:rPr>
                      <w:color w:val="auto"/>
                      <w:highlight w:val="none"/>
                    </w:rPr>
                    <w:t>固态</w:t>
                  </w:r>
                </w:p>
              </w:tc>
              <w:tc>
                <w:tcPr>
                  <w:tcW w:w="0" w:type="auto"/>
                  <w:vAlign w:val="center"/>
                </w:tcPr>
                <w:p w14:paraId="3A6EF97F">
                  <w:pPr>
                    <w:pStyle w:val="32"/>
                    <w:rPr>
                      <w:color w:val="auto"/>
                      <w:highlight w:val="none"/>
                    </w:rPr>
                  </w:pPr>
                  <w:r>
                    <w:rPr>
                      <w:rFonts w:hint="eastAsia"/>
                      <w:color w:val="auto"/>
                      <w:highlight w:val="none"/>
                    </w:rPr>
                    <w:t>有机物</w:t>
                  </w:r>
                </w:p>
              </w:tc>
              <w:tc>
                <w:tcPr>
                  <w:tcW w:w="0" w:type="auto"/>
                  <w:vMerge w:val="restart"/>
                  <w:tcBorders>
                    <w:top w:val="single" w:color="auto" w:sz="4" w:space="0"/>
                  </w:tcBorders>
                  <w:vAlign w:val="center"/>
                </w:tcPr>
                <w:p w14:paraId="4990B9D0">
                  <w:pPr>
                    <w:pStyle w:val="32"/>
                    <w:rPr>
                      <w:color w:val="auto"/>
                      <w:highlight w:val="none"/>
                    </w:rPr>
                  </w:pPr>
                  <w:r>
                    <w:rPr>
                      <w:color w:val="auto"/>
                      <w:highlight w:val="none"/>
                    </w:rPr>
                    <w:t>危险</w:t>
                  </w:r>
                  <w:r>
                    <w:rPr>
                      <w:rFonts w:hint="eastAsia"/>
                      <w:color w:val="auto"/>
                      <w:highlight w:val="none"/>
                    </w:rPr>
                    <w:t>废物</w:t>
                  </w:r>
                </w:p>
              </w:tc>
              <w:tc>
                <w:tcPr>
                  <w:tcW w:w="0" w:type="auto"/>
                  <w:vMerge w:val="restart"/>
                  <w:tcBorders>
                    <w:top w:val="single" w:color="auto" w:sz="4" w:space="0"/>
                  </w:tcBorders>
                  <w:vAlign w:val="center"/>
                </w:tcPr>
                <w:p w14:paraId="18C8F6AC">
                  <w:pPr>
                    <w:pStyle w:val="32"/>
                    <w:rPr>
                      <w:color w:val="auto"/>
                      <w:highlight w:val="none"/>
                    </w:rPr>
                  </w:pPr>
                  <w:r>
                    <w:rPr>
                      <w:color w:val="auto"/>
                      <w:highlight w:val="none"/>
                    </w:rPr>
                    <w:t>暂存于危险废物暂存间，定期委托有资质的单位处置</w:t>
                  </w:r>
                </w:p>
              </w:tc>
            </w:tr>
            <w:tr w14:paraId="66DA08C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1919338C">
                  <w:pPr>
                    <w:pStyle w:val="32"/>
                    <w:rPr>
                      <w:color w:val="auto"/>
                      <w:highlight w:val="none"/>
                    </w:rPr>
                  </w:pPr>
                  <w:r>
                    <w:rPr>
                      <w:rFonts w:hint="eastAsia"/>
                      <w:color w:val="auto"/>
                      <w:highlight w:val="none"/>
                    </w:rPr>
                    <w:t>3</w:t>
                  </w:r>
                </w:p>
              </w:tc>
              <w:tc>
                <w:tcPr>
                  <w:tcW w:w="0" w:type="auto"/>
                  <w:vAlign w:val="center"/>
                </w:tcPr>
                <w:p w14:paraId="1A7E3F8D">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废</w:t>
                  </w:r>
                  <w:r>
                    <w:rPr>
                      <w:rFonts w:hint="eastAsia" w:ascii="Times New Roman" w:hAnsi="Times New Roman" w:eastAsia="宋体" w:cs="Times New Roman"/>
                      <w:color w:val="auto"/>
                      <w:szCs w:val="21"/>
                      <w:highlight w:val="none"/>
                    </w:rPr>
                    <w:t>涂料桶</w:t>
                  </w:r>
                </w:p>
              </w:tc>
              <w:tc>
                <w:tcPr>
                  <w:tcW w:w="0" w:type="auto"/>
                  <w:vAlign w:val="center"/>
                </w:tcPr>
                <w:p w14:paraId="4BAB05D3">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HW49</w:t>
                  </w:r>
                </w:p>
                <w:p w14:paraId="5A32B28B">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900-041-49</w:t>
                  </w:r>
                </w:p>
              </w:tc>
              <w:tc>
                <w:tcPr>
                  <w:tcW w:w="0" w:type="auto"/>
                  <w:vAlign w:val="center"/>
                </w:tcPr>
                <w:p w14:paraId="62E7A44D">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0.011</w:t>
                  </w:r>
                </w:p>
              </w:tc>
              <w:tc>
                <w:tcPr>
                  <w:tcW w:w="0" w:type="auto"/>
                  <w:vAlign w:val="center"/>
                </w:tcPr>
                <w:p w14:paraId="603BC25A">
                  <w:pPr>
                    <w:pStyle w:val="32"/>
                    <w:rPr>
                      <w:color w:val="auto"/>
                      <w:highlight w:val="none"/>
                    </w:rPr>
                  </w:pPr>
                  <w:r>
                    <w:rPr>
                      <w:rFonts w:hint="eastAsia"/>
                      <w:color w:val="auto"/>
                      <w:highlight w:val="none"/>
                    </w:rPr>
                    <w:t>/</w:t>
                  </w:r>
                </w:p>
              </w:tc>
              <w:tc>
                <w:tcPr>
                  <w:tcW w:w="0" w:type="auto"/>
                  <w:vAlign w:val="center"/>
                </w:tcPr>
                <w:p w14:paraId="7DC8E86F">
                  <w:pPr>
                    <w:pStyle w:val="32"/>
                    <w:rPr>
                      <w:color w:val="auto"/>
                      <w:highlight w:val="none"/>
                    </w:rPr>
                  </w:pPr>
                  <w:r>
                    <w:rPr>
                      <w:color w:val="auto"/>
                      <w:highlight w:val="none"/>
                    </w:rPr>
                    <w:t>固态</w:t>
                  </w:r>
                </w:p>
              </w:tc>
              <w:tc>
                <w:tcPr>
                  <w:tcW w:w="0" w:type="auto"/>
                  <w:vAlign w:val="center"/>
                </w:tcPr>
                <w:p w14:paraId="07CECA0E">
                  <w:pPr>
                    <w:pStyle w:val="32"/>
                    <w:rPr>
                      <w:color w:val="auto"/>
                      <w:highlight w:val="none"/>
                    </w:rPr>
                  </w:pPr>
                  <w:r>
                    <w:rPr>
                      <w:color w:val="auto"/>
                      <w:highlight w:val="none"/>
                    </w:rPr>
                    <w:t>包装桶</w:t>
                  </w:r>
                </w:p>
              </w:tc>
              <w:tc>
                <w:tcPr>
                  <w:tcW w:w="0" w:type="auto"/>
                  <w:vMerge w:val="continue"/>
                  <w:vAlign w:val="center"/>
                </w:tcPr>
                <w:p w14:paraId="4A9AE7CE">
                  <w:pPr>
                    <w:pStyle w:val="32"/>
                    <w:rPr>
                      <w:color w:val="auto"/>
                      <w:highlight w:val="none"/>
                    </w:rPr>
                  </w:pPr>
                </w:p>
              </w:tc>
              <w:tc>
                <w:tcPr>
                  <w:tcW w:w="0" w:type="auto"/>
                  <w:vMerge w:val="continue"/>
                  <w:vAlign w:val="center"/>
                </w:tcPr>
                <w:p w14:paraId="7FCD3B6A">
                  <w:pPr>
                    <w:pStyle w:val="32"/>
                    <w:rPr>
                      <w:color w:val="auto"/>
                      <w:highlight w:val="none"/>
                    </w:rPr>
                  </w:pPr>
                </w:p>
              </w:tc>
            </w:tr>
            <w:tr w14:paraId="77CE4A1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7EC5EBCF">
                  <w:pPr>
                    <w:pStyle w:val="32"/>
                    <w:rPr>
                      <w:color w:val="auto"/>
                      <w:highlight w:val="none"/>
                    </w:rPr>
                  </w:pPr>
                  <w:r>
                    <w:rPr>
                      <w:rFonts w:hint="eastAsia"/>
                      <w:color w:val="auto"/>
                      <w:highlight w:val="none"/>
                    </w:rPr>
                    <w:t>4</w:t>
                  </w:r>
                </w:p>
              </w:tc>
              <w:tc>
                <w:tcPr>
                  <w:tcW w:w="0" w:type="auto"/>
                  <w:vAlign w:val="center"/>
                </w:tcPr>
                <w:p w14:paraId="7344E16D">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废过滤棉</w:t>
                  </w:r>
                </w:p>
              </w:tc>
              <w:tc>
                <w:tcPr>
                  <w:tcW w:w="0" w:type="auto"/>
                  <w:vAlign w:val="center"/>
                </w:tcPr>
                <w:p w14:paraId="1F4431F1">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HW49</w:t>
                  </w:r>
                </w:p>
                <w:p w14:paraId="556D30B0">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900-041-49</w:t>
                  </w:r>
                </w:p>
              </w:tc>
              <w:tc>
                <w:tcPr>
                  <w:tcW w:w="0" w:type="auto"/>
                  <w:vAlign w:val="center"/>
                </w:tcPr>
                <w:p w14:paraId="6C3B12F4">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1.87</w:t>
                  </w:r>
                </w:p>
              </w:tc>
              <w:tc>
                <w:tcPr>
                  <w:tcW w:w="0" w:type="auto"/>
                  <w:vAlign w:val="center"/>
                </w:tcPr>
                <w:p w14:paraId="6725A948">
                  <w:pPr>
                    <w:pStyle w:val="32"/>
                    <w:rPr>
                      <w:color w:val="auto"/>
                      <w:highlight w:val="none"/>
                    </w:rPr>
                  </w:pPr>
                  <w:r>
                    <w:rPr>
                      <w:color w:val="auto"/>
                      <w:highlight w:val="none"/>
                    </w:rPr>
                    <w:t>废气治理设施</w:t>
                  </w:r>
                </w:p>
              </w:tc>
              <w:tc>
                <w:tcPr>
                  <w:tcW w:w="0" w:type="auto"/>
                  <w:vAlign w:val="center"/>
                </w:tcPr>
                <w:p w14:paraId="0A13F385">
                  <w:pPr>
                    <w:pStyle w:val="32"/>
                    <w:rPr>
                      <w:color w:val="auto"/>
                      <w:highlight w:val="none"/>
                    </w:rPr>
                  </w:pPr>
                  <w:r>
                    <w:rPr>
                      <w:color w:val="auto"/>
                      <w:highlight w:val="none"/>
                    </w:rPr>
                    <w:t>固态</w:t>
                  </w:r>
                </w:p>
              </w:tc>
              <w:tc>
                <w:tcPr>
                  <w:tcW w:w="0" w:type="auto"/>
                  <w:vAlign w:val="center"/>
                </w:tcPr>
                <w:p w14:paraId="2D64B04F">
                  <w:pPr>
                    <w:pStyle w:val="32"/>
                    <w:rPr>
                      <w:color w:val="auto"/>
                      <w:highlight w:val="none"/>
                    </w:rPr>
                  </w:pPr>
                  <w:r>
                    <w:rPr>
                      <w:color w:val="auto"/>
                      <w:highlight w:val="none"/>
                    </w:rPr>
                    <w:t>过滤棉</w:t>
                  </w:r>
                </w:p>
              </w:tc>
              <w:tc>
                <w:tcPr>
                  <w:tcW w:w="0" w:type="auto"/>
                  <w:vMerge w:val="continue"/>
                  <w:vAlign w:val="center"/>
                </w:tcPr>
                <w:p w14:paraId="5FD02BFE">
                  <w:pPr>
                    <w:pStyle w:val="32"/>
                    <w:rPr>
                      <w:color w:val="auto"/>
                      <w:highlight w:val="none"/>
                    </w:rPr>
                  </w:pPr>
                </w:p>
              </w:tc>
              <w:tc>
                <w:tcPr>
                  <w:tcW w:w="0" w:type="auto"/>
                  <w:vMerge w:val="continue"/>
                  <w:vAlign w:val="center"/>
                </w:tcPr>
                <w:p w14:paraId="5EAE4880">
                  <w:pPr>
                    <w:pStyle w:val="32"/>
                    <w:rPr>
                      <w:color w:val="auto"/>
                      <w:highlight w:val="none"/>
                    </w:rPr>
                  </w:pPr>
                </w:p>
              </w:tc>
            </w:tr>
            <w:tr w14:paraId="1C473ED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23C86592">
                  <w:pPr>
                    <w:pStyle w:val="32"/>
                    <w:rPr>
                      <w:color w:val="auto"/>
                      <w:highlight w:val="none"/>
                    </w:rPr>
                  </w:pPr>
                  <w:r>
                    <w:rPr>
                      <w:rFonts w:hint="eastAsia"/>
                      <w:color w:val="auto"/>
                      <w:highlight w:val="none"/>
                    </w:rPr>
                    <w:t>5</w:t>
                  </w:r>
                </w:p>
              </w:tc>
              <w:tc>
                <w:tcPr>
                  <w:tcW w:w="0" w:type="auto"/>
                  <w:vAlign w:val="center"/>
                </w:tcPr>
                <w:p w14:paraId="736E4B69">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废活性炭</w:t>
                  </w:r>
                </w:p>
              </w:tc>
              <w:tc>
                <w:tcPr>
                  <w:tcW w:w="0" w:type="auto"/>
                  <w:vAlign w:val="center"/>
                </w:tcPr>
                <w:p w14:paraId="17A5C667">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HW49</w:t>
                  </w:r>
                </w:p>
                <w:p w14:paraId="73150B99">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900-03-49</w:t>
                  </w:r>
                </w:p>
              </w:tc>
              <w:tc>
                <w:tcPr>
                  <w:tcW w:w="0" w:type="auto"/>
                  <w:vAlign w:val="center"/>
                </w:tcPr>
                <w:p w14:paraId="0EAF1749">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9.565</w:t>
                  </w:r>
                </w:p>
              </w:tc>
              <w:tc>
                <w:tcPr>
                  <w:tcW w:w="0" w:type="auto"/>
                  <w:vAlign w:val="center"/>
                </w:tcPr>
                <w:p w14:paraId="4BE7C23E">
                  <w:pPr>
                    <w:pStyle w:val="32"/>
                    <w:rPr>
                      <w:color w:val="auto"/>
                      <w:highlight w:val="none"/>
                    </w:rPr>
                  </w:pPr>
                  <w:r>
                    <w:rPr>
                      <w:color w:val="auto"/>
                      <w:highlight w:val="none"/>
                    </w:rPr>
                    <w:t>废气治理设施</w:t>
                  </w:r>
                </w:p>
              </w:tc>
              <w:tc>
                <w:tcPr>
                  <w:tcW w:w="0" w:type="auto"/>
                  <w:vAlign w:val="center"/>
                </w:tcPr>
                <w:p w14:paraId="4B946D6A">
                  <w:pPr>
                    <w:pStyle w:val="32"/>
                    <w:rPr>
                      <w:color w:val="auto"/>
                      <w:highlight w:val="none"/>
                    </w:rPr>
                  </w:pPr>
                  <w:r>
                    <w:rPr>
                      <w:color w:val="auto"/>
                      <w:highlight w:val="none"/>
                    </w:rPr>
                    <w:t>固态</w:t>
                  </w:r>
                </w:p>
              </w:tc>
              <w:tc>
                <w:tcPr>
                  <w:tcW w:w="0" w:type="auto"/>
                  <w:vAlign w:val="center"/>
                </w:tcPr>
                <w:p w14:paraId="38194CB5">
                  <w:pPr>
                    <w:pStyle w:val="32"/>
                    <w:rPr>
                      <w:color w:val="auto"/>
                      <w:highlight w:val="none"/>
                    </w:rPr>
                  </w:pPr>
                  <w:r>
                    <w:rPr>
                      <w:color w:val="auto"/>
                      <w:highlight w:val="none"/>
                    </w:rPr>
                    <w:t>活性炭</w:t>
                  </w:r>
                </w:p>
              </w:tc>
              <w:tc>
                <w:tcPr>
                  <w:tcW w:w="0" w:type="auto"/>
                  <w:vMerge w:val="continue"/>
                  <w:vAlign w:val="center"/>
                </w:tcPr>
                <w:p w14:paraId="6C7C5584">
                  <w:pPr>
                    <w:pStyle w:val="32"/>
                    <w:rPr>
                      <w:color w:val="auto"/>
                      <w:highlight w:val="none"/>
                    </w:rPr>
                  </w:pPr>
                </w:p>
              </w:tc>
              <w:tc>
                <w:tcPr>
                  <w:tcW w:w="0" w:type="auto"/>
                  <w:vMerge w:val="continue"/>
                  <w:vAlign w:val="center"/>
                </w:tcPr>
                <w:p w14:paraId="2F6C3194">
                  <w:pPr>
                    <w:pStyle w:val="32"/>
                    <w:rPr>
                      <w:color w:val="auto"/>
                      <w:highlight w:val="none"/>
                    </w:rPr>
                  </w:pPr>
                </w:p>
              </w:tc>
            </w:tr>
            <w:tr w14:paraId="22CFE71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17A79644">
                  <w:pPr>
                    <w:pStyle w:val="32"/>
                    <w:rPr>
                      <w:color w:val="auto"/>
                      <w:highlight w:val="none"/>
                    </w:rPr>
                  </w:pPr>
                  <w:r>
                    <w:rPr>
                      <w:rFonts w:hint="eastAsia"/>
                      <w:color w:val="auto"/>
                      <w:highlight w:val="none"/>
                    </w:rPr>
                    <w:t>6</w:t>
                  </w:r>
                </w:p>
              </w:tc>
              <w:tc>
                <w:tcPr>
                  <w:tcW w:w="0" w:type="auto"/>
                  <w:vAlign w:val="center"/>
                </w:tcPr>
                <w:p w14:paraId="258B7E1F">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水帘喷漆定期更换的废液</w:t>
                  </w:r>
                </w:p>
              </w:tc>
              <w:tc>
                <w:tcPr>
                  <w:tcW w:w="0" w:type="auto"/>
                  <w:vAlign w:val="center"/>
                </w:tcPr>
                <w:p w14:paraId="35DFD0E9">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HW49</w:t>
                  </w:r>
                </w:p>
                <w:p w14:paraId="5CBA80A8">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900-041-49</w:t>
                  </w:r>
                </w:p>
              </w:tc>
              <w:tc>
                <w:tcPr>
                  <w:tcW w:w="0" w:type="auto"/>
                  <w:vAlign w:val="center"/>
                </w:tcPr>
                <w:p w14:paraId="6666BA61">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12</w:t>
                  </w:r>
                </w:p>
              </w:tc>
              <w:tc>
                <w:tcPr>
                  <w:tcW w:w="0" w:type="auto"/>
                  <w:vAlign w:val="center"/>
                </w:tcPr>
                <w:p w14:paraId="02BE6623">
                  <w:pPr>
                    <w:pStyle w:val="32"/>
                    <w:rPr>
                      <w:color w:val="auto"/>
                      <w:highlight w:val="none"/>
                    </w:rPr>
                  </w:pPr>
                  <w:r>
                    <w:rPr>
                      <w:color w:val="auto"/>
                      <w:highlight w:val="none"/>
                    </w:rPr>
                    <w:t>废气治理设施</w:t>
                  </w:r>
                </w:p>
              </w:tc>
              <w:tc>
                <w:tcPr>
                  <w:tcW w:w="0" w:type="auto"/>
                  <w:vAlign w:val="center"/>
                </w:tcPr>
                <w:p w14:paraId="32F0BCB1">
                  <w:pPr>
                    <w:pStyle w:val="32"/>
                    <w:rPr>
                      <w:color w:val="auto"/>
                      <w:highlight w:val="none"/>
                    </w:rPr>
                  </w:pPr>
                  <w:r>
                    <w:rPr>
                      <w:color w:val="auto"/>
                      <w:highlight w:val="none"/>
                    </w:rPr>
                    <w:t>液态</w:t>
                  </w:r>
                </w:p>
              </w:tc>
              <w:tc>
                <w:tcPr>
                  <w:tcW w:w="0" w:type="auto"/>
                  <w:vAlign w:val="center"/>
                </w:tcPr>
                <w:p w14:paraId="0FE3B78C">
                  <w:pPr>
                    <w:pStyle w:val="32"/>
                    <w:rPr>
                      <w:color w:val="auto"/>
                      <w:highlight w:val="none"/>
                    </w:rPr>
                  </w:pPr>
                  <w:r>
                    <w:rPr>
                      <w:color w:val="auto"/>
                      <w:highlight w:val="none"/>
                    </w:rPr>
                    <w:t>水</w:t>
                  </w:r>
                </w:p>
              </w:tc>
              <w:tc>
                <w:tcPr>
                  <w:tcW w:w="0" w:type="auto"/>
                  <w:vMerge w:val="continue"/>
                  <w:vAlign w:val="center"/>
                </w:tcPr>
                <w:p w14:paraId="52CCC97B">
                  <w:pPr>
                    <w:pStyle w:val="32"/>
                    <w:rPr>
                      <w:color w:val="auto"/>
                      <w:highlight w:val="none"/>
                    </w:rPr>
                  </w:pPr>
                </w:p>
              </w:tc>
              <w:tc>
                <w:tcPr>
                  <w:tcW w:w="0" w:type="auto"/>
                  <w:vMerge w:val="continue"/>
                  <w:vAlign w:val="center"/>
                </w:tcPr>
                <w:p w14:paraId="4D69F2FE">
                  <w:pPr>
                    <w:pStyle w:val="32"/>
                    <w:rPr>
                      <w:color w:val="auto"/>
                      <w:highlight w:val="none"/>
                    </w:rPr>
                  </w:pPr>
                </w:p>
              </w:tc>
            </w:tr>
            <w:tr w14:paraId="511AA80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26BF72E0">
                  <w:pPr>
                    <w:pStyle w:val="32"/>
                    <w:rPr>
                      <w:color w:val="auto"/>
                      <w:highlight w:val="none"/>
                    </w:rPr>
                  </w:pPr>
                  <w:r>
                    <w:rPr>
                      <w:rFonts w:hint="eastAsia"/>
                      <w:color w:val="auto"/>
                      <w:highlight w:val="none"/>
                    </w:rPr>
                    <w:t>7</w:t>
                  </w:r>
                </w:p>
              </w:tc>
              <w:tc>
                <w:tcPr>
                  <w:tcW w:w="0" w:type="auto"/>
                  <w:vAlign w:val="center"/>
                </w:tcPr>
                <w:p w14:paraId="67CE8E70">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废润滑油桶</w:t>
                  </w:r>
                </w:p>
              </w:tc>
              <w:tc>
                <w:tcPr>
                  <w:tcW w:w="0" w:type="auto"/>
                  <w:vAlign w:val="center"/>
                </w:tcPr>
                <w:p w14:paraId="0D45B3F7">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HW49</w:t>
                  </w:r>
                </w:p>
                <w:p w14:paraId="3EDB8E08">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900-041-49</w:t>
                  </w:r>
                </w:p>
              </w:tc>
              <w:tc>
                <w:tcPr>
                  <w:tcW w:w="0" w:type="auto"/>
                  <w:vAlign w:val="center"/>
                </w:tcPr>
                <w:p w14:paraId="4BAB01C1">
                  <w:pPr>
                    <w:spacing w:line="276" w:lineRule="auto"/>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rPr>
                    <w:t>0.00</w:t>
                  </w:r>
                  <w:r>
                    <w:rPr>
                      <w:rFonts w:hint="eastAsia" w:ascii="Times New Roman" w:hAnsi="Times New Roman" w:eastAsia="宋体" w:cs="Times New Roman"/>
                      <w:color w:val="auto"/>
                      <w:szCs w:val="21"/>
                      <w:highlight w:val="none"/>
                      <w:lang w:val="en-US" w:eastAsia="zh-CN"/>
                    </w:rPr>
                    <w:t>2</w:t>
                  </w:r>
                </w:p>
              </w:tc>
              <w:tc>
                <w:tcPr>
                  <w:tcW w:w="0" w:type="auto"/>
                  <w:vMerge w:val="restart"/>
                  <w:vAlign w:val="center"/>
                </w:tcPr>
                <w:p w14:paraId="01B9F011">
                  <w:pPr>
                    <w:pStyle w:val="32"/>
                    <w:rPr>
                      <w:color w:val="auto"/>
                      <w:highlight w:val="none"/>
                    </w:rPr>
                  </w:pPr>
                  <w:r>
                    <w:rPr>
                      <w:rFonts w:hint="eastAsia"/>
                      <w:color w:val="auto"/>
                      <w:highlight w:val="none"/>
                    </w:rPr>
                    <w:t>生产设备检修</w:t>
                  </w:r>
                </w:p>
              </w:tc>
              <w:tc>
                <w:tcPr>
                  <w:tcW w:w="0" w:type="auto"/>
                  <w:vAlign w:val="center"/>
                </w:tcPr>
                <w:p w14:paraId="57737815">
                  <w:pPr>
                    <w:pStyle w:val="32"/>
                    <w:rPr>
                      <w:color w:val="auto"/>
                      <w:highlight w:val="none"/>
                    </w:rPr>
                  </w:pPr>
                  <w:r>
                    <w:rPr>
                      <w:rFonts w:hint="eastAsia"/>
                      <w:color w:val="auto"/>
                      <w:highlight w:val="none"/>
                    </w:rPr>
                    <w:t>固态</w:t>
                  </w:r>
                </w:p>
              </w:tc>
              <w:tc>
                <w:tcPr>
                  <w:tcW w:w="0" w:type="auto"/>
                  <w:vAlign w:val="center"/>
                </w:tcPr>
                <w:p w14:paraId="73232A89">
                  <w:pPr>
                    <w:pStyle w:val="32"/>
                    <w:rPr>
                      <w:color w:val="auto"/>
                      <w:highlight w:val="none"/>
                    </w:rPr>
                  </w:pPr>
                  <w:r>
                    <w:rPr>
                      <w:rFonts w:hint="eastAsia"/>
                      <w:color w:val="auto"/>
                      <w:highlight w:val="none"/>
                    </w:rPr>
                    <w:t>包装桶</w:t>
                  </w:r>
                </w:p>
              </w:tc>
              <w:tc>
                <w:tcPr>
                  <w:tcW w:w="0" w:type="auto"/>
                  <w:vMerge w:val="continue"/>
                  <w:vAlign w:val="center"/>
                </w:tcPr>
                <w:p w14:paraId="7DACE75B">
                  <w:pPr>
                    <w:pStyle w:val="32"/>
                    <w:rPr>
                      <w:color w:val="auto"/>
                      <w:highlight w:val="none"/>
                    </w:rPr>
                  </w:pPr>
                </w:p>
              </w:tc>
              <w:tc>
                <w:tcPr>
                  <w:tcW w:w="0" w:type="auto"/>
                  <w:vMerge w:val="continue"/>
                  <w:vAlign w:val="center"/>
                </w:tcPr>
                <w:p w14:paraId="0246EC05">
                  <w:pPr>
                    <w:pStyle w:val="32"/>
                    <w:rPr>
                      <w:color w:val="auto"/>
                      <w:highlight w:val="none"/>
                    </w:rPr>
                  </w:pPr>
                </w:p>
              </w:tc>
            </w:tr>
            <w:tr w14:paraId="38B642C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39186B3B">
                  <w:pPr>
                    <w:pStyle w:val="32"/>
                    <w:rPr>
                      <w:color w:val="auto"/>
                      <w:highlight w:val="none"/>
                    </w:rPr>
                  </w:pPr>
                  <w:r>
                    <w:rPr>
                      <w:rFonts w:hint="eastAsia"/>
                      <w:color w:val="auto"/>
                      <w:highlight w:val="none"/>
                    </w:rPr>
                    <w:t>8</w:t>
                  </w:r>
                </w:p>
              </w:tc>
              <w:tc>
                <w:tcPr>
                  <w:tcW w:w="0" w:type="auto"/>
                  <w:vAlign w:val="center"/>
                </w:tcPr>
                <w:p w14:paraId="690D2B8D">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废润滑油</w:t>
                  </w:r>
                </w:p>
              </w:tc>
              <w:tc>
                <w:tcPr>
                  <w:tcW w:w="0" w:type="auto"/>
                  <w:vAlign w:val="center"/>
                </w:tcPr>
                <w:p w14:paraId="566FF911">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HW08</w:t>
                  </w:r>
                </w:p>
                <w:p w14:paraId="53C5AFDB">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900-249-08</w:t>
                  </w:r>
                </w:p>
              </w:tc>
              <w:tc>
                <w:tcPr>
                  <w:tcW w:w="0" w:type="auto"/>
                  <w:vAlign w:val="center"/>
                </w:tcPr>
                <w:p w14:paraId="44C3AD74">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0.8</w:t>
                  </w:r>
                </w:p>
              </w:tc>
              <w:tc>
                <w:tcPr>
                  <w:tcW w:w="0" w:type="auto"/>
                  <w:vMerge w:val="continue"/>
                  <w:vAlign w:val="center"/>
                </w:tcPr>
                <w:p w14:paraId="706C4472">
                  <w:pPr>
                    <w:pStyle w:val="32"/>
                    <w:rPr>
                      <w:color w:val="auto"/>
                      <w:highlight w:val="none"/>
                    </w:rPr>
                  </w:pPr>
                </w:p>
              </w:tc>
              <w:tc>
                <w:tcPr>
                  <w:tcW w:w="0" w:type="auto"/>
                  <w:vAlign w:val="center"/>
                </w:tcPr>
                <w:p w14:paraId="1ACF6752">
                  <w:pPr>
                    <w:pStyle w:val="32"/>
                    <w:rPr>
                      <w:color w:val="auto"/>
                      <w:highlight w:val="none"/>
                    </w:rPr>
                  </w:pPr>
                  <w:r>
                    <w:rPr>
                      <w:rFonts w:hint="eastAsia"/>
                      <w:color w:val="auto"/>
                      <w:highlight w:val="none"/>
                    </w:rPr>
                    <w:t>液态</w:t>
                  </w:r>
                </w:p>
              </w:tc>
              <w:tc>
                <w:tcPr>
                  <w:tcW w:w="0" w:type="auto"/>
                  <w:vAlign w:val="center"/>
                </w:tcPr>
                <w:p w14:paraId="55D57CB6">
                  <w:pPr>
                    <w:pStyle w:val="32"/>
                    <w:rPr>
                      <w:color w:val="auto"/>
                      <w:highlight w:val="none"/>
                    </w:rPr>
                  </w:pPr>
                  <w:r>
                    <w:rPr>
                      <w:rFonts w:hint="eastAsia"/>
                      <w:color w:val="auto"/>
                      <w:highlight w:val="none"/>
                    </w:rPr>
                    <w:t>润滑油</w:t>
                  </w:r>
                </w:p>
              </w:tc>
              <w:tc>
                <w:tcPr>
                  <w:tcW w:w="0" w:type="auto"/>
                  <w:vMerge w:val="continue"/>
                  <w:vAlign w:val="center"/>
                </w:tcPr>
                <w:p w14:paraId="3829A4F1">
                  <w:pPr>
                    <w:pStyle w:val="32"/>
                    <w:rPr>
                      <w:color w:val="auto"/>
                      <w:highlight w:val="none"/>
                    </w:rPr>
                  </w:pPr>
                </w:p>
              </w:tc>
              <w:tc>
                <w:tcPr>
                  <w:tcW w:w="0" w:type="auto"/>
                  <w:vMerge w:val="continue"/>
                  <w:vAlign w:val="center"/>
                </w:tcPr>
                <w:p w14:paraId="0057B415">
                  <w:pPr>
                    <w:pStyle w:val="32"/>
                    <w:rPr>
                      <w:color w:val="auto"/>
                      <w:highlight w:val="none"/>
                    </w:rPr>
                  </w:pPr>
                </w:p>
              </w:tc>
            </w:tr>
            <w:tr w14:paraId="6BE228A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Align w:val="center"/>
                </w:tcPr>
                <w:p w14:paraId="6599F7D2">
                  <w:pPr>
                    <w:pStyle w:val="32"/>
                    <w:rPr>
                      <w:color w:val="auto"/>
                      <w:highlight w:val="none"/>
                    </w:rPr>
                  </w:pPr>
                  <w:r>
                    <w:rPr>
                      <w:rFonts w:hint="eastAsia"/>
                      <w:color w:val="auto"/>
                      <w:highlight w:val="none"/>
                    </w:rPr>
                    <w:t>9</w:t>
                  </w:r>
                </w:p>
              </w:tc>
              <w:tc>
                <w:tcPr>
                  <w:tcW w:w="0" w:type="auto"/>
                  <w:vAlign w:val="center"/>
                </w:tcPr>
                <w:p w14:paraId="2A422652">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生活垃圾</w:t>
                  </w:r>
                </w:p>
              </w:tc>
              <w:tc>
                <w:tcPr>
                  <w:tcW w:w="0" w:type="auto"/>
                  <w:vAlign w:val="center"/>
                </w:tcPr>
                <w:p w14:paraId="1B920F88">
                  <w:pPr>
                    <w:pStyle w:val="6"/>
                    <w:spacing w:after="0" w:line="276" w:lineRule="auto"/>
                    <w:jc w:val="center"/>
                    <w:rPr>
                      <w:rFonts w:ascii="Times New Roman" w:hAnsi="Times New Roman"/>
                      <w:color w:val="auto"/>
                      <w:highlight w:val="none"/>
                    </w:rPr>
                  </w:pPr>
                  <w:r>
                    <w:rPr>
                      <w:rFonts w:hint="eastAsia" w:ascii="Times New Roman" w:hAnsi="Times New Roman"/>
                      <w:color w:val="auto"/>
                      <w:highlight w:val="none"/>
                    </w:rPr>
                    <w:t>SW64</w:t>
                  </w:r>
                </w:p>
                <w:p w14:paraId="70267CA8">
                  <w:pPr>
                    <w:spacing w:line="276" w:lineRule="auto"/>
                    <w:jc w:val="center"/>
                    <w:rPr>
                      <w:rFonts w:ascii="Times New Roman" w:hAnsi="Times New Roman" w:eastAsia="宋体" w:cs="Times New Roman"/>
                      <w:color w:val="auto"/>
                      <w:szCs w:val="21"/>
                      <w:highlight w:val="none"/>
                    </w:rPr>
                  </w:pPr>
                  <w:r>
                    <w:rPr>
                      <w:rFonts w:hint="eastAsia" w:ascii="Times New Roman" w:hAnsi="Times New Roman"/>
                      <w:color w:val="auto"/>
                      <w:highlight w:val="none"/>
                    </w:rPr>
                    <w:t>900-099-S64</w:t>
                  </w:r>
                </w:p>
              </w:tc>
              <w:tc>
                <w:tcPr>
                  <w:tcW w:w="0" w:type="auto"/>
                  <w:vAlign w:val="center"/>
                </w:tcPr>
                <w:p w14:paraId="45E19872">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w:t>
                  </w:r>
                </w:p>
              </w:tc>
              <w:tc>
                <w:tcPr>
                  <w:tcW w:w="0" w:type="auto"/>
                  <w:vAlign w:val="center"/>
                </w:tcPr>
                <w:p w14:paraId="525F6876">
                  <w:pPr>
                    <w:pStyle w:val="32"/>
                    <w:rPr>
                      <w:color w:val="auto"/>
                      <w:highlight w:val="none"/>
                    </w:rPr>
                  </w:pPr>
                  <w:r>
                    <w:rPr>
                      <w:color w:val="auto"/>
                      <w:highlight w:val="none"/>
                    </w:rPr>
                    <w:t>员工生活</w:t>
                  </w:r>
                </w:p>
              </w:tc>
              <w:tc>
                <w:tcPr>
                  <w:tcW w:w="0" w:type="auto"/>
                  <w:vAlign w:val="center"/>
                </w:tcPr>
                <w:p w14:paraId="7FC2FB3F">
                  <w:pPr>
                    <w:pStyle w:val="32"/>
                    <w:rPr>
                      <w:color w:val="auto"/>
                      <w:highlight w:val="none"/>
                    </w:rPr>
                  </w:pPr>
                  <w:r>
                    <w:rPr>
                      <w:color w:val="auto"/>
                      <w:highlight w:val="none"/>
                    </w:rPr>
                    <w:t>固态</w:t>
                  </w:r>
                </w:p>
              </w:tc>
              <w:tc>
                <w:tcPr>
                  <w:tcW w:w="0" w:type="auto"/>
                  <w:vAlign w:val="center"/>
                </w:tcPr>
                <w:p w14:paraId="3E2CF9D0">
                  <w:pPr>
                    <w:pStyle w:val="32"/>
                    <w:rPr>
                      <w:color w:val="auto"/>
                      <w:highlight w:val="none"/>
                    </w:rPr>
                  </w:pPr>
                  <w:r>
                    <w:rPr>
                      <w:color w:val="auto"/>
                      <w:highlight w:val="none"/>
                    </w:rPr>
                    <w:t>/</w:t>
                  </w:r>
                </w:p>
              </w:tc>
              <w:tc>
                <w:tcPr>
                  <w:tcW w:w="0" w:type="auto"/>
                  <w:vAlign w:val="center"/>
                </w:tcPr>
                <w:p w14:paraId="61E10665">
                  <w:pPr>
                    <w:pStyle w:val="32"/>
                    <w:rPr>
                      <w:color w:val="auto"/>
                      <w:highlight w:val="none"/>
                    </w:rPr>
                  </w:pPr>
                  <w:r>
                    <w:rPr>
                      <w:color w:val="auto"/>
                      <w:highlight w:val="none"/>
                    </w:rPr>
                    <w:t>/</w:t>
                  </w:r>
                </w:p>
              </w:tc>
              <w:tc>
                <w:tcPr>
                  <w:tcW w:w="0" w:type="auto"/>
                  <w:vAlign w:val="center"/>
                </w:tcPr>
                <w:p w14:paraId="49CAD8E8">
                  <w:pPr>
                    <w:pStyle w:val="32"/>
                    <w:rPr>
                      <w:color w:val="auto"/>
                      <w:highlight w:val="none"/>
                    </w:rPr>
                  </w:pPr>
                  <w:r>
                    <w:rPr>
                      <w:color w:val="auto"/>
                      <w:highlight w:val="none"/>
                    </w:rPr>
                    <w:t>环卫部门清运</w:t>
                  </w:r>
                </w:p>
              </w:tc>
            </w:tr>
          </w:tbl>
          <w:p w14:paraId="70070ACA">
            <w:pPr>
              <w:spacing w:line="360" w:lineRule="auto"/>
              <w:jc w:val="center"/>
              <w:rPr>
                <w:color w:val="auto"/>
                <w:highlight w:val="none"/>
              </w:rPr>
            </w:pPr>
            <w:r>
              <w:rPr>
                <w:rFonts w:ascii="Times New Roman" w:hAnsi="Times New Roman" w:eastAsia="黑体" w:cs="Times New Roman"/>
                <w:color w:val="auto"/>
                <w:sz w:val="24"/>
                <w:szCs w:val="24"/>
                <w:highlight w:val="none"/>
              </w:rPr>
              <w:t>表</w:t>
            </w:r>
            <w:r>
              <w:rPr>
                <w:rFonts w:hint="eastAsia" w:ascii="Times New Roman" w:hAnsi="Times New Roman" w:eastAsia="黑体" w:cs="Times New Roman"/>
                <w:color w:val="auto"/>
                <w:sz w:val="24"/>
                <w:szCs w:val="24"/>
                <w:highlight w:val="none"/>
              </w:rPr>
              <w:t xml:space="preserve">4-14 </w:t>
            </w:r>
            <w:r>
              <w:rPr>
                <w:rFonts w:ascii="Times New Roman" w:hAnsi="Times New Roman" w:eastAsia="黑体" w:cs="Times New Roman"/>
                <w:color w:val="auto"/>
                <w:sz w:val="24"/>
                <w:szCs w:val="24"/>
                <w:highlight w:val="none"/>
              </w:rPr>
              <w:t>项目</w:t>
            </w:r>
            <w:r>
              <w:rPr>
                <w:rFonts w:hint="eastAsia" w:ascii="Times New Roman" w:hAnsi="Times New Roman" w:eastAsia="黑体" w:cs="Times New Roman"/>
                <w:color w:val="auto"/>
                <w:sz w:val="24"/>
                <w:szCs w:val="24"/>
                <w:highlight w:val="none"/>
              </w:rPr>
              <w:t>危险废物汇总表</w:t>
            </w:r>
          </w:p>
          <w:tbl>
            <w:tblPr>
              <w:tblStyle w:val="17"/>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69"/>
              <w:gridCol w:w="850"/>
              <w:gridCol w:w="839"/>
              <w:gridCol w:w="1196"/>
              <w:gridCol w:w="828"/>
              <w:gridCol w:w="1015"/>
              <w:gridCol w:w="938"/>
              <w:gridCol w:w="547"/>
              <w:gridCol w:w="896"/>
            </w:tblGrid>
            <w:tr w14:paraId="646BD43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493BA4B5">
                  <w:pPr>
                    <w:pStyle w:val="39"/>
                    <w:spacing w:line="276" w:lineRule="auto"/>
                    <w:rPr>
                      <w:b/>
                      <w:bCs/>
                      <w:color w:val="auto"/>
                      <w:sz w:val="21"/>
                      <w:szCs w:val="21"/>
                      <w:highlight w:val="none"/>
                    </w:rPr>
                  </w:pPr>
                  <w:r>
                    <w:rPr>
                      <w:b/>
                      <w:bCs/>
                      <w:color w:val="auto"/>
                      <w:sz w:val="21"/>
                      <w:szCs w:val="21"/>
                      <w:highlight w:val="none"/>
                    </w:rPr>
                    <w:t>序号</w:t>
                  </w:r>
                </w:p>
              </w:tc>
              <w:tc>
                <w:tcPr>
                  <w:tcW w:w="850" w:type="dxa"/>
                  <w:vAlign w:val="center"/>
                </w:tcPr>
                <w:p w14:paraId="62B6F5E7">
                  <w:pPr>
                    <w:pStyle w:val="39"/>
                    <w:spacing w:line="276" w:lineRule="auto"/>
                    <w:rPr>
                      <w:b/>
                      <w:bCs/>
                      <w:color w:val="auto"/>
                      <w:sz w:val="21"/>
                      <w:szCs w:val="21"/>
                      <w:highlight w:val="none"/>
                    </w:rPr>
                  </w:pPr>
                  <w:r>
                    <w:rPr>
                      <w:b/>
                      <w:bCs/>
                      <w:color w:val="auto"/>
                      <w:sz w:val="21"/>
                      <w:szCs w:val="21"/>
                      <w:highlight w:val="none"/>
                    </w:rPr>
                    <w:t>危险废物名称</w:t>
                  </w:r>
                </w:p>
              </w:tc>
              <w:tc>
                <w:tcPr>
                  <w:tcW w:w="839" w:type="dxa"/>
                  <w:vAlign w:val="center"/>
                </w:tcPr>
                <w:p w14:paraId="442116C2">
                  <w:pPr>
                    <w:pStyle w:val="39"/>
                    <w:spacing w:line="276" w:lineRule="auto"/>
                    <w:rPr>
                      <w:b/>
                      <w:bCs/>
                      <w:color w:val="auto"/>
                      <w:sz w:val="21"/>
                      <w:szCs w:val="21"/>
                      <w:highlight w:val="none"/>
                    </w:rPr>
                  </w:pPr>
                  <w:r>
                    <w:rPr>
                      <w:b/>
                      <w:bCs/>
                      <w:color w:val="auto"/>
                      <w:sz w:val="21"/>
                      <w:szCs w:val="21"/>
                      <w:highlight w:val="none"/>
                    </w:rPr>
                    <w:t>废物类别</w:t>
                  </w:r>
                </w:p>
              </w:tc>
              <w:tc>
                <w:tcPr>
                  <w:tcW w:w="1196" w:type="dxa"/>
                  <w:vAlign w:val="center"/>
                </w:tcPr>
                <w:p w14:paraId="06BB93BB">
                  <w:pPr>
                    <w:pStyle w:val="39"/>
                    <w:spacing w:line="276" w:lineRule="auto"/>
                    <w:rPr>
                      <w:b/>
                      <w:bCs/>
                      <w:color w:val="auto"/>
                      <w:sz w:val="21"/>
                      <w:szCs w:val="21"/>
                      <w:highlight w:val="none"/>
                    </w:rPr>
                  </w:pPr>
                  <w:r>
                    <w:rPr>
                      <w:b/>
                      <w:bCs/>
                      <w:color w:val="auto"/>
                      <w:sz w:val="21"/>
                      <w:szCs w:val="21"/>
                      <w:highlight w:val="none"/>
                    </w:rPr>
                    <w:t>废物</w:t>
                  </w:r>
                </w:p>
                <w:p w14:paraId="3CA43807">
                  <w:pPr>
                    <w:pStyle w:val="39"/>
                    <w:spacing w:line="276" w:lineRule="auto"/>
                    <w:rPr>
                      <w:b/>
                      <w:bCs/>
                      <w:color w:val="auto"/>
                      <w:sz w:val="21"/>
                      <w:szCs w:val="21"/>
                      <w:highlight w:val="none"/>
                    </w:rPr>
                  </w:pPr>
                  <w:r>
                    <w:rPr>
                      <w:b/>
                      <w:bCs/>
                      <w:color w:val="auto"/>
                      <w:sz w:val="21"/>
                      <w:szCs w:val="21"/>
                      <w:highlight w:val="none"/>
                    </w:rPr>
                    <w:t>代码</w:t>
                  </w:r>
                </w:p>
              </w:tc>
              <w:tc>
                <w:tcPr>
                  <w:tcW w:w="0" w:type="auto"/>
                  <w:vAlign w:val="center"/>
                </w:tcPr>
                <w:p w14:paraId="7E57CF61">
                  <w:pPr>
                    <w:pStyle w:val="39"/>
                    <w:spacing w:line="276" w:lineRule="auto"/>
                    <w:rPr>
                      <w:b/>
                      <w:bCs/>
                      <w:color w:val="auto"/>
                      <w:sz w:val="21"/>
                      <w:szCs w:val="21"/>
                      <w:highlight w:val="none"/>
                    </w:rPr>
                  </w:pPr>
                  <w:r>
                    <w:rPr>
                      <w:b/>
                      <w:bCs/>
                      <w:color w:val="auto"/>
                      <w:sz w:val="21"/>
                      <w:szCs w:val="21"/>
                      <w:highlight w:val="none"/>
                    </w:rPr>
                    <w:t>产生量（t）</w:t>
                  </w:r>
                </w:p>
              </w:tc>
              <w:tc>
                <w:tcPr>
                  <w:tcW w:w="0" w:type="auto"/>
                  <w:vAlign w:val="center"/>
                </w:tcPr>
                <w:p w14:paraId="36ACB19A">
                  <w:pPr>
                    <w:pStyle w:val="39"/>
                    <w:spacing w:line="276" w:lineRule="auto"/>
                    <w:rPr>
                      <w:b/>
                      <w:bCs/>
                      <w:color w:val="auto"/>
                      <w:sz w:val="21"/>
                      <w:szCs w:val="21"/>
                      <w:highlight w:val="none"/>
                    </w:rPr>
                  </w:pPr>
                  <w:r>
                    <w:rPr>
                      <w:b/>
                      <w:bCs/>
                      <w:color w:val="auto"/>
                      <w:sz w:val="21"/>
                      <w:szCs w:val="21"/>
                      <w:highlight w:val="none"/>
                    </w:rPr>
                    <w:t>贮存场所</w:t>
                  </w:r>
                  <w:r>
                    <w:rPr>
                      <w:rFonts w:hint="eastAsia"/>
                      <w:b/>
                      <w:bCs/>
                      <w:color w:val="auto"/>
                      <w:sz w:val="21"/>
                      <w:szCs w:val="21"/>
                      <w:highlight w:val="none"/>
                    </w:rPr>
                    <w:t>（设施）名称</w:t>
                  </w:r>
                </w:p>
              </w:tc>
              <w:tc>
                <w:tcPr>
                  <w:tcW w:w="0" w:type="auto"/>
                  <w:vAlign w:val="center"/>
                </w:tcPr>
                <w:p w14:paraId="2E356F97">
                  <w:pPr>
                    <w:pStyle w:val="39"/>
                    <w:spacing w:line="276" w:lineRule="auto"/>
                    <w:rPr>
                      <w:b/>
                      <w:bCs/>
                      <w:color w:val="auto"/>
                      <w:sz w:val="21"/>
                      <w:szCs w:val="21"/>
                      <w:highlight w:val="none"/>
                    </w:rPr>
                  </w:pPr>
                  <w:r>
                    <w:rPr>
                      <w:b/>
                      <w:bCs/>
                      <w:color w:val="auto"/>
                      <w:sz w:val="21"/>
                      <w:szCs w:val="21"/>
                      <w:highlight w:val="none"/>
                    </w:rPr>
                    <w:t>贮存能力（t）</w:t>
                  </w:r>
                </w:p>
              </w:tc>
              <w:tc>
                <w:tcPr>
                  <w:tcW w:w="0" w:type="auto"/>
                  <w:vAlign w:val="center"/>
                </w:tcPr>
                <w:p w14:paraId="13CAA21E">
                  <w:pPr>
                    <w:pStyle w:val="39"/>
                    <w:spacing w:line="276" w:lineRule="auto"/>
                    <w:rPr>
                      <w:b/>
                      <w:bCs/>
                      <w:color w:val="auto"/>
                      <w:sz w:val="21"/>
                      <w:szCs w:val="21"/>
                      <w:highlight w:val="none"/>
                    </w:rPr>
                  </w:pPr>
                  <w:r>
                    <w:rPr>
                      <w:b/>
                      <w:bCs/>
                      <w:color w:val="auto"/>
                      <w:sz w:val="21"/>
                      <w:szCs w:val="21"/>
                      <w:highlight w:val="none"/>
                    </w:rPr>
                    <w:t>贮存周期</w:t>
                  </w:r>
                </w:p>
              </w:tc>
              <w:tc>
                <w:tcPr>
                  <w:tcW w:w="0" w:type="auto"/>
                  <w:vAlign w:val="center"/>
                </w:tcPr>
                <w:p w14:paraId="12998EC0">
                  <w:pPr>
                    <w:pStyle w:val="39"/>
                    <w:spacing w:line="276" w:lineRule="auto"/>
                    <w:rPr>
                      <w:b/>
                      <w:bCs/>
                      <w:color w:val="auto"/>
                      <w:sz w:val="21"/>
                      <w:szCs w:val="21"/>
                      <w:highlight w:val="none"/>
                    </w:rPr>
                  </w:pPr>
                  <w:r>
                    <w:rPr>
                      <w:b/>
                      <w:bCs/>
                      <w:color w:val="auto"/>
                      <w:sz w:val="21"/>
                      <w:szCs w:val="21"/>
                      <w:highlight w:val="none"/>
                    </w:rPr>
                    <w:t>污染防治措施</w:t>
                  </w:r>
                </w:p>
              </w:tc>
            </w:tr>
            <w:tr w14:paraId="6EC9002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67E49E05">
                  <w:pPr>
                    <w:pStyle w:val="39"/>
                    <w:spacing w:line="276" w:lineRule="auto"/>
                    <w:rPr>
                      <w:color w:val="auto"/>
                      <w:sz w:val="21"/>
                      <w:szCs w:val="21"/>
                      <w:highlight w:val="none"/>
                    </w:rPr>
                  </w:pPr>
                  <w:r>
                    <w:rPr>
                      <w:rFonts w:hint="eastAsia"/>
                      <w:color w:val="auto"/>
                      <w:sz w:val="21"/>
                      <w:szCs w:val="21"/>
                      <w:highlight w:val="none"/>
                    </w:rPr>
                    <w:t>1</w:t>
                  </w:r>
                </w:p>
              </w:tc>
              <w:tc>
                <w:tcPr>
                  <w:tcW w:w="850" w:type="dxa"/>
                  <w:vAlign w:val="center"/>
                </w:tcPr>
                <w:p w14:paraId="0442E1D6">
                  <w:pPr>
                    <w:pStyle w:val="32"/>
                    <w:rPr>
                      <w:color w:val="auto"/>
                      <w:highlight w:val="none"/>
                    </w:rPr>
                  </w:pPr>
                  <w:r>
                    <w:rPr>
                      <w:color w:val="auto"/>
                      <w:highlight w:val="none"/>
                    </w:rPr>
                    <w:t>废漆渣</w:t>
                  </w:r>
                </w:p>
              </w:tc>
              <w:tc>
                <w:tcPr>
                  <w:tcW w:w="839" w:type="dxa"/>
                  <w:shd w:val="clear" w:color="auto" w:fill="auto"/>
                  <w:vAlign w:val="center"/>
                </w:tcPr>
                <w:p w14:paraId="370CB7DD">
                  <w:pPr>
                    <w:topLinePunct/>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HW12</w:t>
                  </w:r>
                </w:p>
              </w:tc>
              <w:tc>
                <w:tcPr>
                  <w:tcW w:w="1196" w:type="dxa"/>
                  <w:shd w:val="clear" w:color="auto" w:fill="auto"/>
                  <w:vAlign w:val="center"/>
                </w:tcPr>
                <w:p w14:paraId="3A176557">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900-252-12</w:t>
                  </w:r>
                </w:p>
              </w:tc>
              <w:tc>
                <w:tcPr>
                  <w:tcW w:w="0" w:type="auto"/>
                  <w:vAlign w:val="center"/>
                </w:tcPr>
                <w:p w14:paraId="3778AF52">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rPr>
                    <w:t>1.8</w:t>
                  </w:r>
                  <w:r>
                    <w:rPr>
                      <w:rFonts w:hint="eastAsia" w:ascii="Times New Roman" w:hAnsi="Times New Roman" w:eastAsia="宋体" w:cs="Times New Roman"/>
                      <w:color w:val="auto"/>
                      <w:szCs w:val="21"/>
                      <w:highlight w:val="none"/>
                      <w:lang w:val="en-US" w:eastAsia="zh-CN"/>
                    </w:rPr>
                    <w:t>63</w:t>
                  </w:r>
                </w:p>
              </w:tc>
              <w:tc>
                <w:tcPr>
                  <w:tcW w:w="1015" w:type="dxa"/>
                  <w:vMerge w:val="restart"/>
                  <w:vAlign w:val="center"/>
                </w:tcPr>
                <w:p w14:paraId="284FE600">
                  <w:pPr>
                    <w:pStyle w:val="39"/>
                    <w:spacing w:line="276" w:lineRule="auto"/>
                    <w:rPr>
                      <w:color w:val="auto"/>
                      <w:sz w:val="21"/>
                      <w:szCs w:val="21"/>
                      <w:highlight w:val="none"/>
                    </w:rPr>
                  </w:pPr>
                  <w:r>
                    <w:rPr>
                      <w:color w:val="auto"/>
                      <w:sz w:val="21"/>
                      <w:szCs w:val="21"/>
                      <w:highlight w:val="none"/>
                    </w:rPr>
                    <w:t>危险废物暂存间</w:t>
                  </w:r>
                </w:p>
              </w:tc>
              <w:tc>
                <w:tcPr>
                  <w:tcW w:w="0" w:type="auto"/>
                  <w:vAlign w:val="center"/>
                </w:tcPr>
                <w:p w14:paraId="07404494">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0.932</w:t>
                  </w:r>
                </w:p>
              </w:tc>
              <w:tc>
                <w:tcPr>
                  <w:tcW w:w="0" w:type="auto"/>
                  <w:vAlign w:val="center"/>
                </w:tcPr>
                <w:p w14:paraId="3FD966DD">
                  <w:pPr>
                    <w:jc w:val="center"/>
                    <w:rPr>
                      <w:rFonts w:hint="eastAsia" w:eastAsiaTheme="minorEastAsia"/>
                      <w:color w:val="auto"/>
                      <w:highlight w:val="none"/>
                      <w:lang w:eastAsia="zh-CN"/>
                    </w:rPr>
                  </w:pPr>
                  <w:r>
                    <w:rPr>
                      <w:rFonts w:hint="eastAsia"/>
                      <w:color w:val="auto"/>
                      <w:highlight w:val="none"/>
                      <w:lang w:val="en-US" w:eastAsia="zh-CN"/>
                    </w:rPr>
                    <w:t>半年</w:t>
                  </w:r>
                </w:p>
              </w:tc>
              <w:tc>
                <w:tcPr>
                  <w:tcW w:w="896" w:type="dxa"/>
                  <w:vMerge w:val="restart"/>
                  <w:vAlign w:val="center"/>
                </w:tcPr>
                <w:p w14:paraId="2A7EE039">
                  <w:pPr>
                    <w:pStyle w:val="39"/>
                    <w:spacing w:line="276" w:lineRule="auto"/>
                    <w:rPr>
                      <w:color w:val="auto"/>
                      <w:sz w:val="21"/>
                      <w:szCs w:val="21"/>
                      <w:highlight w:val="none"/>
                    </w:rPr>
                  </w:pPr>
                  <w:r>
                    <w:rPr>
                      <w:color w:val="auto"/>
                      <w:sz w:val="21"/>
                      <w:szCs w:val="21"/>
                      <w:highlight w:val="none"/>
                    </w:rPr>
                    <w:t>委托有资质单位定期处置</w:t>
                  </w:r>
                </w:p>
              </w:tc>
            </w:tr>
            <w:tr w14:paraId="110B4D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63B01C22">
                  <w:pPr>
                    <w:pStyle w:val="39"/>
                    <w:spacing w:line="276" w:lineRule="auto"/>
                    <w:rPr>
                      <w:color w:val="auto"/>
                      <w:sz w:val="21"/>
                      <w:szCs w:val="21"/>
                      <w:highlight w:val="none"/>
                    </w:rPr>
                  </w:pPr>
                  <w:r>
                    <w:rPr>
                      <w:rFonts w:hint="eastAsia"/>
                      <w:color w:val="auto"/>
                      <w:sz w:val="21"/>
                      <w:szCs w:val="21"/>
                      <w:highlight w:val="none"/>
                    </w:rPr>
                    <w:t>2</w:t>
                  </w:r>
                </w:p>
              </w:tc>
              <w:tc>
                <w:tcPr>
                  <w:tcW w:w="850" w:type="dxa"/>
                  <w:vAlign w:val="center"/>
                </w:tcPr>
                <w:p w14:paraId="2A9E7AF1">
                  <w:pPr>
                    <w:pStyle w:val="32"/>
                    <w:rPr>
                      <w:color w:val="auto"/>
                      <w:highlight w:val="none"/>
                    </w:rPr>
                  </w:pPr>
                  <w:r>
                    <w:rPr>
                      <w:color w:val="auto"/>
                      <w:highlight w:val="none"/>
                    </w:rPr>
                    <w:t>废</w:t>
                  </w:r>
                  <w:r>
                    <w:rPr>
                      <w:rFonts w:hint="eastAsia"/>
                      <w:color w:val="auto"/>
                      <w:highlight w:val="none"/>
                    </w:rPr>
                    <w:t>涂料桶</w:t>
                  </w:r>
                </w:p>
              </w:tc>
              <w:tc>
                <w:tcPr>
                  <w:tcW w:w="839" w:type="dxa"/>
                  <w:shd w:val="clear" w:color="auto" w:fill="auto"/>
                  <w:vAlign w:val="center"/>
                </w:tcPr>
                <w:p w14:paraId="47471B38">
                  <w:pPr>
                    <w:topLinePunct/>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HW49</w:t>
                  </w:r>
                </w:p>
              </w:tc>
              <w:tc>
                <w:tcPr>
                  <w:tcW w:w="1196" w:type="dxa"/>
                  <w:shd w:val="clear" w:color="auto" w:fill="auto"/>
                  <w:vAlign w:val="center"/>
                </w:tcPr>
                <w:p w14:paraId="4E31846E">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900-041-49</w:t>
                  </w:r>
                </w:p>
              </w:tc>
              <w:tc>
                <w:tcPr>
                  <w:tcW w:w="0" w:type="auto"/>
                  <w:vAlign w:val="center"/>
                </w:tcPr>
                <w:p w14:paraId="77255810">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0.011</w:t>
                  </w:r>
                </w:p>
              </w:tc>
              <w:tc>
                <w:tcPr>
                  <w:tcW w:w="1015" w:type="dxa"/>
                  <w:vMerge w:val="continue"/>
                  <w:vAlign w:val="center"/>
                </w:tcPr>
                <w:p w14:paraId="501D437C">
                  <w:pPr>
                    <w:pStyle w:val="39"/>
                    <w:spacing w:line="276" w:lineRule="auto"/>
                    <w:rPr>
                      <w:color w:val="auto"/>
                      <w:sz w:val="21"/>
                      <w:szCs w:val="21"/>
                      <w:highlight w:val="none"/>
                    </w:rPr>
                  </w:pPr>
                </w:p>
              </w:tc>
              <w:tc>
                <w:tcPr>
                  <w:tcW w:w="0" w:type="auto"/>
                  <w:vAlign w:val="center"/>
                </w:tcPr>
                <w:p w14:paraId="0FEEDB76">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0.0055</w:t>
                  </w:r>
                </w:p>
              </w:tc>
              <w:tc>
                <w:tcPr>
                  <w:tcW w:w="0" w:type="auto"/>
                  <w:vAlign w:val="center"/>
                </w:tcPr>
                <w:p w14:paraId="00E18D71">
                  <w:pPr>
                    <w:jc w:val="center"/>
                    <w:rPr>
                      <w:rFonts w:hint="eastAsia" w:eastAsiaTheme="minorEastAsia"/>
                      <w:color w:val="auto"/>
                      <w:highlight w:val="none"/>
                      <w:lang w:eastAsia="zh-CN"/>
                    </w:rPr>
                  </w:pPr>
                  <w:r>
                    <w:rPr>
                      <w:rFonts w:hint="eastAsia"/>
                      <w:color w:val="auto"/>
                      <w:highlight w:val="none"/>
                      <w:lang w:val="en-US" w:eastAsia="zh-CN"/>
                    </w:rPr>
                    <w:t>半年</w:t>
                  </w:r>
                </w:p>
              </w:tc>
              <w:tc>
                <w:tcPr>
                  <w:tcW w:w="896" w:type="dxa"/>
                  <w:vMerge w:val="continue"/>
                  <w:vAlign w:val="center"/>
                </w:tcPr>
                <w:p w14:paraId="274AF289">
                  <w:pPr>
                    <w:pStyle w:val="39"/>
                    <w:spacing w:line="276" w:lineRule="auto"/>
                    <w:rPr>
                      <w:color w:val="auto"/>
                      <w:sz w:val="21"/>
                      <w:szCs w:val="21"/>
                      <w:highlight w:val="none"/>
                    </w:rPr>
                  </w:pPr>
                </w:p>
              </w:tc>
            </w:tr>
            <w:tr w14:paraId="7F4E9B5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46863D8F">
                  <w:pPr>
                    <w:pStyle w:val="39"/>
                    <w:spacing w:line="276" w:lineRule="auto"/>
                    <w:rPr>
                      <w:color w:val="auto"/>
                      <w:sz w:val="21"/>
                      <w:szCs w:val="21"/>
                      <w:highlight w:val="none"/>
                    </w:rPr>
                  </w:pPr>
                  <w:r>
                    <w:rPr>
                      <w:rFonts w:hint="eastAsia"/>
                      <w:color w:val="auto"/>
                      <w:sz w:val="21"/>
                      <w:szCs w:val="21"/>
                      <w:highlight w:val="none"/>
                    </w:rPr>
                    <w:t>3</w:t>
                  </w:r>
                </w:p>
              </w:tc>
              <w:tc>
                <w:tcPr>
                  <w:tcW w:w="850" w:type="dxa"/>
                  <w:vAlign w:val="center"/>
                </w:tcPr>
                <w:p w14:paraId="70458269">
                  <w:pPr>
                    <w:pStyle w:val="32"/>
                    <w:rPr>
                      <w:color w:val="auto"/>
                      <w:highlight w:val="none"/>
                    </w:rPr>
                  </w:pPr>
                  <w:r>
                    <w:rPr>
                      <w:color w:val="auto"/>
                      <w:highlight w:val="none"/>
                    </w:rPr>
                    <w:t>废过滤棉</w:t>
                  </w:r>
                </w:p>
              </w:tc>
              <w:tc>
                <w:tcPr>
                  <w:tcW w:w="839" w:type="dxa"/>
                  <w:shd w:val="clear" w:color="auto" w:fill="auto"/>
                  <w:vAlign w:val="center"/>
                </w:tcPr>
                <w:p w14:paraId="0D191534">
                  <w:pPr>
                    <w:topLinePunct/>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HW49</w:t>
                  </w:r>
                </w:p>
              </w:tc>
              <w:tc>
                <w:tcPr>
                  <w:tcW w:w="1196" w:type="dxa"/>
                  <w:shd w:val="clear" w:color="auto" w:fill="auto"/>
                  <w:vAlign w:val="center"/>
                </w:tcPr>
                <w:p w14:paraId="38B384D3">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900-041-49</w:t>
                  </w:r>
                </w:p>
              </w:tc>
              <w:tc>
                <w:tcPr>
                  <w:tcW w:w="0" w:type="auto"/>
                  <w:vAlign w:val="center"/>
                </w:tcPr>
                <w:p w14:paraId="68ACECBF">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1.87</w:t>
                  </w:r>
                </w:p>
              </w:tc>
              <w:tc>
                <w:tcPr>
                  <w:tcW w:w="1015" w:type="dxa"/>
                  <w:vMerge w:val="continue"/>
                  <w:vAlign w:val="center"/>
                </w:tcPr>
                <w:p w14:paraId="435E27CB">
                  <w:pPr>
                    <w:pStyle w:val="39"/>
                    <w:spacing w:line="276" w:lineRule="auto"/>
                    <w:rPr>
                      <w:color w:val="auto"/>
                      <w:sz w:val="21"/>
                      <w:szCs w:val="21"/>
                      <w:highlight w:val="none"/>
                    </w:rPr>
                  </w:pPr>
                </w:p>
              </w:tc>
              <w:tc>
                <w:tcPr>
                  <w:tcW w:w="0" w:type="auto"/>
                  <w:vAlign w:val="center"/>
                </w:tcPr>
                <w:p w14:paraId="64135826">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0.935</w:t>
                  </w:r>
                </w:p>
              </w:tc>
              <w:tc>
                <w:tcPr>
                  <w:tcW w:w="0" w:type="auto"/>
                  <w:vAlign w:val="center"/>
                </w:tcPr>
                <w:p w14:paraId="5ABE9C5C">
                  <w:pPr>
                    <w:jc w:val="center"/>
                    <w:rPr>
                      <w:color w:val="auto"/>
                      <w:highlight w:val="none"/>
                    </w:rPr>
                  </w:pPr>
                  <w:r>
                    <w:rPr>
                      <w:rFonts w:hint="eastAsia"/>
                      <w:color w:val="auto"/>
                      <w:highlight w:val="none"/>
                    </w:rPr>
                    <w:t>半年</w:t>
                  </w:r>
                </w:p>
              </w:tc>
              <w:tc>
                <w:tcPr>
                  <w:tcW w:w="896" w:type="dxa"/>
                  <w:vMerge w:val="continue"/>
                  <w:vAlign w:val="center"/>
                </w:tcPr>
                <w:p w14:paraId="6CA433F9">
                  <w:pPr>
                    <w:pStyle w:val="39"/>
                    <w:spacing w:line="276" w:lineRule="auto"/>
                    <w:rPr>
                      <w:color w:val="auto"/>
                      <w:sz w:val="21"/>
                      <w:szCs w:val="21"/>
                      <w:highlight w:val="none"/>
                    </w:rPr>
                  </w:pPr>
                </w:p>
              </w:tc>
            </w:tr>
            <w:tr w14:paraId="3A697AE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3E96CBEE">
                  <w:pPr>
                    <w:pStyle w:val="39"/>
                    <w:spacing w:line="276" w:lineRule="auto"/>
                    <w:rPr>
                      <w:color w:val="auto"/>
                      <w:sz w:val="21"/>
                      <w:szCs w:val="21"/>
                      <w:highlight w:val="none"/>
                    </w:rPr>
                  </w:pPr>
                  <w:r>
                    <w:rPr>
                      <w:rFonts w:hint="eastAsia"/>
                      <w:color w:val="auto"/>
                      <w:sz w:val="21"/>
                      <w:szCs w:val="21"/>
                      <w:highlight w:val="none"/>
                    </w:rPr>
                    <w:t>4</w:t>
                  </w:r>
                </w:p>
              </w:tc>
              <w:tc>
                <w:tcPr>
                  <w:tcW w:w="850" w:type="dxa"/>
                  <w:vAlign w:val="center"/>
                </w:tcPr>
                <w:p w14:paraId="693DABDD">
                  <w:pPr>
                    <w:pStyle w:val="32"/>
                    <w:rPr>
                      <w:color w:val="auto"/>
                      <w:highlight w:val="none"/>
                    </w:rPr>
                  </w:pPr>
                  <w:r>
                    <w:rPr>
                      <w:color w:val="auto"/>
                      <w:highlight w:val="none"/>
                    </w:rPr>
                    <w:t>废活性炭</w:t>
                  </w:r>
                </w:p>
              </w:tc>
              <w:tc>
                <w:tcPr>
                  <w:tcW w:w="839" w:type="dxa"/>
                  <w:shd w:val="clear" w:color="auto" w:fill="auto"/>
                  <w:vAlign w:val="center"/>
                </w:tcPr>
                <w:p w14:paraId="6538F5DD">
                  <w:pPr>
                    <w:topLinePunct/>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HW49</w:t>
                  </w:r>
                </w:p>
              </w:tc>
              <w:tc>
                <w:tcPr>
                  <w:tcW w:w="1196" w:type="dxa"/>
                  <w:shd w:val="clear" w:color="auto" w:fill="auto"/>
                  <w:vAlign w:val="center"/>
                </w:tcPr>
                <w:p w14:paraId="58AFF6B9">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900-039-49</w:t>
                  </w:r>
                </w:p>
              </w:tc>
              <w:tc>
                <w:tcPr>
                  <w:tcW w:w="0" w:type="auto"/>
                  <w:vAlign w:val="center"/>
                </w:tcPr>
                <w:p w14:paraId="17FEA34A">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9.565</w:t>
                  </w:r>
                </w:p>
              </w:tc>
              <w:tc>
                <w:tcPr>
                  <w:tcW w:w="1015" w:type="dxa"/>
                  <w:vMerge w:val="continue"/>
                  <w:vAlign w:val="center"/>
                </w:tcPr>
                <w:p w14:paraId="2F3833EB">
                  <w:pPr>
                    <w:pStyle w:val="39"/>
                    <w:spacing w:line="276" w:lineRule="auto"/>
                    <w:rPr>
                      <w:color w:val="auto"/>
                      <w:sz w:val="21"/>
                      <w:szCs w:val="21"/>
                      <w:highlight w:val="none"/>
                    </w:rPr>
                  </w:pPr>
                </w:p>
              </w:tc>
              <w:tc>
                <w:tcPr>
                  <w:tcW w:w="0" w:type="auto"/>
                  <w:vAlign w:val="center"/>
                </w:tcPr>
                <w:p w14:paraId="0DFCA750">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0.797</w:t>
                  </w:r>
                </w:p>
              </w:tc>
              <w:tc>
                <w:tcPr>
                  <w:tcW w:w="0" w:type="auto"/>
                  <w:vAlign w:val="center"/>
                </w:tcPr>
                <w:p w14:paraId="6336D366">
                  <w:pPr>
                    <w:jc w:val="center"/>
                    <w:rPr>
                      <w:rFonts w:hint="default"/>
                      <w:color w:val="auto"/>
                      <w:highlight w:val="none"/>
                      <w:lang w:val="en-US"/>
                    </w:rPr>
                  </w:pPr>
                  <w:r>
                    <w:rPr>
                      <w:rFonts w:hint="eastAsia"/>
                      <w:color w:val="auto"/>
                      <w:highlight w:val="none"/>
                      <w:lang w:val="en-US" w:eastAsia="zh-CN"/>
                    </w:rPr>
                    <w:t>1个月</w:t>
                  </w:r>
                </w:p>
              </w:tc>
              <w:tc>
                <w:tcPr>
                  <w:tcW w:w="896" w:type="dxa"/>
                  <w:vMerge w:val="continue"/>
                  <w:vAlign w:val="center"/>
                </w:tcPr>
                <w:p w14:paraId="58C989BD">
                  <w:pPr>
                    <w:pStyle w:val="39"/>
                    <w:spacing w:line="276" w:lineRule="auto"/>
                    <w:rPr>
                      <w:color w:val="auto"/>
                      <w:sz w:val="21"/>
                      <w:szCs w:val="21"/>
                      <w:highlight w:val="none"/>
                    </w:rPr>
                  </w:pPr>
                </w:p>
              </w:tc>
            </w:tr>
            <w:tr w14:paraId="3E97E1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5CDA10C8">
                  <w:pPr>
                    <w:pStyle w:val="39"/>
                    <w:spacing w:line="276" w:lineRule="auto"/>
                    <w:rPr>
                      <w:color w:val="auto"/>
                      <w:sz w:val="21"/>
                      <w:szCs w:val="21"/>
                      <w:highlight w:val="none"/>
                    </w:rPr>
                  </w:pPr>
                  <w:r>
                    <w:rPr>
                      <w:rFonts w:hint="eastAsia"/>
                      <w:color w:val="auto"/>
                      <w:sz w:val="21"/>
                      <w:szCs w:val="21"/>
                      <w:highlight w:val="none"/>
                    </w:rPr>
                    <w:t>5</w:t>
                  </w:r>
                </w:p>
              </w:tc>
              <w:tc>
                <w:tcPr>
                  <w:tcW w:w="850" w:type="dxa"/>
                  <w:vAlign w:val="center"/>
                </w:tcPr>
                <w:p w14:paraId="6C5D1C7E">
                  <w:pPr>
                    <w:pStyle w:val="32"/>
                    <w:rPr>
                      <w:color w:val="auto"/>
                      <w:highlight w:val="none"/>
                    </w:rPr>
                  </w:pPr>
                  <w:r>
                    <w:rPr>
                      <w:color w:val="auto"/>
                      <w:highlight w:val="none"/>
                    </w:rPr>
                    <w:t>水帘喷漆定期更换的废液</w:t>
                  </w:r>
                </w:p>
              </w:tc>
              <w:tc>
                <w:tcPr>
                  <w:tcW w:w="839" w:type="dxa"/>
                  <w:shd w:val="clear" w:color="auto" w:fill="auto"/>
                  <w:vAlign w:val="center"/>
                </w:tcPr>
                <w:p w14:paraId="4E4378D0">
                  <w:pPr>
                    <w:topLinePunct/>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HW49</w:t>
                  </w:r>
                </w:p>
              </w:tc>
              <w:tc>
                <w:tcPr>
                  <w:tcW w:w="1196" w:type="dxa"/>
                  <w:shd w:val="clear" w:color="auto" w:fill="auto"/>
                  <w:vAlign w:val="center"/>
                </w:tcPr>
                <w:p w14:paraId="2D818507">
                  <w:pPr>
                    <w:spacing w:line="276" w:lineRule="auto"/>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900-041-49</w:t>
                  </w:r>
                </w:p>
              </w:tc>
              <w:tc>
                <w:tcPr>
                  <w:tcW w:w="0" w:type="auto"/>
                  <w:vAlign w:val="center"/>
                </w:tcPr>
                <w:p w14:paraId="377F7A5C">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12</w:t>
                  </w:r>
                </w:p>
              </w:tc>
              <w:tc>
                <w:tcPr>
                  <w:tcW w:w="1015" w:type="dxa"/>
                  <w:vMerge w:val="continue"/>
                  <w:vAlign w:val="center"/>
                </w:tcPr>
                <w:p w14:paraId="3CFE56C1">
                  <w:pPr>
                    <w:pStyle w:val="39"/>
                    <w:spacing w:line="276" w:lineRule="auto"/>
                    <w:rPr>
                      <w:color w:val="auto"/>
                      <w:sz w:val="21"/>
                      <w:szCs w:val="21"/>
                      <w:highlight w:val="none"/>
                    </w:rPr>
                  </w:pPr>
                </w:p>
              </w:tc>
              <w:tc>
                <w:tcPr>
                  <w:tcW w:w="0" w:type="auto"/>
                  <w:vAlign w:val="center"/>
                </w:tcPr>
                <w:p w14:paraId="244A2412">
                  <w:pPr>
                    <w:spacing w:line="276" w:lineRule="auto"/>
                    <w:jc w:val="center"/>
                    <w:rPr>
                      <w:rFonts w:hint="eastAsia" w:ascii="Times New Roman" w:hAnsi="Times New Roman" w:eastAsia="宋体" w:cs="Times New Roman"/>
                      <w:color w:val="auto"/>
                      <w:szCs w:val="21"/>
                      <w:highlight w:val="none"/>
                      <w:lang w:eastAsia="zh-CN"/>
                    </w:rPr>
                  </w:pPr>
                  <w:r>
                    <w:rPr>
                      <w:rFonts w:hint="eastAsia" w:ascii="Times New Roman" w:hAnsi="Times New Roman" w:eastAsia="宋体" w:cs="Times New Roman"/>
                      <w:color w:val="auto"/>
                      <w:szCs w:val="21"/>
                      <w:highlight w:val="none"/>
                      <w:lang w:val="en-US" w:eastAsia="zh-CN"/>
                    </w:rPr>
                    <w:t>6</w:t>
                  </w:r>
                </w:p>
              </w:tc>
              <w:tc>
                <w:tcPr>
                  <w:tcW w:w="0" w:type="auto"/>
                  <w:vAlign w:val="center"/>
                </w:tcPr>
                <w:p w14:paraId="4E11DDE3">
                  <w:pPr>
                    <w:jc w:val="center"/>
                    <w:rPr>
                      <w:rFonts w:hint="eastAsia"/>
                      <w:color w:val="auto"/>
                      <w:highlight w:val="none"/>
                    </w:rPr>
                  </w:pPr>
                  <w:r>
                    <w:rPr>
                      <w:rFonts w:hint="eastAsia"/>
                      <w:color w:val="auto"/>
                      <w:highlight w:val="none"/>
                      <w:lang w:val="en-US" w:eastAsia="zh-CN"/>
                    </w:rPr>
                    <w:t>半年</w:t>
                  </w:r>
                </w:p>
              </w:tc>
              <w:tc>
                <w:tcPr>
                  <w:tcW w:w="896" w:type="dxa"/>
                  <w:vMerge w:val="continue"/>
                  <w:vAlign w:val="center"/>
                </w:tcPr>
                <w:p w14:paraId="68B04854">
                  <w:pPr>
                    <w:pStyle w:val="39"/>
                    <w:spacing w:line="276" w:lineRule="auto"/>
                    <w:rPr>
                      <w:color w:val="auto"/>
                      <w:sz w:val="21"/>
                      <w:szCs w:val="21"/>
                      <w:highlight w:val="none"/>
                    </w:rPr>
                  </w:pPr>
                </w:p>
              </w:tc>
            </w:tr>
            <w:tr w14:paraId="36297D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79A25F25">
                  <w:pPr>
                    <w:pStyle w:val="39"/>
                    <w:spacing w:line="276" w:lineRule="auto"/>
                    <w:rPr>
                      <w:color w:val="auto"/>
                      <w:sz w:val="21"/>
                      <w:szCs w:val="21"/>
                      <w:highlight w:val="none"/>
                    </w:rPr>
                  </w:pPr>
                  <w:r>
                    <w:rPr>
                      <w:rFonts w:hint="eastAsia"/>
                      <w:color w:val="auto"/>
                      <w:sz w:val="21"/>
                      <w:szCs w:val="21"/>
                      <w:highlight w:val="none"/>
                    </w:rPr>
                    <w:t>6</w:t>
                  </w:r>
                </w:p>
              </w:tc>
              <w:tc>
                <w:tcPr>
                  <w:tcW w:w="850" w:type="dxa"/>
                  <w:vAlign w:val="center"/>
                </w:tcPr>
                <w:p w14:paraId="28E9FDD9">
                  <w:pPr>
                    <w:pStyle w:val="32"/>
                    <w:rPr>
                      <w:color w:val="auto"/>
                      <w:highlight w:val="none"/>
                    </w:rPr>
                  </w:pPr>
                  <w:r>
                    <w:rPr>
                      <w:rFonts w:hint="eastAsia"/>
                      <w:color w:val="auto"/>
                      <w:highlight w:val="none"/>
                    </w:rPr>
                    <w:t>废润滑油桶</w:t>
                  </w:r>
                </w:p>
              </w:tc>
              <w:tc>
                <w:tcPr>
                  <w:tcW w:w="839" w:type="dxa"/>
                  <w:shd w:val="clear" w:color="auto" w:fill="auto"/>
                  <w:vAlign w:val="center"/>
                </w:tcPr>
                <w:p w14:paraId="130D0519">
                  <w:pPr>
                    <w:topLinePunct/>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HW49</w:t>
                  </w:r>
                </w:p>
              </w:tc>
              <w:tc>
                <w:tcPr>
                  <w:tcW w:w="1196" w:type="dxa"/>
                  <w:shd w:val="clear" w:color="auto" w:fill="auto"/>
                  <w:vAlign w:val="center"/>
                </w:tcPr>
                <w:p w14:paraId="18E3E934">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900-041-49</w:t>
                  </w:r>
                </w:p>
              </w:tc>
              <w:tc>
                <w:tcPr>
                  <w:tcW w:w="0" w:type="auto"/>
                  <w:vAlign w:val="center"/>
                </w:tcPr>
                <w:p w14:paraId="70801D41">
                  <w:pPr>
                    <w:spacing w:line="276" w:lineRule="auto"/>
                    <w:jc w:val="center"/>
                    <w:rPr>
                      <w:rFonts w:hint="eastAsia" w:ascii="Times New Roman" w:hAnsi="Times New Roman" w:eastAsia="宋体" w:cs="Times New Roman"/>
                      <w:color w:val="auto"/>
                      <w:szCs w:val="21"/>
                      <w:highlight w:val="none"/>
                      <w:lang w:eastAsia="zh-CN"/>
                    </w:rPr>
                  </w:pPr>
                  <w:r>
                    <w:rPr>
                      <w:rFonts w:hint="eastAsia" w:ascii="Times New Roman" w:hAnsi="Times New Roman" w:eastAsia="宋体" w:cs="Times New Roman"/>
                      <w:color w:val="auto"/>
                      <w:szCs w:val="21"/>
                      <w:highlight w:val="none"/>
                    </w:rPr>
                    <w:t>0.00</w:t>
                  </w:r>
                  <w:r>
                    <w:rPr>
                      <w:rFonts w:hint="eastAsia" w:ascii="Times New Roman" w:hAnsi="Times New Roman" w:eastAsia="宋体" w:cs="Times New Roman"/>
                      <w:color w:val="auto"/>
                      <w:szCs w:val="21"/>
                      <w:highlight w:val="none"/>
                      <w:lang w:val="en-US" w:eastAsia="zh-CN"/>
                    </w:rPr>
                    <w:t>2</w:t>
                  </w:r>
                </w:p>
              </w:tc>
              <w:tc>
                <w:tcPr>
                  <w:tcW w:w="1015" w:type="dxa"/>
                  <w:vMerge w:val="continue"/>
                  <w:vAlign w:val="center"/>
                </w:tcPr>
                <w:p w14:paraId="03FB27BA">
                  <w:pPr>
                    <w:pStyle w:val="39"/>
                    <w:spacing w:line="276" w:lineRule="auto"/>
                    <w:rPr>
                      <w:color w:val="auto"/>
                      <w:sz w:val="21"/>
                      <w:szCs w:val="21"/>
                      <w:highlight w:val="none"/>
                    </w:rPr>
                  </w:pPr>
                </w:p>
              </w:tc>
              <w:tc>
                <w:tcPr>
                  <w:tcW w:w="0" w:type="auto"/>
                  <w:vAlign w:val="center"/>
                </w:tcPr>
                <w:p w14:paraId="477AD2A6">
                  <w:pPr>
                    <w:spacing w:line="276" w:lineRule="auto"/>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rPr>
                    <w:t>0.00</w:t>
                  </w:r>
                  <w:r>
                    <w:rPr>
                      <w:rFonts w:hint="eastAsia" w:ascii="Times New Roman" w:hAnsi="Times New Roman" w:eastAsia="宋体" w:cs="Times New Roman"/>
                      <w:color w:val="auto"/>
                      <w:szCs w:val="21"/>
                      <w:highlight w:val="none"/>
                      <w:lang w:val="en-US" w:eastAsia="zh-CN"/>
                    </w:rPr>
                    <w:t>2</w:t>
                  </w:r>
                </w:p>
              </w:tc>
              <w:tc>
                <w:tcPr>
                  <w:tcW w:w="0" w:type="auto"/>
                  <w:vAlign w:val="center"/>
                </w:tcPr>
                <w:p w14:paraId="26DFE565">
                  <w:pPr>
                    <w:jc w:val="center"/>
                    <w:rPr>
                      <w:rFonts w:hint="eastAsia" w:eastAsiaTheme="minorEastAsia"/>
                      <w:color w:val="auto"/>
                      <w:highlight w:val="none"/>
                      <w:lang w:eastAsia="zh-CN"/>
                    </w:rPr>
                  </w:pPr>
                  <w:r>
                    <w:rPr>
                      <w:rFonts w:hint="eastAsia"/>
                      <w:color w:val="auto"/>
                      <w:highlight w:val="none"/>
                      <w:lang w:val="en-US" w:eastAsia="zh-CN"/>
                    </w:rPr>
                    <w:t>半年</w:t>
                  </w:r>
                </w:p>
              </w:tc>
              <w:tc>
                <w:tcPr>
                  <w:tcW w:w="896" w:type="dxa"/>
                  <w:vMerge w:val="continue"/>
                  <w:vAlign w:val="center"/>
                </w:tcPr>
                <w:p w14:paraId="28736046">
                  <w:pPr>
                    <w:pStyle w:val="39"/>
                    <w:spacing w:line="276" w:lineRule="auto"/>
                    <w:rPr>
                      <w:color w:val="auto"/>
                      <w:sz w:val="21"/>
                      <w:szCs w:val="21"/>
                      <w:highlight w:val="none"/>
                    </w:rPr>
                  </w:pPr>
                </w:p>
              </w:tc>
            </w:tr>
            <w:tr w14:paraId="6DAD584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56283773">
                  <w:pPr>
                    <w:pStyle w:val="39"/>
                    <w:spacing w:line="276" w:lineRule="auto"/>
                    <w:rPr>
                      <w:color w:val="auto"/>
                      <w:sz w:val="21"/>
                      <w:szCs w:val="21"/>
                      <w:highlight w:val="none"/>
                    </w:rPr>
                  </w:pPr>
                  <w:r>
                    <w:rPr>
                      <w:rFonts w:hint="eastAsia"/>
                      <w:color w:val="auto"/>
                      <w:sz w:val="21"/>
                      <w:szCs w:val="21"/>
                      <w:highlight w:val="none"/>
                    </w:rPr>
                    <w:t>7</w:t>
                  </w:r>
                </w:p>
              </w:tc>
              <w:tc>
                <w:tcPr>
                  <w:tcW w:w="850" w:type="dxa"/>
                  <w:vAlign w:val="center"/>
                </w:tcPr>
                <w:p w14:paraId="685ACA58">
                  <w:pPr>
                    <w:pStyle w:val="32"/>
                    <w:rPr>
                      <w:color w:val="auto"/>
                      <w:highlight w:val="none"/>
                    </w:rPr>
                  </w:pPr>
                  <w:r>
                    <w:rPr>
                      <w:rFonts w:hint="eastAsia"/>
                      <w:color w:val="auto"/>
                      <w:highlight w:val="none"/>
                    </w:rPr>
                    <w:t>废润滑油</w:t>
                  </w:r>
                </w:p>
              </w:tc>
              <w:tc>
                <w:tcPr>
                  <w:tcW w:w="839" w:type="dxa"/>
                  <w:shd w:val="clear" w:color="auto" w:fill="auto"/>
                  <w:vAlign w:val="center"/>
                </w:tcPr>
                <w:p w14:paraId="6F38A601">
                  <w:pPr>
                    <w:topLinePunct/>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HW08</w:t>
                  </w:r>
                </w:p>
              </w:tc>
              <w:tc>
                <w:tcPr>
                  <w:tcW w:w="1196" w:type="dxa"/>
                  <w:shd w:val="clear" w:color="auto" w:fill="auto"/>
                  <w:vAlign w:val="center"/>
                </w:tcPr>
                <w:p w14:paraId="46E734F3">
                  <w:pPr>
                    <w:spacing w:line="276" w:lineRule="auto"/>
                    <w:jc w:val="center"/>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900-249-08</w:t>
                  </w:r>
                </w:p>
              </w:tc>
              <w:tc>
                <w:tcPr>
                  <w:tcW w:w="0" w:type="auto"/>
                  <w:vAlign w:val="center"/>
                </w:tcPr>
                <w:p w14:paraId="60F3E7AE">
                  <w:pPr>
                    <w:spacing w:line="276" w:lineRule="auto"/>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0.8</w:t>
                  </w:r>
                </w:p>
              </w:tc>
              <w:tc>
                <w:tcPr>
                  <w:tcW w:w="1015" w:type="dxa"/>
                  <w:vMerge w:val="continue"/>
                  <w:vAlign w:val="center"/>
                </w:tcPr>
                <w:p w14:paraId="4C7CC420">
                  <w:pPr>
                    <w:pStyle w:val="39"/>
                    <w:spacing w:line="276" w:lineRule="auto"/>
                    <w:rPr>
                      <w:color w:val="auto"/>
                      <w:sz w:val="21"/>
                      <w:szCs w:val="21"/>
                      <w:highlight w:val="none"/>
                    </w:rPr>
                  </w:pPr>
                </w:p>
              </w:tc>
              <w:tc>
                <w:tcPr>
                  <w:tcW w:w="0" w:type="auto"/>
                  <w:vAlign w:val="center"/>
                </w:tcPr>
                <w:p w14:paraId="76568619">
                  <w:pPr>
                    <w:spacing w:line="276" w:lineRule="auto"/>
                    <w:jc w:val="center"/>
                    <w:rPr>
                      <w:rFonts w:hint="eastAsia" w:ascii="Times New Roman" w:hAnsi="Times New Roman" w:eastAsia="宋体" w:cs="Times New Roman"/>
                      <w:color w:val="auto"/>
                      <w:szCs w:val="21"/>
                      <w:highlight w:val="none"/>
                      <w:lang w:eastAsia="zh-CN"/>
                    </w:rPr>
                  </w:pPr>
                  <w:r>
                    <w:rPr>
                      <w:rFonts w:hint="eastAsia" w:ascii="Times New Roman" w:hAnsi="Times New Roman" w:eastAsia="宋体" w:cs="Times New Roman"/>
                      <w:color w:val="auto"/>
                      <w:szCs w:val="21"/>
                      <w:highlight w:val="none"/>
                    </w:rPr>
                    <w:t>0.</w:t>
                  </w:r>
                  <w:r>
                    <w:rPr>
                      <w:rFonts w:hint="eastAsia" w:ascii="Times New Roman" w:hAnsi="Times New Roman" w:eastAsia="宋体" w:cs="Times New Roman"/>
                      <w:color w:val="auto"/>
                      <w:szCs w:val="21"/>
                      <w:highlight w:val="none"/>
                      <w:lang w:val="en-US" w:eastAsia="zh-CN"/>
                    </w:rPr>
                    <w:t>4</w:t>
                  </w:r>
                </w:p>
              </w:tc>
              <w:tc>
                <w:tcPr>
                  <w:tcW w:w="0" w:type="auto"/>
                  <w:vAlign w:val="center"/>
                </w:tcPr>
                <w:p w14:paraId="296C41EE">
                  <w:pPr>
                    <w:jc w:val="center"/>
                    <w:rPr>
                      <w:rFonts w:hint="eastAsia" w:eastAsiaTheme="minorEastAsia"/>
                      <w:color w:val="auto"/>
                      <w:highlight w:val="none"/>
                      <w:lang w:val="en-US" w:eastAsia="zh-CN"/>
                    </w:rPr>
                  </w:pPr>
                  <w:r>
                    <w:rPr>
                      <w:rFonts w:hint="default"/>
                      <w:color w:val="auto"/>
                      <w:highlight w:val="none"/>
                      <w:lang w:val="en-US"/>
                    </w:rPr>
                    <w:t>半</w:t>
                  </w:r>
                  <w:r>
                    <w:rPr>
                      <w:rFonts w:hint="eastAsia"/>
                      <w:color w:val="auto"/>
                      <w:highlight w:val="none"/>
                      <w:lang w:val="en-US" w:eastAsia="zh-CN"/>
                    </w:rPr>
                    <w:t>年</w:t>
                  </w:r>
                </w:p>
              </w:tc>
              <w:tc>
                <w:tcPr>
                  <w:tcW w:w="896" w:type="dxa"/>
                  <w:vMerge w:val="continue"/>
                  <w:vAlign w:val="center"/>
                </w:tcPr>
                <w:p w14:paraId="049C3C57">
                  <w:pPr>
                    <w:pStyle w:val="39"/>
                    <w:spacing w:line="276" w:lineRule="auto"/>
                    <w:rPr>
                      <w:color w:val="auto"/>
                      <w:sz w:val="21"/>
                      <w:szCs w:val="21"/>
                      <w:highlight w:val="none"/>
                    </w:rPr>
                  </w:pPr>
                </w:p>
              </w:tc>
            </w:tr>
          </w:tbl>
          <w:p w14:paraId="393DC350">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存储能力可行性分析</w:t>
            </w:r>
          </w:p>
          <w:p w14:paraId="59BCAF30">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项目废漆渣采用100kg</w:t>
            </w:r>
            <w:r>
              <w:rPr>
                <w:rFonts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rPr>
              <w:t>桶（桶直径约为</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4</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rPr>
              <w:t>，高</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8</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rPr>
              <w:t>）暂存，项目废漆渣产生量约1.8</w:t>
            </w:r>
            <w:r>
              <w:rPr>
                <w:rFonts w:hint="eastAsia" w:ascii="Times New Roman" w:hAnsi="Times New Roman" w:eastAsia="宋体" w:cs="Times New Roman"/>
                <w:color w:val="auto"/>
                <w:sz w:val="24"/>
                <w:szCs w:val="24"/>
                <w:highlight w:val="none"/>
                <w:lang w:val="en-US" w:eastAsia="zh-CN"/>
              </w:rPr>
              <w:t>63</w:t>
            </w:r>
            <w:r>
              <w:rPr>
                <w:rFonts w:ascii="Times New Roman" w:hAnsi="Times New Roman" w:eastAsia="宋体" w:cs="Times New Roman"/>
                <w:color w:val="auto"/>
                <w:sz w:val="24"/>
                <w:szCs w:val="24"/>
                <w:highlight w:val="none"/>
              </w:rPr>
              <w:t>t/a</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半</w:t>
            </w:r>
            <w:r>
              <w:rPr>
                <w:rFonts w:hint="eastAsia" w:ascii="Times New Roman" w:hAnsi="Times New Roman" w:eastAsia="宋体" w:cs="Times New Roman"/>
                <w:color w:val="auto"/>
                <w:sz w:val="24"/>
                <w:szCs w:val="24"/>
                <w:highlight w:val="none"/>
              </w:rPr>
              <w:t>年清运一次，则需要</w:t>
            </w:r>
            <w:r>
              <w:rPr>
                <w:rFonts w:hint="eastAsia" w:ascii="Times New Roman" w:hAnsi="Times New Roman" w:eastAsia="宋体" w:cs="Times New Roman"/>
                <w:color w:val="auto"/>
                <w:sz w:val="24"/>
                <w:szCs w:val="24"/>
                <w:highlight w:val="none"/>
                <w:lang w:val="en-US" w:eastAsia="zh-CN"/>
              </w:rPr>
              <w:t>10</w:t>
            </w:r>
            <w:r>
              <w:rPr>
                <w:rFonts w:hint="eastAsia" w:ascii="Times New Roman" w:hAnsi="Times New Roman" w:eastAsia="宋体" w:cs="Times New Roman"/>
                <w:color w:val="auto"/>
                <w:sz w:val="24"/>
                <w:szCs w:val="24"/>
                <w:highlight w:val="none"/>
              </w:rPr>
              <w:t>个包装桶（单桶占地面积约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13</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），则废漆渣占地面积约</w:t>
            </w:r>
            <w:r>
              <w:rPr>
                <w:rFonts w:hint="eastAsia" w:ascii="Times New Roman" w:hAnsi="Times New Roman" w:eastAsia="宋体" w:cs="Times New Roman"/>
                <w:color w:val="auto"/>
                <w:sz w:val="24"/>
                <w:szCs w:val="24"/>
                <w:highlight w:val="none"/>
                <w:lang w:val="en-US" w:eastAsia="zh-CN"/>
              </w:rPr>
              <w:t>1.3</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w:t>
            </w:r>
          </w:p>
          <w:p w14:paraId="2D4441B4">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项目废涂料桶全年产生</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rPr>
              <w:t>2个，</w:t>
            </w:r>
            <w:r>
              <w:rPr>
                <w:rFonts w:hint="eastAsia" w:ascii="Times New Roman" w:hAnsi="Times New Roman" w:eastAsia="宋体" w:cs="Times New Roman"/>
                <w:color w:val="auto"/>
                <w:sz w:val="24"/>
                <w:szCs w:val="24"/>
                <w:highlight w:val="none"/>
                <w:lang w:val="en-US" w:eastAsia="zh-CN"/>
              </w:rPr>
              <w:t>半年</w:t>
            </w:r>
            <w:r>
              <w:rPr>
                <w:rFonts w:hint="eastAsia" w:ascii="Times New Roman" w:hAnsi="Times New Roman" w:eastAsia="宋体" w:cs="Times New Roman"/>
                <w:color w:val="auto"/>
                <w:sz w:val="24"/>
                <w:szCs w:val="24"/>
                <w:highlight w:val="none"/>
              </w:rPr>
              <w:t>清运一次，单桶占地面积约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07</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计，二层堆叠，则废包装桶占地面积为</w:t>
            </w:r>
            <w:r>
              <w:rPr>
                <w:rFonts w:hint="eastAsia" w:ascii="Times New Roman" w:hAnsi="Times New Roman" w:eastAsia="宋体" w:cs="Times New Roman"/>
                <w:color w:val="auto"/>
                <w:sz w:val="24"/>
                <w:szCs w:val="24"/>
                <w:highlight w:val="none"/>
                <w:lang w:val="en-US" w:eastAsia="zh-CN"/>
              </w:rPr>
              <w:t>0.385</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w:t>
            </w:r>
          </w:p>
          <w:p w14:paraId="6ABD25BE">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项目废过滤棉采用100kg</w:t>
            </w:r>
            <w:r>
              <w:rPr>
                <w:rFonts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rPr>
              <w:t>桶（桶直径约为</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4</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rPr>
              <w:t>，高</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8</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rPr>
              <w:t>）暂存，项目废过滤棉产生量约</w:t>
            </w:r>
            <w:r>
              <w:rPr>
                <w:rFonts w:hint="eastAsia" w:ascii="Times New Roman" w:hAnsi="Times New Roman" w:eastAsia="宋体" w:cs="Times New Roman"/>
                <w:color w:val="auto"/>
                <w:sz w:val="24"/>
                <w:szCs w:val="24"/>
                <w:highlight w:val="none"/>
                <w:lang w:val="en-US" w:eastAsia="zh-CN"/>
              </w:rPr>
              <w:t>1.87</w:t>
            </w:r>
            <w:r>
              <w:rPr>
                <w:rFonts w:ascii="Times New Roman" w:hAnsi="Times New Roman" w:eastAsia="宋体" w:cs="Times New Roman"/>
                <w:color w:val="auto"/>
                <w:sz w:val="24"/>
                <w:szCs w:val="24"/>
                <w:highlight w:val="none"/>
              </w:rPr>
              <w:t>t/a</w:t>
            </w:r>
            <w:r>
              <w:rPr>
                <w:rFonts w:hint="eastAsia" w:ascii="Times New Roman" w:hAnsi="Times New Roman" w:eastAsia="宋体" w:cs="Times New Roman"/>
                <w:color w:val="auto"/>
                <w:sz w:val="24"/>
                <w:szCs w:val="24"/>
                <w:highlight w:val="none"/>
              </w:rPr>
              <w:t>，半年清运一次，则需要</w:t>
            </w:r>
            <w:r>
              <w:rPr>
                <w:rFonts w:hint="eastAsia" w:ascii="Times New Roman" w:hAnsi="Times New Roman" w:eastAsia="宋体" w:cs="Times New Roman"/>
                <w:color w:val="auto"/>
                <w:sz w:val="24"/>
                <w:szCs w:val="24"/>
                <w:highlight w:val="none"/>
                <w:lang w:val="en-US" w:eastAsia="zh-CN"/>
              </w:rPr>
              <w:t>10</w:t>
            </w:r>
            <w:r>
              <w:rPr>
                <w:rFonts w:hint="eastAsia" w:ascii="Times New Roman" w:hAnsi="Times New Roman" w:eastAsia="宋体" w:cs="Times New Roman"/>
                <w:color w:val="auto"/>
                <w:sz w:val="24"/>
                <w:szCs w:val="24"/>
                <w:highlight w:val="none"/>
              </w:rPr>
              <w:t>个包装桶（单桶占地面积约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13</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），则废过滤棉占地面积约1.</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w:t>
            </w:r>
          </w:p>
          <w:p w14:paraId="1EABEEB4">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项目废活性炭采用100</w:t>
            </w:r>
            <w:r>
              <w:rPr>
                <w:rFonts w:ascii="Times New Roman" w:hAnsi="Times New Roman" w:eastAsia="宋体" w:cs="Times New Roman"/>
                <w:color w:val="auto"/>
                <w:sz w:val="24"/>
                <w:szCs w:val="24"/>
                <w:highlight w:val="none"/>
              </w:rPr>
              <w:t>kg/</w:t>
            </w:r>
            <w:r>
              <w:rPr>
                <w:rFonts w:hint="eastAsia" w:ascii="Times New Roman" w:hAnsi="Times New Roman" w:eastAsia="宋体" w:cs="Times New Roman"/>
                <w:color w:val="auto"/>
                <w:sz w:val="24"/>
                <w:szCs w:val="24"/>
                <w:highlight w:val="none"/>
              </w:rPr>
              <w:t>桶（桶直径约为</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4</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rPr>
              <w:t>，高</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8</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rPr>
              <w:t>）暂存，项目废活性炭产生量约</w:t>
            </w:r>
            <w:r>
              <w:rPr>
                <w:rFonts w:hint="eastAsia" w:ascii="Times New Roman" w:hAnsi="Times New Roman" w:eastAsia="宋体" w:cs="Times New Roman"/>
                <w:color w:val="auto"/>
                <w:sz w:val="24"/>
                <w:szCs w:val="24"/>
                <w:highlight w:val="none"/>
                <w:lang w:val="en-US" w:eastAsia="zh-CN"/>
              </w:rPr>
              <w:t>9.56</w:t>
            </w:r>
            <w:r>
              <w:rPr>
                <w:rFonts w:hint="eastAsia" w:ascii="Times New Roman" w:hAnsi="Times New Roman" w:eastAsia="宋体" w:cs="Times New Roman"/>
                <w:color w:val="auto"/>
                <w:sz w:val="24"/>
                <w:szCs w:val="24"/>
                <w:highlight w:val="none"/>
              </w:rPr>
              <w:t>5</w:t>
            </w:r>
            <w:r>
              <w:rPr>
                <w:rFonts w:ascii="Times New Roman" w:hAnsi="Times New Roman" w:eastAsia="宋体" w:cs="Times New Roman"/>
                <w:color w:val="auto"/>
                <w:sz w:val="24"/>
                <w:szCs w:val="24"/>
                <w:highlight w:val="none"/>
              </w:rPr>
              <w:t>t/a</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1个月</w:t>
            </w:r>
            <w:r>
              <w:rPr>
                <w:rFonts w:hint="eastAsia" w:ascii="Times New Roman" w:hAnsi="Times New Roman" w:eastAsia="宋体" w:cs="Times New Roman"/>
                <w:color w:val="auto"/>
                <w:sz w:val="24"/>
                <w:szCs w:val="24"/>
                <w:highlight w:val="none"/>
              </w:rPr>
              <w:t>清运一次，则需要</w:t>
            </w:r>
            <w:r>
              <w:rPr>
                <w:rFonts w:hint="eastAsia" w:ascii="Times New Roman" w:hAnsi="Times New Roman" w:eastAsia="宋体" w:cs="Times New Roman"/>
                <w:color w:val="auto"/>
                <w:sz w:val="24"/>
                <w:szCs w:val="24"/>
                <w:highlight w:val="none"/>
                <w:lang w:val="en-US" w:eastAsia="zh-CN"/>
              </w:rPr>
              <w:t>8</w:t>
            </w:r>
            <w:r>
              <w:rPr>
                <w:rFonts w:hint="eastAsia" w:ascii="Times New Roman" w:hAnsi="Times New Roman" w:eastAsia="宋体" w:cs="Times New Roman"/>
                <w:color w:val="auto"/>
                <w:sz w:val="24"/>
                <w:szCs w:val="24"/>
                <w:highlight w:val="none"/>
              </w:rPr>
              <w:t>个包装桶（单桶占地面积约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13</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），则废活性炭占地面积约</w:t>
            </w:r>
            <w:r>
              <w:rPr>
                <w:rFonts w:hint="eastAsia" w:ascii="Times New Roman" w:hAnsi="Times New Roman" w:eastAsia="宋体" w:cs="Times New Roman"/>
                <w:color w:val="auto"/>
                <w:sz w:val="24"/>
                <w:szCs w:val="24"/>
                <w:highlight w:val="none"/>
                <w:lang w:val="en-US" w:eastAsia="zh-CN"/>
              </w:rPr>
              <w:t>1.04</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w:t>
            </w:r>
          </w:p>
          <w:p w14:paraId="6E04E61B">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项目水帘喷漆定期更换的废液采用</w:t>
            </w:r>
            <w:r>
              <w:rPr>
                <w:rFonts w:hint="eastAsia" w:ascii="Times New Roman" w:hAnsi="Times New Roman" w:eastAsia="宋体" w:cs="Times New Roman"/>
                <w:color w:val="auto"/>
                <w:sz w:val="24"/>
                <w:szCs w:val="24"/>
                <w:highlight w:val="none"/>
                <w:lang w:val="en-US" w:eastAsia="zh-CN"/>
              </w:rPr>
              <w:t>1400</w:t>
            </w:r>
            <w:r>
              <w:rPr>
                <w:rFonts w:hint="eastAsia" w:ascii="Times New Roman" w:hAnsi="Times New Roman" w:eastAsia="宋体" w:cs="Times New Roman"/>
                <w:color w:val="auto"/>
                <w:sz w:val="24"/>
                <w:szCs w:val="24"/>
                <w:highlight w:val="none"/>
              </w:rPr>
              <w:t>L</w:t>
            </w:r>
            <w:r>
              <w:rPr>
                <w:rFonts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rPr>
              <w:t>桶（桶直径约为</w:t>
            </w:r>
            <w:r>
              <w:rPr>
                <w:rFonts w:hint="eastAsia" w:ascii="Times New Roman" w:hAnsi="Times New Roman" w:eastAsia="宋体" w:cs="Times New Roman"/>
                <w:color w:val="auto"/>
                <w:sz w:val="24"/>
                <w:szCs w:val="24"/>
                <w:highlight w:val="none"/>
                <w:lang w:val="en-US" w:eastAsia="zh-CN"/>
              </w:rPr>
              <w:t>1.0</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rPr>
              <w:t>，高</w:t>
            </w:r>
            <w:r>
              <w:rPr>
                <w:rFonts w:hint="eastAsia" w:ascii="Times New Roman" w:hAnsi="Times New Roman" w:eastAsia="宋体" w:cs="Times New Roman"/>
                <w:color w:val="auto"/>
                <w:sz w:val="24"/>
                <w:szCs w:val="24"/>
                <w:highlight w:val="none"/>
                <w:lang w:val="en-US" w:eastAsia="zh-CN"/>
              </w:rPr>
              <w:t>1.15</w:t>
            </w:r>
            <w:r>
              <w:rPr>
                <w:rFonts w:ascii="Times New Roman" w:hAnsi="Times New Roman" w:eastAsia="宋体" w:cs="Times New Roman"/>
                <w:color w:val="auto"/>
                <w:sz w:val="24"/>
                <w:szCs w:val="24"/>
                <w:highlight w:val="none"/>
              </w:rPr>
              <w:t>m</w:t>
            </w:r>
            <w:r>
              <w:rPr>
                <w:rFonts w:hint="eastAsia" w:ascii="Times New Roman" w:hAnsi="Times New Roman" w:eastAsia="宋体" w:cs="Times New Roman"/>
                <w:color w:val="auto"/>
                <w:sz w:val="24"/>
                <w:szCs w:val="24"/>
                <w:highlight w:val="none"/>
              </w:rPr>
              <w:t>）暂存，项目水帘喷漆定期更换的废液产生量约</w:t>
            </w:r>
            <w:r>
              <w:rPr>
                <w:rFonts w:hint="eastAsia" w:ascii="Times New Roman" w:hAnsi="Times New Roman" w:eastAsia="宋体" w:cs="Times New Roman"/>
                <w:color w:val="auto"/>
                <w:sz w:val="24"/>
                <w:szCs w:val="24"/>
                <w:highlight w:val="none"/>
                <w:lang w:val="en-US" w:eastAsia="zh-CN"/>
              </w:rPr>
              <w:t>12</w:t>
            </w:r>
            <w:r>
              <w:rPr>
                <w:rFonts w:ascii="Times New Roman" w:hAnsi="Times New Roman" w:eastAsia="宋体" w:cs="Times New Roman"/>
                <w:color w:val="auto"/>
                <w:sz w:val="24"/>
                <w:szCs w:val="24"/>
                <w:highlight w:val="none"/>
              </w:rPr>
              <w:t>t/a</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半年</w:t>
            </w:r>
            <w:r>
              <w:rPr>
                <w:rFonts w:hint="eastAsia" w:ascii="Times New Roman" w:hAnsi="Times New Roman" w:eastAsia="宋体" w:cs="Times New Roman"/>
                <w:color w:val="auto"/>
                <w:sz w:val="24"/>
                <w:szCs w:val="24"/>
                <w:highlight w:val="none"/>
              </w:rPr>
              <w:t>清运一次，危废暂存间暂存水帘喷漆定期更换的废液产生量约</w:t>
            </w:r>
            <w:r>
              <w:rPr>
                <w:rFonts w:hint="eastAsia" w:ascii="Times New Roman" w:hAnsi="Times New Roman" w:eastAsia="宋体" w:cs="Times New Roman"/>
                <w:color w:val="auto"/>
                <w:sz w:val="24"/>
                <w:szCs w:val="24"/>
                <w:highlight w:val="none"/>
                <w:lang w:val="en-US" w:eastAsia="zh-CN"/>
              </w:rPr>
              <w:t>6</w:t>
            </w:r>
            <w:r>
              <w:rPr>
                <w:rFonts w:hint="eastAsia" w:ascii="Times New Roman" w:hAnsi="Times New Roman" w:eastAsia="宋体" w:cs="Times New Roman"/>
                <w:color w:val="auto"/>
                <w:sz w:val="24"/>
                <w:szCs w:val="24"/>
                <w:highlight w:val="none"/>
              </w:rPr>
              <w:t>t/a，则需要</w:t>
            </w:r>
            <w:r>
              <w:rPr>
                <w:rFonts w:hint="eastAsia" w:ascii="Times New Roman" w:hAnsi="Times New Roman" w:eastAsia="宋体" w:cs="Times New Roman"/>
                <w:color w:val="auto"/>
                <w:sz w:val="24"/>
                <w:szCs w:val="24"/>
                <w:highlight w:val="none"/>
                <w:lang w:val="en-US" w:eastAsia="zh-CN"/>
              </w:rPr>
              <w:t>5</w:t>
            </w:r>
            <w:r>
              <w:rPr>
                <w:rFonts w:hint="eastAsia" w:ascii="Times New Roman" w:hAnsi="Times New Roman" w:eastAsia="宋体" w:cs="Times New Roman"/>
                <w:color w:val="auto"/>
                <w:sz w:val="24"/>
                <w:szCs w:val="24"/>
                <w:highlight w:val="none"/>
              </w:rPr>
              <w:t>个包装桶（单桶占地面积约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lang w:val="en-US" w:eastAsia="zh-CN"/>
              </w:rPr>
              <w:t>79</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），二层堆叠，则水帘喷漆定期更换的废液占地面积约</w:t>
            </w:r>
            <w:r>
              <w:rPr>
                <w:rFonts w:hint="eastAsia" w:ascii="Times New Roman" w:hAnsi="Times New Roman" w:eastAsia="宋体" w:cs="Times New Roman"/>
                <w:color w:val="auto"/>
                <w:sz w:val="24"/>
                <w:szCs w:val="24"/>
                <w:highlight w:val="none"/>
                <w:lang w:val="en-US" w:eastAsia="zh-CN"/>
              </w:rPr>
              <w:t>1.975</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w:t>
            </w:r>
          </w:p>
          <w:p w14:paraId="0F2934E8">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项目废润滑油桶全年产生</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rPr>
              <w:t>个，</w:t>
            </w:r>
            <w:r>
              <w:rPr>
                <w:rFonts w:hint="eastAsia" w:ascii="Times New Roman" w:hAnsi="Times New Roman" w:eastAsia="宋体" w:cs="Times New Roman"/>
                <w:color w:val="auto"/>
                <w:sz w:val="24"/>
                <w:szCs w:val="24"/>
                <w:highlight w:val="none"/>
                <w:lang w:val="en-US" w:eastAsia="zh-CN"/>
              </w:rPr>
              <w:t>半</w:t>
            </w:r>
            <w:r>
              <w:rPr>
                <w:rFonts w:hint="eastAsia" w:ascii="Times New Roman" w:hAnsi="Times New Roman" w:eastAsia="宋体" w:cs="Times New Roman"/>
                <w:color w:val="auto"/>
                <w:sz w:val="24"/>
                <w:szCs w:val="24"/>
                <w:highlight w:val="none"/>
              </w:rPr>
              <w:t>年清运一次，单桶占地面积约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07</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计，则废润滑油桶占地面积为0.07</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w:t>
            </w:r>
          </w:p>
          <w:p w14:paraId="0B406475">
            <w:pPr>
              <w:spacing w:line="360" w:lineRule="auto"/>
              <w:ind w:firstLine="480" w:firstLineChars="2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项目废润滑油采用</w:t>
            </w:r>
            <w:r>
              <w:rPr>
                <w:rFonts w:ascii="Times New Roman" w:hAnsi="Times New Roman" w:eastAsia="宋体" w:cs="Times New Roman"/>
                <w:color w:val="auto"/>
                <w:sz w:val="24"/>
                <w:szCs w:val="24"/>
                <w:highlight w:val="none"/>
              </w:rPr>
              <w:t>18L/</w:t>
            </w:r>
            <w:r>
              <w:rPr>
                <w:rFonts w:hint="eastAsia" w:ascii="Times New Roman" w:hAnsi="Times New Roman" w:eastAsia="宋体" w:cs="宋体"/>
                <w:color w:val="auto"/>
                <w:sz w:val="24"/>
                <w:szCs w:val="24"/>
                <w:highlight w:val="none"/>
              </w:rPr>
              <w:t>桶（桶直径约为</w:t>
            </w:r>
            <w:r>
              <w:rPr>
                <w:rFonts w:ascii="Times New Roman" w:hAnsi="Times New Roman" w:eastAsia="宋体" w:cs="Times New Roman"/>
                <w:color w:val="auto"/>
                <w:sz w:val="24"/>
                <w:szCs w:val="24"/>
                <w:highlight w:val="none"/>
              </w:rPr>
              <w:t>0.3m</w:t>
            </w:r>
            <w:r>
              <w:rPr>
                <w:rFonts w:hint="eastAsia" w:ascii="Times New Roman" w:hAnsi="Times New Roman" w:eastAsia="宋体" w:cs="宋体"/>
                <w:color w:val="auto"/>
                <w:sz w:val="24"/>
                <w:szCs w:val="24"/>
                <w:highlight w:val="none"/>
              </w:rPr>
              <w:t>，高</w:t>
            </w:r>
            <w:r>
              <w:rPr>
                <w:rFonts w:ascii="Times New Roman" w:hAnsi="Times New Roman" w:eastAsia="宋体" w:cs="Times New Roman"/>
                <w:color w:val="auto"/>
                <w:sz w:val="24"/>
                <w:szCs w:val="24"/>
                <w:highlight w:val="none"/>
              </w:rPr>
              <w:t>0.35m</w:t>
            </w:r>
            <w:r>
              <w:rPr>
                <w:rFonts w:hint="eastAsia" w:ascii="Times New Roman" w:hAnsi="Times New Roman" w:eastAsia="宋体" w:cs="宋体"/>
                <w:color w:val="auto"/>
                <w:sz w:val="24"/>
                <w:szCs w:val="24"/>
                <w:highlight w:val="none"/>
              </w:rPr>
              <w:t>）暂存，项目废润滑油产生量约</w:t>
            </w:r>
            <w:r>
              <w:rPr>
                <w:rFonts w:hint="eastAsia" w:ascii="Times New Roman" w:hAnsi="Times New Roman" w:eastAsia="宋体" w:cs="Times New Roman"/>
                <w:color w:val="auto"/>
                <w:sz w:val="24"/>
                <w:szCs w:val="24"/>
                <w:highlight w:val="none"/>
                <w:lang w:val="en-US" w:eastAsia="zh-CN"/>
              </w:rPr>
              <w:t>0.8</w:t>
            </w:r>
            <w:r>
              <w:rPr>
                <w:rFonts w:ascii="Times New Roman" w:hAnsi="Times New Roman" w:eastAsia="宋体" w:cs="Times New Roman"/>
                <w:color w:val="auto"/>
                <w:sz w:val="24"/>
                <w:szCs w:val="24"/>
                <w:highlight w:val="none"/>
              </w:rPr>
              <w:t>t/a</w:t>
            </w:r>
            <w:r>
              <w:rPr>
                <w:rFonts w:hint="eastAsia" w:ascii="Times New Roman" w:hAnsi="Times New Roman" w:eastAsia="宋体" w:cs="宋体"/>
                <w:color w:val="auto"/>
                <w:sz w:val="24"/>
                <w:szCs w:val="24"/>
                <w:highlight w:val="none"/>
              </w:rPr>
              <w:t>，半</w:t>
            </w:r>
            <w:r>
              <w:rPr>
                <w:rFonts w:hint="eastAsia" w:ascii="Times New Roman" w:hAnsi="Times New Roman" w:eastAsia="宋体" w:cs="宋体"/>
                <w:color w:val="auto"/>
                <w:sz w:val="24"/>
                <w:szCs w:val="24"/>
                <w:highlight w:val="none"/>
                <w:lang w:val="en-US" w:eastAsia="zh-CN"/>
              </w:rPr>
              <w:t>年</w:t>
            </w:r>
            <w:r>
              <w:rPr>
                <w:rFonts w:hint="eastAsia" w:ascii="Times New Roman" w:hAnsi="Times New Roman" w:eastAsia="宋体" w:cs="宋体"/>
                <w:color w:val="auto"/>
                <w:sz w:val="24"/>
                <w:szCs w:val="24"/>
                <w:highlight w:val="none"/>
              </w:rPr>
              <w:t>清运一次，危废暂存间暂存废润滑油产生量约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lang w:val="en-US" w:eastAsia="zh-CN"/>
              </w:rPr>
              <w:t>4</w:t>
            </w:r>
            <w:r>
              <w:rPr>
                <w:rFonts w:ascii="Times New Roman" w:hAnsi="Times New Roman" w:eastAsia="宋体" w:cs="Times New Roman"/>
                <w:color w:val="auto"/>
                <w:sz w:val="24"/>
                <w:szCs w:val="24"/>
                <w:highlight w:val="none"/>
              </w:rPr>
              <w:t>t/a</w:t>
            </w:r>
            <w:r>
              <w:rPr>
                <w:rFonts w:hint="eastAsia" w:ascii="Times New Roman" w:hAnsi="Times New Roman" w:eastAsia="宋体" w:cs="宋体"/>
                <w:color w:val="auto"/>
                <w:sz w:val="24"/>
                <w:szCs w:val="24"/>
                <w:highlight w:val="none"/>
              </w:rPr>
              <w:t>，则需要</w:t>
            </w:r>
            <w:r>
              <w:rPr>
                <w:rFonts w:hint="eastAsia" w:ascii="Times New Roman" w:hAnsi="Times New Roman" w:eastAsia="宋体" w:cs="宋体"/>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val="en-US" w:eastAsia="zh-CN"/>
              </w:rPr>
              <w:t>3</w:t>
            </w:r>
            <w:r>
              <w:rPr>
                <w:rFonts w:hint="eastAsia" w:ascii="Times New Roman" w:hAnsi="Times New Roman" w:eastAsia="宋体" w:cs="宋体"/>
                <w:color w:val="auto"/>
                <w:sz w:val="24"/>
                <w:szCs w:val="24"/>
                <w:highlight w:val="none"/>
              </w:rPr>
              <w:t>个包装桶（单桶占地面积约</w:t>
            </w:r>
            <w:r>
              <w:rPr>
                <w:rFonts w:ascii="Times New Roman" w:hAnsi="Times New Roman" w:eastAsia="宋体" w:cs="Times New Roman"/>
                <w:color w:val="auto"/>
                <w:sz w:val="24"/>
                <w:szCs w:val="24"/>
                <w:highlight w:val="none"/>
              </w:rPr>
              <w:t>0.07m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宋体"/>
                <w:color w:val="auto"/>
                <w:sz w:val="24"/>
                <w:szCs w:val="24"/>
                <w:highlight w:val="none"/>
              </w:rPr>
              <w:t>），废润滑油占地面积约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lang w:val="en-US" w:eastAsia="zh-CN"/>
              </w:rPr>
              <w:t>805</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宋体"/>
                <w:color w:val="auto"/>
                <w:sz w:val="24"/>
                <w:szCs w:val="24"/>
                <w:highlight w:val="none"/>
              </w:rPr>
              <w:t>。</w:t>
            </w:r>
          </w:p>
          <w:p w14:paraId="221936E6">
            <w:pPr>
              <w:spacing w:line="360" w:lineRule="auto"/>
              <w:ind w:firstLine="480" w:firstLineChars="200"/>
              <w:rPr>
                <w:rFonts w:hint="eastAsia" w:ascii="Times New Roman" w:hAnsi="Times New Roman" w:eastAsia="宋体" w:cs="宋体"/>
                <w:color w:val="auto"/>
                <w:sz w:val="24"/>
                <w:szCs w:val="24"/>
                <w:highlight w:val="none"/>
                <w:vertAlign w:val="baseline"/>
                <w:lang w:val="en-US" w:eastAsia="zh-CN"/>
              </w:rPr>
            </w:pPr>
            <w:r>
              <w:rPr>
                <w:rFonts w:hint="eastAsia" w:ascii="Times New Roman" w:hAnsi="Times New Roman" w:eastAsia="宋体" w:cs="宋体"/>
                <w:color w:val="auto"/>
                <w:sz w:val="24"/>
                <w:szCs w:val="24"/>
                <w:highlight w:val="none"/>
                <w:lang w:val="en-US" w:eastAsia="zh-CN"/>
              </w:rPr>
              <w:t>项目产生的可回收的涂料桶和润滑油桶暂存于危废暂存间，</w:t>
            </w:r>
            <w:r>
              <w:rPr>
                <w:rFonts w:ascii="Times New Roman" w:hAnsi="Times New Roman" w:cs="Times New Roman"/>
                <w:color w:val="auto"/>
                <w:kern w:val="0"/>
                <w:sz w:val="24"/>
                <w:highlight w:val="none"/>
              </w:rPr>
              <w:t>可回收的</w:t>
            </w:r>
            <w:r>
              <w:rPr>
                <w:rFonts w:hint="eastAsia" w:ascii="Times New Roman" w:hAnsi="Times New Roman" w:cs="Times New Roman"/>
                <w:color w:val="auto"/>
                <w:kern w:val="0"/>
                <w:sz w:val="24"/>
                <w:highlight w:val="none"/>
                <w:lang w:val="en-US" w:eastAsia="zh-CN"/>
              </w:rPr>
              <w:t>涂料</w:t>
            </w:r>
            <w:r>
              <w:rPr>
                <w:rFonts w:ascii="Times New Roman" w:hAnsi="Times New Roman" w:cs="Times New Roman"/>
                <w:color w:val="auto"/>
                <w:kern w:val="0"/>
                <w:sz w:val="24"/>
                <w:highlight w:val="none"/>
              </w:rPr>
              <w:t>桶的产生量约为</w:t>
            </w:r>
            <w:r>
              <w:rPr>
                <w:rFonts w:hint="eastAsia" w:ascii="Times New Roman" w:hAnsi="Times New Roman" w:cs="Times New Roman"/>
                <w:color w:val="auto"/>
                <w:kern w:val="0"/>
                <w:sz w:val="24"/>
                <w:highlight w:val="none"/>
                <w:lang w:val="en-US" w:eastAsia="zh-CN"/>
              </w:rPr>
              <w:t>2149</w:t>
            </w:r>
            <w:r>
              <w:rPr>
                <w:rFonts w:ascii="Times New Roman" w:hAnsi="Times New Roman" w:cs="Times New Roman"/>
                <w:color w:val="auto"/>
                <w:kern w:val="0"/>
                <w:sz w:val="24"/>
                <w:highlight w:val="none"/>
              </w:rPr>
              <w:t>个</w:t>
            </w:r>
            <w:r>
              <w:rPr>
                <w:rFonts w:hint="eastAsia" w:ascii="Times New Roman" w:hAnsi="Times New Roman" w:cs="Times New Roman"/>
                <w:color w:val="auto"/>
                <w:kern w:val="0"/>
                <w:sz w:val="24"/>
                <w:highlight w:val="none"/>
                <w:lang w:eastAsia="zh-CN"/>
              </w:rPr>
              <w:t>，</w:t>
            </w:r>
            <w:r>
              <w:rPr>
                <w:rFonts w:ascii="Times New Roman" w:hAnsi="Times New Roman" w:cs="Times New Roman"/>
                <w:color w:val="auto"/>
                <w:kern w:val="0"/>
                <w:sz w:val="24"/>
                <w:highlight w:val="none"/>
              </w:rPr>
              <w:t>可回收的润滑油桶的产生量约为</w:t>
            </w:r>
            <w:r>
              <w:rPr>
                <w:rFonts w:hint="eastAsia" w:ascii="Times New Roman" w:hAnsi="Times New Roman" w:cs="Times New Roman"/>
                <w:color w:val="auto"/>
                <w:kern w:val="0"/>
                <w:sz w:val="24"/>
                <w:highlight w:val="none"/>
                <w:lang w:val="en-US" w:eastAsia="zh-CN"/>
              </w:rPr>
              <w:t>4</w:t>
            </w:r>
            <w:r>
              <w:rPr>
                <w:rFonts w:ascii="Times New Roman" w:hAnsi="Times New Roman" w:cs="Times New Roman"/>
                <w:color w:val="auto"/>
                <w:kern w:val="0"/>
                <w:sz w:val="24"/>
                <w:highlight w:val="none"/>
              </w:rPr>
              <w:t>个</w:t>
            </w:r>
            <w:r>
              <w:rPr>
                <w:rFonts w:hint="eastAsia" w:ascii="Times New Roman" w:hAnsi="Times New Roman" w:cs="Times New Roman"/>
                <w:color w:val="auto"/>
                <w:kern w:val="0"/>
                <w:sz w:val="24"/>
                <w:highlight w:val="none"/>
                <w:lang w:eastAsia="zh-CN"/>
              </w:rPr>
              <w:t>，</w:t>
            </w:r>
            <w:r>
              <w:rPr>
                <w:rFonts w:hint="eastAsia" w:ascii="Times New Roman" w:hAnsi="Times New Roman" w:cs="Times New Roman"/>
                <w:color w:val="auto"/>
                <w:kern w:val="0"/>
                <w:sz w:val="24"/>
                <w:highlight w:val="none"/>
                <w:lang w:val="en-US" w:eastAsia="zh-CN"/>
              </w:rPr>
              <w:t>半个月清运一次，</w:t>
            </w:r>
            <w:r>
              <w:rPr>
                <w:rFonts w:hint="eastAsia" w:ascii="Times New Roman" w:hAnsi="Times New Roman" w:eastAsia="宋体" w:cs="Times New Roman"/>
                <w:color w:val="auto"/>
                <w:sz w:val="24"/>
                <w:szCs w:val="24"/>
                <w:highlight w:val="none"/>
              </w:rPr>
              <w:t>单桶占地面积约</w:t>
            </w:r>
            <w:r>
              <w:rPr>
                <w:rFonts w:ascii="Times New Roman" w:hAnsi="Times New Roman" w:eastAsia="宋体" w:cs="Times New Roman"/>
                <w:color w:val="auto"/>
                <w:sz w:val="24"/>
                <w:szCs w:val="24"/>
                <w:highlight w:val="none"/>
              </w:rPr>
              <w:t>0.</w:t>
            </w:r>
            <w:r>
              <w:rPr>
                <w:rFonts w:hint="eastAsia" w:ascii="Times New Roman" w:hAnsi="Times New Roman" w:eastAsia="宋体" w:cs="Times New Roman"/>
                <w:color w:val="auto"/>
                <w:sz w:val="24"/>
                <w:szCs w:val="24"/>
                <w:highlight w:val="none"/>
              </w:rPr>
              <w:t>07</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计</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二层堆叠</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则</w:t>
            </w:r>
            <w:r>
              <w:rPr>
                <w:rFonts w:hint="eastAsia" w:ascii="Times New Roman" w:hAnsi="Times New Roman" w:eastAsia="宋体" w:cs="宋体"/>
                <w:color w:val="auto"/>
                <w:sz w:val="24"/>
                <w:szCs w:val="24"/>
                <w:highlight w:val="none"/>
                <w:lang w:val="en-US" w:eastAsia="zh-CN"/>
              </w:rPr>
              <w:t>可回收的涂料桶和润滑油桶占地面积约3.14</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vertAlign w:val="baseline"/>
                <w:lang w:eastAsia="zh-CN"/>
              </w:rPr>
              <w:t>。</w:t>
            </w:r>
          </w:p>
          <w:p w14:paraId="5EC1F15F">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则危废总占地面积</w:t>
            </w:r>
            <w:r>
              <w:rPr>
                <w:rFonts w:hint="eastAsia" w:ascii="Times New Roman" w:hAnsi="Times New Roman" w:eastAsia="宋体" w:cs="Times New Roman"/>
                <w:color w:val="auto"/>
                <w:sz w:val="24"/>
                <w:szCs w:val="24"/>
                <w:highlight w:val="none"/>
                <w:lang w:val="en-US" w:eastAsia="zh-CN"/>
              </w:rPr>
              <w:t>10.015</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rPr>
              <w:t>，本次在厂房新建1座</w:t>
            </w:r>
            <w:r>
              <w:rPr>
                <w:rFonts w:hint="eastAsia" w:ascii="Times New Roman" w:hAnsi="Times New Roman" w:eastAsia="宋体" w:cs="Times New Roman"/>
                <w:color w:val="auto"/>
                <w:sz w:val="24"/>
                <w:szCs w:val="24"/>
                <w:highlight w:val="none"/>
                <w:lang w:val="en-US" w:eastAsia="zh-CN"/>
              </w:rPr>
              <w:t>20</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ascii="Times New Roman" w:hAnsi="Times New Roman" w:eastAsia="宋体" w:cs="Times New Roman"/>
                <w:color w:val="auto"/>
                <w:sz w:val="24"/>
                <w:szCs w:val="24"/>
                <w:highlight w:val="none"/>
              </w:rPr>
              <w:t>危险废物暂存场所</w:t>
            </w:r>
            <w:r>
              <w:rPr>
                <w:rFonts w:hint="eastAsia" w:ascii="Times New Roman" w:hAnsi="Times New Roman" w:eastAsia="宋体" w:cs="Times New Roman"/>
                <w:color w:val="auto"/>
                <w:sz w:val="24"/>
                <w:szCs w:val="24"/>
                <w:highlight w:val="none"/>
              </w:rPr>
              <w:t>，满足本项目危险废物暂存要求。</w:t>
            </w:r>
          </w:p>
          <w:p w14:paraId="0742EA3B">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2、运营期固废环境保护措施</w:t>
            </w:r>
          </w:p>
          <w:p w14:paraId="53D00985">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（1）贮存场所（设施）污染防治设施</w:t>
            </w:r>
          </w:p>
          <w:p w14:paraId="53FBEE1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1）一般固废暂存场所</w:t>
            </w:r>
          </w:p>
          <w:p w14:paraId="205A5DC9">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Times New Roman"/>
                <w:color w:val="auto"/>
                <w:sz w:val="24"/>
              </w:rPr>
              <w:t>一般工业固体废物暂存间按照《一般工业固体废物贮存和填埋污染控制标准》(GB18599-2020)要求设置，一般工业固体废物不得露天堆放，应做好放风、防雨、防晒设施，防外水入侵要求。</w:t>
            </w:r>
          </w:p>
          <w:p w14:paraId="02DA1C84">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2）危险废物暂存场所</w:t>
            </w:r>
          </w:p>
          <w:p w14:paraId="424DA64C">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①</w:t>
            </w:r>
            <w:r>
              <w:rPr>
                <w:rFonts w:ascii="Times New Roman" w:hAnsi="Times New Roman" w:eastAsia="宋体" w:cs="Times New Roman"/>
                <w:color w:val="auto"/>
                <w:sz w:val="24"/>
              </w:rPr>
              <w:t>库房内部各类危废划区堆放；同时应建有堵截泄漏的裙脚；地面与裙脚要用坚固防渗的材料建造；应有隔离设施、报警装置和防风、防晒、防雨设施</w:t>
            </w:r>
            <w:r>
              <w:rPr>
                <w:rFonts w:hint="eastAsia" w:ascii="Times New Roman" w:hAnsi="Times New Roman" w:eastAsia="宋体" w:cs="Times New Roman"/>
                <w:color w:val="auto"/>
                <w:sz w:val="24"/>
                <w:lang w:eastAsia="zh-CN"/>
              </w:rPr>
              <w:t>，液态危险物质采取桶装放置于防渗托盘，</w:t>
            </w:r>
            <w:r>
              <w:rPr>
                <w:rFonts w:hint="eastAsia" w:ascii="Times New Roman" w:hAnsi="Times New Roman" w:eastAsia="宋体" w:cs="Times New Roman"/>
                <w:color w:val="auto"/>
                <w:sz w:val="24"/>
                <w:lang w:val="en-US" w:eastAsia="zh-CN"/>
              </w:rPr>
              <w:t>设置导流沟、集液槽</w:t>
            </w:r>
            <w:r>
              <w:rPr>
                <w:rFonts w:ascii="Times New Roman" w:hAnsi="Times New Roman" w:eastAsia="宋体" w:cs="Times New Roman"/>
                <w:color w:val="auto"/>
                <w:sz w:val="24"/>
              </w:rPr>
              <w:t>。</w:t>
            </w:r>
          </w:p>
          <w:p w14:paraId="023920FB">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②</w:t>
            </w:r>
            <w:r>
              <w:rPr>
                <w:rFonts w:ascii="Times New Roman" w:hAnsi="Times New Roman" w:eastAsia="宋体" w:cs="Times New Roman"/>
                <w:color w:val="auto"/>
                <w:sz w:val="24"/>
              </w:rPr>
              <w:t>各类危废干湿分区，不同化学属性的固废间采用实体墙隔离，不同种类危废存放区域贴/挂标示标牌。</w:t>
            </w:r>
          </w:p>
          <w:p w14:paraId="259BA1EB">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③</w:t>
            </w:r>
            <w:r>
              <w:rPr>
                <w:rFonts w:ascii="Times New Roman" w:hAnsi="Times New Roman" w:eastAsia="宋体" w:cs="Times New Roman"/>
                <w:color w:val="auto"/>
                <w:sz w:val="24"/>
              </w:rPr>
              <w:t>干区进行地面硬化；湿区地面进行防腐、防渗处理，参照《危险废物贮存污染控制标准》（GB18597-2023）相关要求，基础防渗层为黏土层时，其厚度应达1m以上，渗透系数应小于10</w:t>
            </w:r>
            <w:r>
              <w:rPr>
                <w:rFonts w:ascii="Times New Roman" w:hAnsi="Times New Roman" w:eastAsia="宋体" w:cs="Times New Roman"/>
                <w:color w:val="auto"/>
                <w:sz w:val="24"/>
                <w:vertAlign w:val="superscript"/>
              </w:rPr>
              <w:t>-7</w:t>
            </w:r>
            <w:r>
              <w:rPr>
                <w:rFonts w:ascii="Times New Roman" w:hAnsi="Times New Roman" w:eastAsia="宋体" w:cs="Times New Roman"/>
                <w:color w:val="auto"/>
                <w:sz w:val="24"/>
              </w:rPr>
              <w:t>cm/s；基础防渗层亦可用厚度2mm以上的高密度聚乙烯和其他人工防渗材料组成，渗透系数应小于10</w:t>
            </w:r>
            <w:r>
              <w:rPr>
                <w:rFonts w:ascii="Times New Roman" w:hAnsi="Times New Roman" w:eastAsia="宋体" w:cs="Times New Roman"/>
                <w:color w:val="auto"/>
                <w:sz w:val="24"/>
                <w:vertAlign w:val="superscript"/>
              </w:rPr>
              <w:t>-1</w:t>
            </w:r>
            <w:r>
              <w:rPr>
                <w:rFonts w:hint="eastAsia" w:ascii="Times New Roman" w:hAnsi="Times New Roman" w:eastAsia="宋体" w:cs="Times New Roman"/>
                <w:color w:val="auto"/>
                <w:sz w:val="24"/>
                <w:vertAlign w:val="superscript"/>
              </w:rPr>
              <w:t>0</w:t>
            </w:r>
            <w:r>
              <w:rPr>
                <w:rFonts w:ascii="Times New Roman" w:hAnsi="Times New Roman" w:eastAsia="宋体" w:cs="Times New Roman"/>
                <w:color w:val="auto"/>
                <w:sz w:val="24"/>
              </w:rPr>
              <w:t>cm/s。</w:t>
            </w:r>
          </w:p>
          <w:p w14:paraId="55173C76">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lang w:val="en-US" w:eastAsia="zh-CN"/>
              </w:rPr>
              <w:t>④</w:t>
            </w:r>
            <w:r>
              <w:rPr>
                <w:rFonts w:ascii="Times New Roman" w:hAnsi="Times New Roman" w:eastAsia="宋体" w:cs="Times New Roman"/>
                <w:color w:val="auto"/>
                <w:sz w:val="24"/>
              </w:rPr>
              <w:t>暂存区外围周边贴挂明的标示标牌，注明主要暂存危废的种类、数量、危废编号等信息。</w:t>
            </w:r>
          </w:p>
          <w:p w14:paraId="11159CE7">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lang w:val="en-US" w:eastAsia="zh-CN"/>
              </w:rPr>
              <w:t>⑤</w:t>
            </w:r>
            <w:r>
              <w:rPr>
                <w:rFonts w:ascii="Times New Roman" w:hAnsi="Times New Roman" w:eastAsia="宋体" w:cs="Times New Roman"/>
                <w:color w:val="auto"/>
                <w:sz w:val="24"/>
              </w:rPr>
              <w:t>合理选择危废包装物。危废贮存容器、材质满足相应的强度要求，日常确保完好无损；容器材质和衬里与危险废物相容；盛装液体废物的桶开孔直径应不超过70mm，并有放气孔。</w:t>
            </w:r>
          </w:p>
          <w:p w14:paraId="6E05E806">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（2）运输过程污染防治措施</w:t>
            </w:r>
          </w:p>
          <w:p w14:paraId="683F9AA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项目所处理的危险废物采用专门的车辆，密闭运输，严格禁止抛洒滴漏，杜绝在运输过程中造成环境的二次污染。在危险废物的运输中执行《危险废物转移联单管理办法》中有关的规定和要求。</w:t>
            </w:r>
          </w:p>
          <w:p w14:paraId="6EC2B5BD">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（3）日常管理要求</w:t>
            </w:r>
          </w:p>
          <w:p w14:paraId="427106B2">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项目固废处置时，尽可能采用减量化、资源化利用措施。委托处置的应与</w:t>
            </w:r>
            <w:r>
              <w:rPr>
                <w:rFonts w:hint="eastAsia" w:ascii="Times New Roman" w:hAnsi="Times New Roman" w:eastAsia="宋体" w:cs="Times New Roman"/>
                <w:color w:val="auto"/>
                <w:sz w:val="24"/>
              </w:rPr>
              <w:t>有资质</w:t>
            </w:r>
            <w:r>
              <w:rPr>
                <w:rFonts w:ascii="Times New Roman" w:hAnsi="Times New Roman" w:eastAsia="宋体" w:cs="Times New Roman"/>
                <w:color w:val="auto"/>
                <w:sz w:val="24"/>
              </w:rPr>
              <w:t>单位签订委托</w:t>
            </w:r>
            <w:r>
              <w:rPr>
                <w:rFonts w:hint="eastAsia" w:ascii="Times New Roman" w:hAnsi="Times New Roman" w:eastAsia="宋体" w:cs="Times New Roman"/>
                <w:color w:val="auto"/>
                <w:sz w:val="24"/>
              </w:rPr>
              <w:t>处置</w:t>
            </w:r>
            <w:r>
              <w:rPr>
                <w:rFonts w:ascii="Times New Roman" w:hAnsi="Times New Roman" w:eastAsia="宋体" w:cs="Times New Roman"/>
                <w:color w:val="auto"/>
                <w:sz w:val="24"/>
              </w:rPr>
              <w:t>合同，报生态环境主管部门备案。危险废物转移需执行报批和转移联单等制度。</w:t>
            </w:r>
            <w:r>
              <w:rPr>
                <w:rFonts w:hint="eastAsia" w:ascii="Times New Roman" w:hAnsi="Times New Roman" w:eastAsia="宋体" w:cs="Times New Roman"/>
                <w:color w:val="auto"/>
                <w:sz w:val="24"/>
              </w:rPr>
              <w:t>各类固废</w:t>
            </w:r>
            <w:r>
              <w:rPr>
                <w:rFonts w:ascii="Times New Roman" w:hAnsi="Times New Roman" w:eastAsia="宋体" w:cs="Times New Roman"/>
                <w:color w:val="auto"/>
                <w:sz w:val="24"/>
              </w:rPr>
              <w:t>在外运处置前，须在厂内安全暂存，确保固废不产生二次污染。</w:t>
            </w:r>
          </w:p>
          <w:p w14:paraId="769651E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1）履行申报登记制度；</w:t>
            </w:r>
          </w:p>
          <w:p w14:paraId="5B70618D">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2）建立台账管理制度，企业须做好危险废物情况的记录，记录上需注明危险废物的名称、来源、数量、特性和包装容器的类别；</w:t>
            </w:r>
          </w:p>
          <w:p w14:paraId="2CF0562B">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3）委托处置应执行报批和转移联单等制度；</w:t>
            </w:r>
          </w:p>
          <w:p w14:paraId="500F136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4）定期对暂存的危险废物包装容器及贮存设施进行检查，及早发现破损，及时采取措施清理更换；</w:t>
            </w:r>
          </w:p>
          <w:p w14:paraId="439EE6EE">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5）固废贮存（处置）场所规范化设置，固体废物贮存(处置)场所应在醒目处设置标志牌；</w:t>
            </w:r>
          </w:p>
          <w:p w14:paraId="4EF25EB9">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Times New Roman"/>
                <w:color w:val="auto"/>
                <w:sz w:val="24"/>
              </w:rPr>
              <w:t>6</w:t>
            </w:r>
            <w:r>
              <w:rPr>
                <w:rFonts w:ascii="Times New Roman" w:hAnsi="Times New Roman" w:eastAsia="宋体" w:cs="Times New Roman"/>
                <w:color w:val="auto"/>
                <w:sz w:val="24"/>
              </w:rPr>
              <w:t>）危废应根据其化学特性选择合适的容器和存放地点，通过密闭容器存放，不可混合贮存，容器标签必须标明废物种类、贮存时间，定期处理；</w:t>
            </w:r>
          </w:p>
          <w:p w14:paraId="4F3D3CE1">
            <w:pPr>
              <w:spacing w:line="360" w:lineRule="auto"/>
              <w:ind w:firstLine="482" w:firstLineChars="200"/>
              <w:rPr>
                <w:rFonts w:ascii="Times New Roman" w:hAnsi="Times New Roman" w:eastAsia="宋体" w:cs="Times New Roman"/>
                <w:snapToGrid w:val="0"/>
                <w:color w:val="auto"/>
                <w:sz w:val="24"/>
                <w:szCs w:val="24"/>
              </w:rPr>
            </w:pPr>
            <w:r>
              <w:rPr>
                <w:rFonts w:hint="eastAsia" w:ascii="Times New Roman" w:hAnsi="Times New Roman" w:eastAsia="宋体" w:cs="Times New Roman"/>
                <w:b/>
                <w:snapToGrid w:val="0"/>
                <w:color w:val="auto"/>
                <w:sz w:val="24"/>
                <w:szCs w:val="24"/>
              </w:rPr>
              <w:t>五、土壤、</w:t>
            </w:r>
            <w:r>
              <w:rPr>
                <w:rFonts w:hint="eastAsia" w:ascii="Times New Roman" w:hAnsi="Times New Roman" w:eastAsia="宋体" w:cs="Times New Roman"/>
                <w:b/>
                <w:color w:val="auto"/>
                <w:sz w:val="24"/>
                <w:szCs w:val="24"/>
              </w:rPr>
              <w:t>地下水环境影响和保护措施</w:t>
            </w:r>
          </w:p>
          <w:p w14:paraId="55268696">
            <w:pPr>
              <w:spacing w:line="360" w:lineRule="auto"/>
              <w:ind w:firstLine="480" w:firstLineChars="200"/>
              <w:rPr>
                <w:rFonts w:ascii="Times New Roman" w:hAnsi="Times New Roman" w:eastAsia="宋体" w:cs="Times New Roman"/>
                <w:snapToGrid w:val="0"/>
                <w:color w:val="auto"/>
                <w:sz w:val="24"/>
              </w:rPr>
            </w:pPr>
            <w:r>
              <w:rPr>
                <w:rFonts w:hint="eastAsia" w:ascii="Times New Roman" w:hAnsi="Times New Roman" w:eastAsia="宋体" w:cs="Times New Roman"/>
                <w:snapToGrid w:val="0"/>
                <w:color w:val="auto"/>
                <w:sz w:val="24"/>
              </w:rPr>
              <w:t>本项目调漆位于调漆房内，喷漆工序位于喷漆房内，烘干工序位于烘干区，调漆房、喷漆房、烘干区做硬化、防渗处理，正常工况下，不会污染土壤、地下水。</w:t>
            </w:r>
          </w:p>
          <w:p w14:paraId="2723F761">
            <w:pPr>
              <w:spacing w:line="360" w:lineRule="auto"/>
              <w:ind w:firstLine="480" w:firstLineChars="200"/>
              <w:rPr>
                <w:rFonts w:ascii="Times New Roman" w:hAnsi="Times New Roman" w:eastAsia="宋体" w:cs="Times New Roman"/>
                <w:snapToGrid w:val="0"/>
                <w:color w:val="auto"/>
                <w:sz w:val="24"/>
              </w:rPr>
            </w:pPr>
            <w:r>
              <w:rPr>
                <w:rFonts w:hint="eastAsia" w:ascii="Times New Roman" w:hAnsi="Times New Roman" w:eastAsia="宋体" w:cs="Times New Roman"/>
                <w:snapToGrid w:val="0"/>
                <w:color w:val="auto"/>
                <w:sz w:val="24"/>
              </w:rPr>
              <w:t>为防止本项目污染地下水、土壤，在项目设计和施工过程中，应对厂区进行专项防渗设计和分区防渗处理。根据《环境影响评价技术导则地下水环境》(HJ610-2016)，污染防治区可分为重点防渗区、一般防渗区和简单防渗区。</w:t>
            </w:r>
          </w:p>
          <w:p w14:paraId="72BEA2A8">
            <w:pPr>
              <w:spacing w:line="360" w:lineRule="auto"/>
              <w:ind w:firstLine="480" w:firstLineChars="200"/>
              <w:rPr>
                <w:rFonts w:ascii="Times New Roman" w:hAnsi="Times New Roman" w:eastAsia="宋体" w:cs="Times New Roman"/>
                <w:color w:val="auto"/>
                <w:sz w:val="24"/>
                <w:szCs w:val="20"/>
              </w:rPr>
            </w:pPr>
            <w:r>
              <w:rPr>
                <w:rFonts w:hint="eastAsia" w:ascii="Times New Roman" w:hAnsi="Times New Roman" w:eastAsia="宋体" w:cs="Times New Roman"/>
                <w:snapToGrid w:val="0"/>
                <w:color w:val="auto"/>
                <w:sz w:val="24"/>
              </w:rPr>
              <w:t>参照(HJ610-2016)要求，并根据厂区可能泄露至地面区域污染物的性质以及各设施及建构筑物污染物难易控制程度进行分级，本项目分区防渗情况如下。</w:t>
            </w:r>
          </w:p>
          <w:p w14:paraId="0CB389D5">
            <w:pPr>
              <w:spacing w:line="360" w:lineRule="auto"/>
              <w:ind w:firstLine="480" w:firstLineChars="200"/>
              <w:rPr>
                <w:rFonts w:ascii="Times New Roman" w:hAnsi="Times New Roman" w:eastAsia="宋体" w:cs="Times New Roman"/>
                <w:color w:val="auto"/>
                <w:sz w:val="24"/>
                <w:szCs w:val="20"/>
              </w:rPr>
            </w:pPr>
            <w:r>
              <w:rPr>
                <w:rFonts w:ascii="Times New Roman" w:hAnsi="Times New Roman" w:eastAsia="宋体" w:cs="Times New Roman"/>
                <w:color w:val="auto"/>
                <w:sz w:val="24"/>
                <w:szCs w:val="20"/>
              </w:rPr>
              <w:t>重点防渗区：重点防渗区指可能会对地下水和土壤造成污染，风险程度较高，需要重点防治的区域，主要为危险废物暂存间、调漆房、</w:t>
            </w:r>
            <w:r>
              <w:rPr>
                <w:rFonts w:hint="eastAsia" w:ascii="Times New Roman" w:hAnsi="Times New Roman" w:eastAsia="宋体" w:cs="Times New Roman"/>
                <w:color w:val="auto"/>
                <w:sz w:val="24"/>
                <w:szCs w:val="20"/>
              </w:rPr>
              <w:t>喷漆房、烘</w:t>
            </w:r>
            <w:r>
              <w:rPr>
                <w:rFonts w:ascii="Times New Roman" w:hAnsi="Times New Roman" w:eastAsia="宋体" w:cs="Times New Roman"/>
                <w:color w:val="auto"/>
                <w:sz w:val="24"/>
                <w:szCs w:val="20"/>
              </w:rPr>
              <w:t>干区、供漆室区域。重点防渗区的防渗技术要求为等效黏土防渗层Mb≥6.0m，K≤10</w:t>
            </w:r>
            <w:r>
              <w:rPr>
                <w:rFonts w:ascii="Times New Roman" w:hAnsi="Times New Roman" w:eastAsia="宋体" w:cs="Times New Roman"/>
                <w:color w:val="auto"/>
                <w:sz w:val="24"/>
                <w:szCs w:val="20"/>
                <w:vertAlign w:val="superscript"/>
              </w:rPr>
              <w:t>-7</w:t>
            </w:r>
            <w:r>
              <w:rPr>
                <w:rFonts w:ascii="Times New Roman" w:hAnsi="Times New Roman" w:eastAsia="宋体" w:cs="Times New Roman"/>
                <w:color w:val="auto"/>
                <w:sz w:val="24"/>
                <w:szCs w:val="20"/>
              </w:rPr>
              <w:t>cm/s。其中危险废物暂存间还需要满足《危险废物贮存污染控制标准》（GB18597-2023）中防渗要求：基础必须防渗，防渗层为至少1m厚粘土层（渗透系数K≤10</w:t>
            </w:r>
            <w:r>
              <w:rPr>
                <w:rFonts w:ascii="Times New Roman" w:hAnsi="Times New Roman" w:eastAsia="宋体" w:cs="Times New Roman"/>
                <w:color w:val="auto"/>
                <w:sz w:val="24"/>
                <w:szCs w:val="20"/>
                <w:vertAlign w:val="superscript"/>
              </w:rPr>
              <w:t>-7</w:t>
            </w:r>
            <w:r>
              <w:rPr>
                <w:rFonts w:ascii="Times New Roman" w:hAnsi="Times New Roman" w:eastAsia="宋体" w:cs="Times New Roman"/>
                <w:color w:val="auto"/>
                <w:sz w:val="24"/>
                <w:szCs w:val="20"/>
              </w:rPr>
              <w:t>cm/s），或2mm厚高密度聚乙烯，或至少2mm厚的其它人工材料，渗透系数K≤10</w:t>
            </w:r>
            <w:r>
              <w:rPr>
                <w:rFonts w:ascii="Times New Roman" w:hAnsi="Times New Roman" w:eastAsia="宋体" w:cs="Times New Roman"/>
                <w:color w:val="auto"/>
                <w:sz w:val="24"/>
                <w:szCs w:val="20"/>
                <w:vertAlign w:val="superscript"/>
              </w:rPr>
              <w:t>-10</w:t>
            </w:r>
            <w:r>
              <w:rPr>
                <w:rFonts w:ascii="Times New Roman" w:hAnsi="Times New Roman" w:eastAsia="宋体" w:cs="Times New Roman"/>
                <w:color w:val="auto"/>
                <w:sz w:val="24"/>
                <w:szCs w:val="20"/>
              </w:rPr>
              <w:t>cm/s。</w:t>
            </w:r>
          </w:p>
          <w:p w14:paraId="157978EE">
            <w:pPr>
              <w:spacing w:line="360" w:lineRule="auto"/>
              <w:ind w:firstLine="480" w:firstLineChars="200"/>
              <w:rPr>
                <w:rFonts w:ascii="Times New Roman" w:hAnsi="Times New Roman" w:eastAsia="宋体" w:cs="Times New Roman"/>
                <w:color w:val="auto"/>
                <w:sz w:val="24"/>
                <w:szCs w:val="20"/>
              </w:rPr>
            </w:pPr>
            <w:r>
              <w:rPr>
                <w:rFonts w:ascii="Times New Roman" w:hAnsi="Times New Roman" w:eastAsia="宋体" w:cs="Times New Roman"/>
                <w:color w:val="auto"/>
                <w:sz w:val="24"/>
                <w:szCs w:val="20"/>
              </w:rPr>
              <w:t>一般防渗区：一般防渗区是指可能会对地下水和土壤造成污染，但危害性或风险程度相对较低的区域，本项目将除重点防渗区外的其他区域均设为一般防渗区。一般防渗区的防渗技术要求：等效黏土防渗层Mb≥1.5m，K≤10</w:t>
            </w:r>
            <w:r>
              <w:rPr>
                <w:rFonts w:ascii="Times New Roman" w:hAnsi="Times New Roman" w:eastAsia="宋体" w:cs="Times New Roman"/>
                <w:color w:val="auto"/>
                <w:sz w:val="24"/>
                <w:szCs w:val="20"/>
                <w:vertAlign w:val="superscript"/>
              </w:rPr>
              <w:t>-7</w:t>
            </w:r>
            <w:r>
              <w:rPr>
                <w:rFonts w:ascii="Times New Roman" w:hAnsi="Times New Roman" w:eastAsia="宋体" w:cs="Times New Roman"/>
                <w:color w:val="auto"/>
                <w:sz w:val="24"/>
                <w:szCs w:val="20"/>
              </w:rPr>
              <w:t>cm/s。</w:t>
            </w:r>
          </w:p>
          <w:p w14:paraId="0FE7400A">
            <w:pPr>
              <w:wordWrap w:val="0"/>
              <w:autoSpaceDE w:val="0"/>
              <w:autoSpaceDN w:val="0"/>
              <w:spacing w:line="360" w:lineRule="auto"/>
              <w:ind w:firstLine="480" w:firstLineChars="200"/>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针对不同区域采取相应的防渗措施，具体见下表。</w:t>
            </w:r>
          </w:p>
          <w:p w14:paraId="116636D3">
            <w:pPr>
              <w:adjustRightInd w:val="0"/>
              <w:spacing w:line="360" w:lineRule="auto"/>
              <w:jc w:val="center"/>
              <w:rPr>
                <w:rFonts w:ascii="Times New Roman" w:hAnsi="Times New Roman" w:eastAsia="黑体"/>
                <w:color w:val="auto"/>
                <w:sz w:val="24"/>
              </w:rPr>
            </w:pPr>
          </w:p>
          <w:p w14:paraId="3C15BC79">
            <w:pPr>
              <w:adjustRightInd w:val="0"/>
              <w:spacing w:line="360" w:lineRule="auto"/>
              <w:jc w:val="center"/>
              <w:rPr>
                <w:rFonts w:ascii="Times New Roman" w:hAnsi="Times New Roman" w:eastAsia="黑体"/>
                <w:color w:val="auto"/>
                <w:sz w:val="24"/>
              </w:rPr>
            </w:pPr>
          </w:p>
          <w:p w14:paraId="2513C39B">
            <w:pPr>
              <w:adjustRightInd w:val="0"/>
              <w:spacing w:line="360" w:lineRule="auto"/>
              <w:jc w:val="center"/>
              <w:rPr>
                <w:rFonts w:ascii="Times New Roman" w:hAnsi="Times New Roman" w:eastAsia="黑体"/>
                <w:color w:val="auto"/>
                <w:sz w:val="24"/>
              </w:rPr>
            </w:pPr>
            <w:r>
              <w:rPr>
                <w:rFonts w:ascii="Times New Roman" w:hAnsi="Times New Roman" w:eastAsia="黑体"/>
                <w:color w:val="auto"/>
                <w:sz w:val="24"/>
              </w:rPr>
              <w:t>表</w:t>
            </w:r>
            <w:r>
              <w:rPr>
                <w:rFonts w:ascii="Times New Roman" w:hAnsi="Times New Roman" w:eastAsia="黑体" w:cs="Times New Roman"/>
                <w:color w:val="auto"/>
                <w:sz w:val="24"/>
              </w:rPr>
              <w:t>4-</w:t>
            </w:r>
            <w:r>
              <w:rPr>
                <w:rFonts w:hint="eastAsia" w:ascii="Times New Roman" w:hAnsi="Times New Roman" w:eastAsia="黑体" w:cs="Times New Roman"/>
                <w:color w:val="auto"/>
                <w:sz w:val="24"/>
              </w:rPr>
              <w:t xml:space="preserve">15  </w:t>
            </w:r>
            <w:r>
              <w:rPr>
                <w:rFonts w:ascii="Times New Roman" w:hAnsi="Times New Roman" w:eastAsia="黑体"/>
                <w:color w:val="auto"/>
                <w:sz w:val="24"/>
              </w:rPr>
              <w:t>本项目分区防渗一览表</w:t>
            </w:r>
          </w:p>
          <w:tbl>
            <w:tblPr>
              <w:tblStyle w:val="18"/>
              <w:tblW w:w="50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1261"/>
              <w:gridCol w:w="1187"/>
              <w:gridCol w:w="2731"/>
              <w:gridCol w:w="2399"/>
            </w:tblGrid>
            <w:tr w14:paraId="4DEC84EA">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832" w:type="pct"/>
                  <w:vAlign w:val="center"/>
                </w:tcPr>
                <w:p w14:paraId="03D932F3">
                  <w:pPr>
                    <w:autoSpaceDE w:val="0"/>
                    <w:autoSpaceDN w:val="0"/>
                    <w:spacing w:line="276" w:lineRule="auto"/>
                    <w:jc w:val="center"/>
                    <w:rPr>
                      <w:rFonts w:ascii="Times New Roman" w:hAnsi="Times New Roman" w:cs="Times New Roman"/>
                      <w:b/>
                      <w:color w:val="auto"/>
                      <w:kern w:val="0"/>
                      <w:szCs w:val="23"/>
                    </w:rPr>
                  </w:pPr>
                  <w:r>
                    <w:rPr>
                      <w:rFonts w:ascii="Times New Roman" w:hAnsi="Times New Roman" w:cs="Times New Roman"/>
                      <w:b/>
                      <w:color w:val="auto"/>
                      <w:kern w:val="0"/>
                      <w:szCs w:val="23"/>
                    </w:rPr>
                    <w:t>区域</w:t>
                  </w:r>
                </w:p>
              </w:tc>
              <w:tc>
                <w:tcPr>
                  <w:tcW w:w="783" w:type="pct"/>
                  <w:vAlign w:val="center"/>
                </w:tcPr>
                <w:p w14:paraId="71FB2DC8">
                  <w:pPr>
                    <w:autoSpaceDE w:val="0"/>
                    <w:autoSpaceDN w:val="0"/>
                    <w:spacing w:line="276" w:lineRule="auto"/>
                    <w:jc w:val="center"/>
                    <w:rPr>
                      <w:rFonts w:ascii="Times New Roman" w:hAnsi="Times New Roman" w:cs="Times New Roman"/>
                      <w:b/>
                      <w:color w:val="auto"/>
                      <w:kern w:val="0"/>
                      <w:szCs w:val="23"/>
                    </w:rPr>
                  </w:pPr>
                  <w:r>
                    <w:rPr>
                      <w:rFonts w:ascii="Times New Roman" w:hAnsi="Times New Roman" w:cs="Times New Roman"/>
                      <w:b/>
                      <w:color w:val="auto"/>
                      <w:kern w:val="0"/>
                      <w:szCs w:val="23"/>
                    </w:rPr>
                    <w:t>防渗等级</w:t>
                  </w:r>
                </w:p>
              </w:tc>
              <w:tc>
                <w:tcPr>
                  <w:tcW w:w="1801" w:type="pct"/>
                  <w:vAlign w:val="center"/>
                </w:tcPr>
                <w:p w14:paraId="56FE2506">
                  <w:pPr>
                    <w:autoSpaceDE w:val="0"/>
                    <w:autoSpaceDN w:val="0"/>
                    <w:spacing w:line="276" w:lineRule="auto"/>
                    <w:jc w:val="center"/>
                    <w:rPr>
                      <w:rFonts w:ascii="Times New Roman" w:hAnsi="Times New Roman" w:cs="Times New Roman"/>
                      <w:b/>
                      <w:color w:val="auto"/>
                      <w:kern w:val="0"/>
                      <w:szCs w:val="23"/>
                    </w:rPr>
                  </w:pPr>
                  <w:r>
                    <w:rPr>
                      <w:rFonts w:ascii="Times New Roman" w:hAnsi="Times New Roman" w:cs="Times New Roman"/>
                      <w:b/>
                      <w:color w:val="auto"/>
                      <w:kern w:val="0"/>
                      <w:szCs w:val="23"/>
                    </w:rPr>
                    <w:t>防渗技术要求</w:t>
                  </w:r>
                </w:p>
              </w:tc>
              <w:tc>
                <w:tcPr>
                  <w:tcW w:w="1582" w:type="pct"/>
                  <w:vAlign w:val="center"/>
                </w:tcPr>
                <w:p w14:paraId="54B89175">
                  <w:pPr>
                    <w:autoSpaceDE w:val="0"/>
                    <w:autoSpaceDN w:val="0"/>
                    <w:spacing w:line="276" w:lineRule="auto"/>
                    <w:jc w:val="center"/>
                    <w:rPr>
                      <w:rFonts w:ascii="Times New Roman" w:hAnsi="Times New Roman" w:cs="Times New Roman"/>
                      <w:b/>
                      <w:color w:val="auto"/>
                      <w:kern w:val="0"/>
                      <w:szCs w:val="23"/>
                    </w:rPr>
                  </w:pPr>
                  <w:r>
                    <w:rPr>
                      <w:rFonts w:ascii="Times New Roman" w:hAnsi="Times New Roman" w:cs="Times New Roman"/>
                      <w:b/>
                      <w:color w:val="auto"/>
                      <w:kern w:val="0"/>
                      <w:szCs w:val="23"/>
                    </w:rPr>
                    <w:t>拟采取的防渗措施</w:t>
                  </w:r>
                </w:p>
              </w:tc>
            </w:tr>
            <w:tr w14:paraId="5428B60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15" w:hRule="atLeast"/>
              </w:trPr>
              <w:tc>
                <w:tcPr>
                  <w:tcW w:w="832" w:type="pct"/>
                  <w:vAlign w:val="center"/>
                </w:tcPr>
                <w:p w14:paraId="3AB85A64">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kern w:val="0"/>
                      <w:szCs w:val="23"/>
                    </w:rPr>
                    <w:t>调漆房、喷漆房、烘干区、供漆室</w:t>
                  </w:r>
                </w:p>
              </w:tc>
              <w:tc>
                <w:tcPr>
                  <w:tcW w:w="783" w:type="pct"/>
                  <w:vAlign w:val="center"/>
                </w:tcPr>
                <w:p w14:paraId="4382A615">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kern w:val="0"/>
                      <w:szCs w:val="23"/>
                    </w:rPr>
                    <w:t>重点防渗区</w:t>
                  </w:r>
                </w:p>
              </w:tc>
              <w:tc>
                <w:tcPr>
                  <w:tcW w:w="1801" w:type="pct"/>
                  <w:vAlign w:val="center"/>
                </w:tcPr>
                <w:p w14:paraId="70593190">
                  <w:pPr>
                    <w:spacing w:line="276" w:lineRule="auto"/>
                    <w:jc w:val="center"/>
                    <w:rPr>
                      <w:rFonts w:ascii="Times New Roman" w:hAnsi="Times New Roman" w:cs="Times New Roman"/>
                      <w:color w:val="auto"/>
                      <w:szCs w:val="21"/>
                    </w:rPr>
                  </w:pPr>
                  <w:r>
                    <w:rPr>
                      <w:rFonts w:ascii="Times New Roman" w:hAnsi="Times New Roman" w:cs="Times New Roman"/>
                      <w:color w:val="auto"/>
                      <w:szCs w:val="21"/>
                    </w:rPr>
                    <w:t>等效黏土防渗层Mb≥6.0m，K≤1×10</w:t>
                  </w:r>
                  <w:r>
                    <w:rPr>
                      <w:rFonts w:ascii="Times New Roman" w:hAnsi="Times New Roman" w:cs="Times New Roman"/>
                      <w:color w:val="auto"/>
                      <w:szCs w:val="21"/>
                      <w:vertAlign w:val="superscript"/>
                    </w:rPr>
                    <w:t>-7</w:t>
                  </w:r>
                  <w:r>
                    <w:rPr>
                      <w:rFonts w:ascii="Times New Roman" w:hAnsi="Times New Roman" w:cs="Times New Roman"/>
                      <w:color w:val="auto"/>
                      <w:szCs w:val="21"/>
                    </w:rPr>
                    <w:t>cm/s</w:t>
                  </w:r>
                </w:p>
              </w:tc>
              <w:tc>
                <w:tcPr>
                  <w:tcW w:w="1582" w:type="pct"/>
                  <w:vAlign w:val="center"/>
                </w:tcPr>
                <w:p w14:paraId="22AB2A69">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kern w:val="0"/>
                      <w:szCs w:val="23"/>
                    </w:rPr>
                    <w:t>15cm抗渗混凝土+2mmHDPE膜</w:t>
                  </w:r>
                </w:p>
              </w:tc>
            </w:tr>
            <w:tr w14:paraId="0AA777D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15" w:hRule="atLeast"/>
              </w:trPr>
              <w:tc>
                <w:tcPr>
                  <w:tcW w:w="832" w:type="pct"/>
                  <w:vAlign w:val="center"/>
                </w:tcPr>
                <w:p w14:paraId="738A829A">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kern w:val="0"/>
                      <w:szCs w:val="23"/>
                    </w:rPr>
                    <w:t>危险废物暂存间</w:t>
                  </w:r>
                </w:p>
              </w:tc>
              <w:tc>
                <w:tcPr>
                  <w:tcW w:w="783" w:type="pct"/>
                  <w:vAlign w:val="center"/>
                </w:tcPr>
                <w:p w14:paraId="778FD686">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kern w:val="0"/>
                      <w:szCs w:val="23"/>
                    </w:rPr>
                    <w:t>重点防渗区</w:t>
                  </w:r>
                </w:p>
              </w:tc>
              <w:tc>
                <w:tcPr>
                  <w:tcW w:w="1801" w:type="pct"/>
                  <w:vAlign w:val="center"/>
                </w:tcPr>
                <w:p w14:paraId="4AD1B707">
                  <w:pPr>
                    <w:spacing w:line="276" w:lineRule="auto"/>
                    <w:jc w:val="center"/>
                    <w:rPr>
                      <w:rFonts w:ascii="Times New Roman" w:hAnsi="Times New Roman" w:cs="Times New Roman"/>
                      <w:color w:val="auto"/>
                      <w:szCs w:val="21"/>
                    </w:rPr>
                  </w:pPr>
                  <w:r>
                    <w:rPr>
                      <w:rFonts w:ascii="Times New Roman" w:hAnsi="Times New Roman" w:cs="Times New Roman"/>
                      <w:color w:val="auto"/>
                      <w:szCs w:val="21"/>
                    </w:rPr>
                    <w:t>至少1m厚黏土层（渗透系数≤10</w:t>
                  </w:r>
                  <w:r>
                    <w:rPr>
                      <w:rFonts w:ascii="Times New Roman" w:hAnsi="Times New Roman" w:cs="Times New Roman"/>
                      <w:color w:val="auto"/>
                      <w:szCs w:val="21"/>
                      <w:vertAlign w:val="superscript"/>
                    </w:rPr>
                    <w:t>-7</w:t>
                  </w:r>
                  <w:r>
                    <w:rPr>
                      <w:rFonts w:ascii="Times New Roman" w:hAnsi="Times New Roman" w:cs="Times New Roman"/>
                      <w:color w:val="auto"/>
                      <w:szCs w:val="21"/>
                    </w:rPr>
                    <w:t>cm/s），或至少2mm厚高密度聚乙烯膜等人工防渗材料（渗透系数≤10</w:t>
                  </w:r>
                  <w:r>
                    <w:rPr>
                      <w:rFonts w:ascii="Times New Roman" w:hAnsi="Times New Roman" w:cs="Times New Roman"/>
                      <w:color w:val="auto"/>
                      <w:szCs w:val="21"/>
                      <w:vertAlign w:val="superscript"/>
                    </w:rPr>
                    <w:t>-10</w:t>
                  </w:r>
                  <w:r>
                    <w:rPr>
                      <w:rFonts w:ascii="Times New Roman" w:hAnsi="Times New Roman" w:cs="Times New Roman"/>
                      <w:color w:val="auto"/>
                      <w:szCs w:val="21"/>
                    </w:rPr>
                    <w:t>cm/s），或其他防渗性能等效的材料</w:t>
                  </w:r>
                </w:p>
              </w:tc>
              <w:tc>
                <w:tcPr>
                  <w:tcW w:w="1582" w:type="pct"/>
                  <w:vAlign w:val="center"/>
                </w:tcPr>
                <w:p w14:paraId="42A6AFED">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kern w:val="0"/>
                      <w:szCs w:val="23"/>
                    </w:rPr>
                    <w:t>15cm抗渗混凝土+2mmHDPE膜</w:t>
                  </w:r>
                </w:p>
              </w:tc>
            </w:tr>
            <w:tr w14:paraId="6954411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c>
                <w:tcPr>
                  <w:tcW w:w="832" w:type="pct"/>
                  <w:vAlign w:val="center"/>
                </w:tcPr>
                <w:p w14:paraId="54B003C0">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kern w:val="0"/>
                      <w:szCs w:val="23"/>
                    </w:rPr>
                    <w:t>生产厂房其他区域</w:t>
                  </w:r>
                </w:p>
              </w:tc>
              <w:tc>
                <w:tcPr>
                  <w:tcW w:w="783" w:type="pct"/>
                  <w:vAlign w:val="center"/>
                </w:tcPr>
                <w:p w14:paraId="2692018B">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kern w:val="0"/>
                      <w:szCs w:val="23"/>
                    </w:rPr>
                    <w:t>一般防渗区</w:t>
                  </w:r>
                </w:p>
              </w:tc>
              <w:tc>
                <w:tcPr>
                  <w:tcW w:w="1801" w:type="pct"/>
                  <w:vAlign w:val="center"/>
                </w:tcPr>
                <w:p w14:paraId="27E314C5">
                  <w:pPr>
                    <w:autoSpaceDE w:val="0"/>
                    <w:autoSpaceDN w:val="0"/>
                    <w:spacing w:line="276" w:lineRule="auto"/>
                    <w:jc w:val="center"/>
                    <w:rPr>
                      <w:rFonts w:ascii="Times New Roman" w:hAnsi="Times New Roman" w:cs="Times New Roman"/>
                      <w:color w:val="auto"/>
                      <w:kern w:val="0"/>
                      <w:szCs w:val="23"/>
                    </w:rPr>
                  </w:pPr>
                  <w:r>
                    <w:rPr>
                      <w:rFonts w:ascii="Times New Roman" w:hAnsi="Times New Roman" w:cs="Times New Roman"/>
                      <w:color w:val="auto"/>
                      <w:szCs w:val="21"/>
                    </w:rPr>
                    <w:t>等效黏土防渗层Mb≥1.5m，K≤1×10</w:t>
                  </w:r>
                  <w:r>
                    <w:rPr>
                      <w:rFonts w:ascii="Times New Roman" w:hAnsi="Times New Roman" w:cs="Times New Roman"/>
                      <w:color w:val="auto"/>
                      <w:szCs w:val="21"/>
                      <w:vertAlign w:val="superscript"/>
                    </w:rPr>
                    <w:t>-7</w:t>
                  </w:r>
                  <w:r>
                    <w:rPr>
                      <w:rFonts w:ascii="Times New Roman" w:hAnsi="Times New Roman" w:cs="Times New Roman"/>
                      <w:color w:val="auto"/>
                      <w:szCs w:val="21"/>
                    </w:rPr>
                    <w:t>cm/s</w:t>
                  </w:r>
                </w:p>
              </w:tc>
              <w:tc>
                <w:tcPr>
                  <w:tcW w:w="1582" w:type="pct"/>
                  <w:vAlign w:val="center"/>
                </w:tcPr>
                <w:p w14:paraId="56FBDCDC">
                  <w:pPr>
                    <w:autoSpaceDE w:val="0"/>
                    <w:autoSpaceDN w:val="0"/>
                    <w:spacing w:line="276" w:lineRule="auto"/>
                    <w:jc w:val="center"/>
                    <w:rPr>
                      <w:rFonts w:ascii="Times New Roman" w:hAnsi="Times New Roman" w:cs="Times New Roman"/>
                      <w:color w:val="auto"/>
                      <w:szCs w:val="21"/>
                    </w:rPr>
                  </w:pPr>
                  <w:r>
                    <w:rPr>
                      <w:rFonts w:ascii="Times New Roman" w:hAnsi="Times New Roman" w:cs="Times New Roman"/>
                      <w:color w:val="auto"/>
                      <w:kern w:val="0"/>
                      <w:szCs w:val="23"/>
                    </w:rPr>
                    <w:t>15cm抗渗混凝土</w:t>
                  </w:r>
                </w:p>
              </w:tc>
            </w:tr>
          </w:tbl>
          <w:p w14:paraId="2E98F27C">
            <w:pPr>
              <w:spacing w:line="440" w:lineRule="exact"/>
              <w:ind w:firstLine="470" w:firstLineChars="196"/>
              <w:rPr>
                <w:rFonts w:ascii="Times New Roman" w:hAnsi="Times New Roman" w:eastAsia="宋体" w:cs="Times New Roman"/>
                <w:b/>
                <w:color w:val="auto"/>
                <w:sz w:val="24"/>
                <w:szCs w:val="24"/>
              </w:rPr>
            </w:pPr>
            <w:r>
              <w:rPr>
                <w:rFonts w:ascii="Times New Roman" w:hAnsi="Times New Roman" w:cs="Times New Roman"/>
                <w:color w:val="auto"/>
                <w:sz w:val="24"/>
                <w:szCs w:val="20"/>
              </w:rPr>
              <w:t>因此，在落实各项防渗措施后，项目不会对区域地下水、土壤环境产生明显影响。</w:t>
            </w:r>
          </w:p>
          <w:p w14:paraId="16F36F91">
            <w:pPr>
              <w:spacing w:line="440" w:lineRule="exact"/>
              <w:ind w:firstLine="472" w:firstLineChars="196"/>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六、环境风险评价</w:t>
            </w:r>
          </w:p>
          <w:p w14:paraId="15DD326F">
            <w:pPr>
              <w:spacing w:line="360" w:lineRule="auto"/>
              <w:ind w:firstLine="482" w:firstLineChars="200"/>
              <w:jc w:val="left"/>
              <w:rPr>
                <w:rFonts w:ascii="Times New Roman" w:hAnsi="Times New Roman" w:cs="Times New Roman"/>
                <w:bCs/>
                <w:color w:val="auto"/>
                <w:sz w:val="24"/>
                <w:szCs w:val="24"/>
              </w:rPr>
            </w:pPr>
            <w:r>
              <w:rPr>
                <w:rFonts w:hint="eastAsia" w:ascii="Times New Roman" w:hAnsi="Times New Roman" w:cs="Times New Roman"/>
                <w:b/>
                <w:bCs/>
                <w:color w:val="auto"/>
                <w:sz w:val="24"/>
              </w:rPr>
              <w:t>1、</w:t>
            </w:r>
            <w:r>
              <w:rPr>
                <w:rFonts w:hint="eastAsia" w:ascii="Times New Roman" w:hAnsi="Times New Roman" w:cs="Times New Roman"/>
                <w:bCs/>
                <w:color w:val="auto"/>
                <w:sz w:val="24"/>
                <w:szCs w:val="24"/>
              </w:rPr>
              <w:t>环境风险调查</w:t>
            </w:r>
          </w:p>
          <w:p w14:paraId="50EA8E2F">
            <w:pPr>
              <w:spacing w:line="360" w:lineRule="auto"/>
              <w:ind w:firstLine="480" w:firstLineChars="200"/>
              <w:rPr>
                <w:rFonts w:ascii="Times New Roman" w:hAnsi="Times New Roman" w:cs="Times New Roman"/>
                <w:bCs/>
                <w:color w:val="auto"/>
                <w:sz w:val="24"/>
                <w:szCs w:val="24"/>
              </w:rPr>
            </w:pPr>
            <w:r>
              <w:rPr>
                <w:rFonts w:hint="eastAsia" w:ascii="Times New Roman" w:hAnsi="Times New Roman" w:cs="Times New Roman"/>
                <w:bCs/>
                <w:color w:val="auto"/>
                <w:sz w:val="24"/>
                <w:szCs w:val="24"/>
              </w:rPr>
              <w:t>拟建项目生产过程中涉及的原辅材料主要为水性底漆和水性面漆等；厂内废水主要为生活污水，根据废水源强分析可知，厂内废水COD浓度小于</w:t>
            </w:r>
            <w:r>
              <w:rPr>
                <w:rFonts w:ascii="Times New Roman" w:hAnsi="Times New Roman" w:cs="Times New Roman"/>
                <w:bCs/>
                <w:color w:val="auto"/>
                <w:sz w:val="24"/>
                <w:szCs w:val="24"/>
              </w:rPr>
              <w:t>10000mg/L，NH</w:t>
            </w:r>
            <w:r>
              <w:rPr>
                <w:rFonts w:ascii="Times New Roman" w:hAnsi="Times New Roman" w:cs="Times New Roman"/>
                <w:bCs/>
                <w:color w:val="auto"/>
                <w:sz w:val="24"/>
                <w:szCs w:val="24"/>
                <w:vertAlign w:val="subscript"/>
              </w:rPr>
              <w:t>3</w:t>
            </w:r>
            <w:r>
              <w:rPr>
                <w:rFonts w:ascii="Times New Roman" w:hAnsi="Times New Roman" w:cs="Times New Roman"/>
                <w:bCs/>
                <w:color w:val="auto"/>
                <w:sz w:val="24"/>
                <w:szCs w:val="24"/>
              </w:rPr>
              <w:t>-N浓度小于2000mg/L</w:t>
            </w:r>
            <w:r>
              <w:rPr>
                <w:rFonts w:hint="eastAsia" w:ascii="Times New Roman" w:hAnsi="Times New Roman" w:cs="Times New Roman"/>
                <w:bCs/>
                <w:color w:val="auto"/>
                <w:sz w:val="24"/>
                <w:szCs w:val="24"/>
              </w:rPr>
              <w:t>；涉及的固体废物为废羊毛球、废漆渣、废过滤棉、废活性炭、废涂料桶、水帘喷漆定期更换的废液、废润滑油、废润滑油桶、生活垃圾。</w:t>
            </w:r>
          </w:p>
          <w:p w14:paraId="22E026EC">
            <w:pPr>
              <w:spacing w:line="360" w:lineRule="auto"/>
              <w:ind w:firstLine="480" w:firstLineChars="200"/>
              <w:rPr>
                <w:rFonts w:ascii="Times New Roman" w:hAnsi="Times New Roman" w:cs="Times New Roman"/>
                <w:bCs/>
                <w:color w:val="auto"/>
                <w:sz w:val="24"/>
                <w:szCs w:val="24"/>
              </w:rPr>
            </w:pPr>
            <w:r>
              <w:rPr>
                <w:rFonts w:hint="eastAsia" w:ascii="Times New Roman" w:hAnsi="Times New Roman" w:cs="Times New Roman"/>
                <w:bCs/>
                <w:color w:val="auto"/>
                <w:sz w:val="24"/>
                <w:szCs w:val="24"/>
              </w:rPr>
              <w:t>根据《危险化学品名录》和《建设项目环境风险评价技术导则》（HJ169-2018）附录B中突发环境事件风险物质及临界值表</w:t>
            </w:r>
            <w:r>
              <w:rPr>
                <w:rFonts w:ascii="Times New Roman" w:hAnsi="Times New Roman" w:cs="Times New Roman"/>
                <w:bCs/>
                <w:color w:val="auto"/>
                <w:sz w:val="24"/>
                <w:szCs w:val="24"/>
              </w:rPr>
              <w:t>，本项目</w:t>
            </w:r>
            <w:r>
              <w:rPr>
                <w:rFonts w:ascii="Times New Roman" w:hAnsi="Times New Roman" w:cs="Times New Roman"/>
                <w:color w:val="auto"/>
                <w:sz w:val="24"/>
              </w:rPr>
              <w:t>生产所使用的的原辅料</w:t>
            </w:r>
            <w:r>
              <w:rPr>
                <w:rFonts w:hint="eastAsia" w:ascii="Times New Roman" w:hAnsi="Times New Roman" w:cs="Times New Roman"/>
                <w:color w:val="auto"/>
                <w:sz w:val="24"/>
              </w:rPr>
              <w:t>水性</w:t>
            </w:r>
            <w:r>
              <w:rPr>
                <w:rFonts w:ascii="Times New Roman" w:hAnsi="Times New Roman" w:cs="Times New Roman"/>
                <w:color w:val="auto"/>
                <w:sz w:val="24"/>
              </w:rPr>
              <w:t>底漆</w:t>
            </w:r>
            <w:r>
              <w:rPr>
                <w:rFonts w:hint="eastAsia" w:ascii="Times New Roman" w:hAnsi="Times New Roman" w:cs="Times New Roman"/>
                <w:color w:val="auto"/>
                <w:sz w:val="24"/>
              </w:rPr>
              <w:t>、</w:t>
            </w:r>
            <w:r>
              <w:rPr>
                <w:rFonts w:ascii="Times New Roman" w:hAnsi="Times New Roman" w:cs="Times New Roman"/>
                <w:color w:val="auto"/>
                <w:sz w:val="24"/>
              </w:rPr>
              <w:t>水性面漆</w:t>
            </w:r>
            <w:r>
              <w:rPr>
                <w:rFonts w:hint="eastAsia" w:ascii="Times New Roman" w:hAnsi="Times New Roman" w:cs="Times New Roman"/>
                <w:color w:val="auto"/>
                <w:sz w:val="24"/>
              </w:rPr>
              <w:t>、润滑油</w:t>
            </w:r>
            <w:r>
              <w:rPr>
                <w:rFonts w:hint="eastAsia" w:ascii="Times New Roman" w:hAnsi="Times New Roman" w:cs="Times New Roman"/>
                <w:bCs/>
                <w:color w:val="auto"/>
                <w:sz w:val="24"/>
                <w:szCs w:val="24"/>
              </w:rPr>
              <w:t>为危险物质。</w:t>
            </w:r>
            <w:r>
              <w:rPr>
                <w:rFonts w:hint="eastAsia" w:ascii="Times New Roman" w:hAnsi="Times New Roman" w:cs="Times New Roman"/>
                <w:color w:val="auto"/>
                <w:sz w:val="24"/>
              </w:rPr>
              <w:t>本项目厂区内产生的危险废物有废活性炭、废漆渣、废过滤棉、废涂料桶、水帘喷漆定期更换的废液、</w:t>
            </w:r>
            <w:r>
              <w:rPr>
                <w:rFonts w:hint="eastAsia" w:ascii="Times New Roman" w:hAnsi="Times New Roman" w:cs="Times New Roman"/>
                <w:bCs/>
                <w:color w:val="auto"/>
                <w:sz w:val="24"/>
                <w:szCs w:val="24"/>
              </w:rPr>
              <w:t>废润滑油、废润滑油桶</w:t>
            </w:r>
            <w:r>
              <w:rPr>
                <w:rFonts w:hint="eastAsia" w:ascii="Times New Roman" w:hAnsi="Times New Roman" w:cs="Times New Roman"/>
                <w:color w:val="auto"/>
                <w:sz w:val="24"/>
              </w:rPr>
              <w:t>，</w:t>
            </w:r>
            <w:r>
              <w:rPr>
                <w:rFonts w:ascii="Times New Roman" w:hAnsi="Times New Roman" w:cs="Times New Roman"/>
                <w:bCs/>
                <w:color w:val="auto"/>
                <w:sz w:val="24"/>
                <w:szCs w:val="24"/>
              </w:rPr>
              <w:t>本项目主要</w:t>
            </w:r>
            <w:r>
              <w:rPr>
                <w:rFonts w:hint="eastAsia" w:ascii="Times New Roman" w:hAnsi="Times New Roman" w:cs="Times New Roman"/>
                <w:bCs/>
                <w:color w:val="auto"/>
                <w:sz w:val="24"/>
                <w:szCs w:val="24"/>
              </w:rPr>
              <w:t>危险</w:t>
            </w:r>
            <w:r>
              <w:rPr>
                <w:rFonts w:ascii="Times New Roman" w:hAnsi="Times New Roman" w:cs="Times New Roman"/>
                <w:bCs/>
                <w:color w:val="auto"/>
                <w:sz w:val="24"/>
                <w:szCs w:val="24"/>
              </w:rPr>
              <w:t>物质数量及分布情况详见下表。</w:t>
            </w:r>
          </w:p>
          <w:p w14:paraId="05491C4C">
            <w:pPr>
              <w:spacing w:line="360" w:lineRule="auto"/>
              <w:jc w:val="center"/>
              <w:rPr>
                <w:rFonts w:ascii="Times New Roman" w:hAnsi="Times New Roman" w:eastAsia="黑体" w:cs="Times New Roman"/>
                <w:bCs/>
                <w:color w:val="auto"/>
                <w:sz w:val="24"/>
                <w:szCs w:val="24"/>
              </w:rPr>
            </w:pPr>
          </w:p>
          <w:p w14:paraId="588B83D2">
            <w:pPr>
              <w:spacing w:line="360" w:lineRule="auto"/>
              <w:jc w:val="center"/>
              <w:rPr>
                <w:rFonts w:ascii="Times New Roman" w:hAnsi="Times New Roman" w:eastAsia="黑体" w:cs="Times New Roman"/>
                <w:bCs/>
                <w:color w:val="auto"/>
                <w:sz w:val="24"/>
                <w:szCs w:val="24"/>
              </w:rPr>
            </w:pPr>
          </w:p>
          <w:p w14:paraId="6A710ADF">
            <w:pPr>
              <w:spacing w:line="360" w:lineRule="auto"/>
              <w:jc w:val="center"/>
              <w:rPr>
                <w:rFonts w:ascii="Times New Roman" w:hAnsi="Times New Roman" w:eastAsia="黑体" w:cs="Times New Roman"/>
                <w:bCs/>
                <w:color w:val="auto"/>
                <w:sz w:val="24"/>
                <w:szCs w:val="24"/>
              </w:rPr>
            </w:pPr>
          </w:p>
          <w:p w14:paraId="74F74372">
            <w:pPr>
              <w:spacing w:line="360" w:lineRule="auto"/>
              <w:jc w:val="center"/>
              <w:rPr>
                <w:rFonts w:ascii="Times New Roman" w:hAnsi="Times New Roman" w:eastAsia="黑体" w:cs="Times New Roman"/>
                <w:bCs/>
                <w:color w:val="auto"/>
                <w:sz w:val="24"/>
                <w:szCs w:val="24"/>
              </w:rPr>
            </w:pPr>
          </w:p>
          <w:p w14:paraId="5BC71162">
            <w:pPr>
              <w:spacing w:line="360" w:lineRule="auto"/>
              <w:jc w:val="center"/>
              <w:rPr>
                <w:rFonts w:ascii="Times New Roman" w:hAnsi="Times New Roman" w:eastAsia="黑体" w:cs="Times New Roman"/>
                <w:bCs/>
                <w:color w:val="auto"/>
                <w:sz w:val="24"/>
              </w:rPr>
            </w:pPr>
            <w:r>
              <w:rPr>
                <w:rFonts w:ascii="Times New Roman" w:hAnsi="Times New Roman" w:eastAsia="黑体" w:cs="Times New Roman"/>
                <w:bCs/>
                <w:color w:val="auto"/>
                <w:sz w:val="24"/>
                <w:szCs w:val="24"/>
              </w:rPr>
              <w:t>表4-</w:t>
            </w:r>
            <w:r>
              <w:rPr>
                <w:rFonts w:hint="eastAsia" w:ascii="Times New Roman" w:hAnsi="Times New Roman" w:eastAsia="黑体" w:cs="Times New Roman"/>
                <w:bCs/>
                <w:color w:val="auto"/>
                <w:sz w:val="24"/>
                <w:szCs w:val="24"/>
              </w:rPr>
              <w:t xml:space="preserve">16  </w:t>
            </w:r>
            <w:r>
              <w:rPr>
                <w:rFonts w:ascii="Times New Roman" w:hAnsi="Times New Roman" w:eastAsia="黑体" w:cs="Times New Roman"/>
                <w:bCs/>
                <w:color w:val="auto"/>
                <w:sz w:val="24"/>
              </w:rPr>
              <w:t>本项目</w:t>
            </w:r>
            <w:r>
              <w:rPr>
                <w:rFonts w:hint="eastAsia" w:ascii="Times New Roman" w:hAnsi="Times New Roman" w:eastAsia="黑体" w:cs="Times New Roman"/>
                <w:bCs/>
                <w:color w:val="auto"/>
                <w:sz w:val="24"/>
              </w:rPr>
              <w:t>涉及</w:t>
            </w:r>
            <w:r>
              <w:rPr>
                <w:rFonts w:ascii="Times New Roman" w:hAnsi="Times New Roman" w:eastAsia="黑体" w:cs="Times New Roman"/>
                <w:bCs/>
                <w:color w:val="auto"/>
                <w:sz w:val="24"/>
              </w:rPr>
              <w:t>的</w:t>
            </w:r>
            <w:r>
              <w:rPr>
                <w:rFonts w:hint="eastAsia" w:ascii="Times New Roman" w:hAnsi="Times New Roman" w:eastAsia="黑体" w:cs="Times New Roman"/>
                <w:color w:val="auto"/>
                <w:sz w:val="24"/>
              </w:rPr>
              <w:t>危险</w:t>
            </w:r>
            <w:r>
              <w:rPr>
                <w:rFonts w:ascii="Times New Roman" w:hAnsi="Times New Roman" w:eastAsia="黑体" w:cs="Times New Roman"/>
                <w:color w:val="auto"/>
                <w:sz w:val="24"/>
              </w:rPr>
              <w:t>物质</w:t>
            </w:r>
            <w:r>
              <w:rPr>
                <w:rFonts w:ascii="Times New Roman" w:hAnsi="Times New Roman" w:eastAsia="黑体" w:cs="Times New Roman"/>
                <w:bCs/>
                <w:color w:val="auto"/>
                <w:sz w:val="24"/>
              </w:rPr>
              <w:t>情况一览表</w:t>
            </w:r>
          </w:p>
          <w:tbl>
            <w:tblPr>
              <w:tblStyle w:val="17"/>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1683"/>
              <w:gridCol w:w="910"/>
              <w:gridCol w:w="2062"/>
              <w:gridCol w:w="1288"/>
              <w:gridCol w:w="1004"/>
            </w:tblGrid>
            <w:tr w14:paraId="12EFC40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0" w:type="auto"/>
                  <w:vAlign w:val="center"/>
                </w:tcPr>
                <w:p w14:paraId="35F45806">
                  <w:pPr>
                    <w:autoSpaceDE w:val="0"/>
                    <w:autoSpaceDN w:val="0"/>
                    <w:spacing w:line="276" w:lineRule="auto"/>
                    <w:jc w:val="center"/>
                    <w:rPr>
                      <w:rFonts w:ascii="Times New Roman" w:hAnsi="Times New Roman"/>
                      <w:b/>
                      <w:bCs/>
                      <w:color w:val="auto"/>
                      <w:szCs w:val="21"/>
                      <w:lang w:val="zh-CN"/>
                    </w:rPr>
                  </w:pPr>
                  <w:r>
                    <w:rPr>
                      <w:rFonts w:ascii="Times New Roman" w:hAnsi="Times New Roman"/>
                      <w:b/>
                      <w:bCs/>
                      <w:color w:val="auto"/>
                      <w:szCs w:val="21"/>
                      <w:lang w:val="zh-CN"/>
                    </w:rPr>
                    <w:t>序号</w:t>
                  </w:r>
                </w:p>
              </w:tc>
              <w:tc>
                <w:tcPr>
                  <w:tcW w:w="1683" w:type="dxa"/>
                  <w:vAlign w:val="center"/>
                </w:tcPr>
                <w:p w14:paraId="1AAA9E46">
                  <w:pPr>
                    <w:autoSpaceDE w:val="0"/>
                    <w:autoSpaceDN w:val="0"/>
                    <w:spacing w:line="276" w:lineRule="auto"/>
                    <w:jc w:val="center"/>
                    <w:rPr>
                      <w:rFonts w:ascii="Times New Roman" w:hAnsi="Times New Roman"/>
                      <w:b/>
                      <w:bCs/>
                      <w:color w:val="auto"/>
                      <w:szCs w:val="21"/>
                      <w:lang w:val="zh-CN"/>
                    </w:rPr>
                  </w:pPr>
                  <w:r>
                    <w:rPr>
                      <w:rFonts w:ascii="Times New Roman" w:hAnsi="Times New Roman"/>
                      <w:b/>
                      <w:bCs/>
                      <w:color w:val="auto"/>
                      <w:szCs w:val="21"/>
                      <w:lang w:val="zh-CN"/>
                    </w:rPr>
                    <w:t>物质名称</w:t>
                  </w:r>
                </w:p>
              </w:tc>
              <w:tc>
                <w:tcPr>
                  <w:tcW w:w="910" w:type="dxa"/>
                  <w:vAlign w:val="center"/>
                </w:tcPr>
                <w:p w14:paraId="28D798FD">
                  <w:pPr>
                    <w:autoSpaceDE w:val="0"/>
                    <w:autoSpaceDN w:val="0"/>
                    <w:spacing w:line="276" w:lineRule="auto"/>
                    <w:jc w:val="center"/>
                    <w:rPr>
                      <w:rFonts w:ascii="Times New Roman" w:hAnsi="Times New Roman"/>
                      <w:b/>
                      <w:bCs/>
                      <w:color w:val="auto"/>
                      <w:szCs w:val="21"/>
                      <w:lang w:val="zh-CN"/>
                    </w:rPr>
                  </w:pPr>
                  <w:r>
                    <w:rPr>
                      <w:rFonts w:ascii="Times New Roman" w:hAnsi="Times New Roman"/>
                      <w:b/>
                      <w:bCs/>
                      <w:color w:val="auto"/>
                      <w:szCs w:val="21"/>
                      <w:lang w:val="zh-CN"/>
                    </w:rPr>
                    <w:t>储存地点</w:t>
                  </w:r>
                </w:p>
              </w:tc>
              <w:tc>
                <w:tcPr>
                  <w:tcW w:w="0" w:type="auto"/>
                  <w:vAlign w:val="center"/>
                </w:tcPr>
                <w:p w14:paraId="3573385B">
                  <w:pPr>
                    <w:autoSpaceDE w:val="0"/>
                    <w:autoSpaceDN w:val="0"/>
                    <w:spacing w:line="276" w:lineRule="auto"/>
                    <w:jc w:val="center"/>
                    <w:rPr>
                      <w:rFonts w:ascii="Times New Roman" w:hAnsi="Times New Roman"/>
                      <w:b/>
                      <w:bCs/>
                      <w:color w:val="auto"/>
                      <w:szCs w:val="21"/>
                      <w:highlight w:val="none"/>
                      <w:lang w:val="zh-CN"/>
                    </w:rPr>
                  </w:pPr>
                  <w:r>
                    <w:rPr>
                      <w:rFonts w:ascii="Times New Roman" w:hAnsi="Times New Roman"/>
                      <w:b/>
                      <w:bCs/>
                      <w:color w:val="auto"/>
                      <w:szCs w:val="21"/>
                      <w:highlight w:val="none"/>
                      <w:lang w:val="zh-CN"/>
                    </w:rPr>
                    <w:t>厂区最大贮存量（t）</w:t>
                  </w:r>
                </w:p>
              </w:tc>
              <w:tc>
                <w:tcPr>
                  <w:tcW w:w="1288" w:type="dxa"/>
                  <w:vAlign w:val="center"/>
                </w:tcPr>
                <w:p w14:paraId="7E59DDA7">
                  <w:pPr>
                    <w:autoSpaceDE w:val="0"/>
                    <w:autoSpaceDN w:val="0"/>
                    <w:spacing w:line="276" w:lineRule="auto"/>
                    <w:jc w:val="center"/>
                    <w:rPr>
                      <w:rFonts w:ascii="Times New Roman" w:hAnsi="Times New Roman"/>
                      <w:b/>
                      <w:bCs/>
                      <w:color w:val="auto"/>
                      <w:szCs w:val="21"/>
                      <w:highlight w:val="none"/>
                      <w:lang w:val="zh-CN"/>
                    </w:rPr>
                  </w:pPr>
                  <w:r>
                    <w:rPr>
                      <w:rFonts w:ascii="Times New Roman" w:hAnsi="Times New Roman"/>
                      <w:b/>
                      <w:color w:val="auto"/>
                      <w:szCs w:val="21"/>
                      <w:highlight w:val="none"/>
                    </w:rPr>
                    <w:t>临界量</w:t>
                  </w:r>
                  <w:r>
                    <w:rPr>
                      <w:rFonts w:ascii="Times New Roman" w:hAnsi="Times New Roman"/>
                      <w:b/>
                      <w:bCs/>
                      <w:color w:val="auto"/>
                      <w:szCs w:val="21"/>
                      <w:highlight w:val="none"/>
                      <w:lang w:val="zh-CN"/>
                    </w:rPr>
                    <w:t>（t）</w:t>
                  </w:r>
                </w:p>
              </w:tc>
              <w:tc>
                <w:tcPr>
                  <w:tcW w:w="1004" w:type="dxa"/>
                  <w:vAlign w:val="center"/>
                </w:tcPr>
                <w:p w14:paraId="5F5ABE84">
                  <w:pPr>
                    <w:autoSpaceDE w:val="0"/>
                    <w:autoSpaceDN w:val="0"/>
                    <w:spacing w:line="276" w:lineRule="auto"/>
                    <w:jc w:val="center"/>
                    <w:rPr>
                      <w:rFonts w:ascii="Times New Roman" w:hAnsi="Times New Roman"/>
                      <w:b/>
                      <w:bCs/>
                      <w:color w:val="auto"/>
                      <w:szCs w:val="21"/>
                      <w:lang w:val="zh-CN"/>
                    </w:rPr>
                  </w:pPr>
                  <w:r>
                    <w:rPr>
                      <w:rFonts w:ascii="Times New Roman" w:hAnsi="Times New Roman"/>
                      <w:b/>
                      <w:bCs/>
                      <w:color w:val="auto"/>
                      <w:szCs w:val="21"/>
                      <w:lang w:val="zh-CN"/>
                    </w:rPr>
                    <w:t>Q值</w:t>
                  </w:r>
                </w:p>
              </w:tc>
            </w:tr>
            <w:tr w14:paraId="2807967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14:paraId="545C86F9">
                  <w:pPr>
                    <w:autoSpaceDE w:val="0"/>
                    <w:autoSpaceDN w:val="0"/>
                    <w:spacing w:line="276" w:lineRule="auto"/>
                    <w:jc w:val="center"/>
                    <w:rPr>
                      <w:rFonts w:ascii="Times New Roman" w:hAnsi="Times New Roman"/>
                      <w:bCs/>
                      <w:color w:val="auto"/>
                      <w:szCs w:val="21"/>
                      <w:lang w:val="zh-CN"/>
                    </w:rPr>
                  </w:pPr>
                  <w:r>
                    <w:rPr>
                      <w:rFonts w:ascii="Times New Roman" w:hAnsi="Times New Roman"/>
                      <w:bCs/>
                      <w:color w:val="auto"/>
                      <w:szCs w:val="21"/>
                      <w:lang w:val="zh-CN"/>
                    </w:rPr>
                    <w:t>1</w:t>
                  </w:r>
                </w:p>
              </w:tc>
              <w:tc>
                <w:tcPr>
                  <w:tcW w:w="1683" w:type="dxa"/>
                  <w:vAlign w:val="center"/>
                </w:tcPr>
                <w:p w14:paraId="4C8337CC">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lang w:val="zh-CN"/>
                    </w:rPr>
                    <w:t>水性</w:t>
                  </w:r>
                  <w:r>
                    <w:rPr>
                      <w:rFonts w:ascii="Times New Roman" w:hAnsi="Times New Roman"/>
                      <w:bCs/>
                      <w:color w:val="auto"/>
                      <w:szCs w:val="21"/>
                      <w:lang w:val="zh-CN"/>
                    </w:rPr>
                    <w:t>底漆</w:t>
                  </w:r>
                </w:p>
              </w:tc>
              <w:tc>
                <w:tcPr>
                  <w:tcW w:w="910" w:type="dxa"/>
                  <w:vMerge w:val="restart"/>
                  <w:vAlign w:val="center"/>
                </w:tcPr>
                <w:p w14:paraId="66C4C81B">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lang w:val="zh-CN"/>
                    </w:rPr>
                    <w:t>供漆室</w:t>
                  </w:r>
                </w:p>
              </w:tc>
              <w:tc>
                <w:tcPr>
                  <w:tcW w:w="0" w:type="auto"/>
                  <w:vAlign w:val="center"/>
                </w:tcPr>
                <w:p w14:paraId="369B57DC">
                  <w:pPr>
                    <w:spacing w:line="360" w:lineRule="exact"/>
                    <w:jc w:val="center"/>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rPr>
                    <w:t>2.</w:t>
                  </w:r>
                  <w:r>
                    <w:rPr>
                      <w:rFonts w:hint="eastAsia" w:ascii="Times New Roman" w:hAnsi="Times New Roman" w:cs="Times New Roman"/>
                      <w:color w:val="auto"/>
                      <w:szCs w:val="21"/>
                      <w:highlight w:val="none"/>
                      <w:lang w:val="en-US" w:eastAsia="zh-CN"/>
                    </w:rPr>
                    <w:t>5</w:t>
                  </w:r>
                </w:p>
              </w:tc>
              <w:tc>
                <w:tcPr>
                  <w:tcW w:w="1288" w:type="dxa"/>
                  <w:vAlign w:val="center"/>
                </w:tcPr>
                <w:p w14:paraId="1CD99C1E">
                  <w:pPr>
                    <w:autoSpaceDE w:val="0"/>
                    <w:autoSpaceDN w:val="0"/>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100</w:t>
                  </w:r>
                </w:p>
              </w:tc>
              <w:tc>
                <w:tcPr>
                  <w:tcW w:w="1004" w:type="dxa"/>
                  <w:vAlign w:val="center"/>
                </w:tcPr>
                <w:p w14:paraId="6E9FEB04">
                  <w:pPr>
                    <w:spacing w:line="276" w:lineRule="auto"/>
                    <w:jc w:val="center"/>
                    <w:rPr>
                      <w:rFonts w:hint="eastAsia" w:ascii="Times New Roman" w:hAnsi="Times New Roman" w:eastAsiaTheme="minorEastAsia"/>
                      <w:color w:val="auto"/>
                      <w:szCs w:val="21"/>
                      <w:lang w:eastAsia="zh-CN"/>
                    </w:rPr>
                  </w:pPr>
                  <w:r>
                    <w:rPr>
                      <w:rFonts w:hint="eastAsia" w:ascii="Times New Roman" w:hAnsi="Times New Roman"/>
                      <w:color w:val="auto"/>
                      <w:szCs w:val="21"/>
                    </w:rPr>
                    <w:t>0.02</w:t>
                  </w:r>
                  <w:r>
                    <w:rPr>
                      <w:rFonts w:hint="eastAsia" w:ascii="Times New Roman" w:hAnsi="Times New Roman"/>
                      <w:color w:val="auto"/>
                      <w:szCs w:val="21"/>
                      <w:lang w:val="en-US" w:eastAsia="zh-CN"/>
                    </w:rPr>
                    <w:t>5</w:t>
                  </w:r>
                </w:p>
              </w:tc>
            </w:tr>
            <w:tr w14:paraId="4F2BB7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14:paraId="34B13BF8">
                  <w:pPr>
                    <w:autoSpaceDE w:val="0"/>
                    <w:autoSpaceDN w:val="0"/>
                    <w:spacing w:line="276" w:lineRule="auto"/>
                    <w:jc w:val="center"/>
                    <w:rPr>
                      <w:rFonts w:ascii="Times New Roman" w:hAnsi="Times New Roman"/>
                      <w:bCs/>
                      <w:color w:val="auto"/>
                      <w:szCs w:val="21"/>
                      <w:lang w:val="zh-CN"/>
                    </w:rPr>
                  </w:pPr>
                  <w:r>
                    <w:rPr>
                      <w:rFonts w:ascii="Times New Roman" w:hAnsi="Times New Roman"/>
                      <w:bCs/>
                      <w:color w:val="auto"/>
                      <w:szCs w:val="21"/>
                      <w:lang w:val="zh-CN"/>
                    </w:rPr>
                    <w:t>2</w:t>
                  </w:r>
                </w:p>
              </w:tc>
              <w:tc>
                <w:tcPr>
                  <w:tcW w:w="1683" w:type="dxa"/>
                  <w:tcBorders>
                    <w:bottom w:val="single" w:color="auto" w:sz="4" w:space="0"/>
                  </w:tcBorders>
                  <w:vAlign w:val="center"/>
                </w:tcPr>
                <w:p w14:paraId="02DCE3D6">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lang w:val="zh-CN"/>
                    </w:rPr>
                    <w:t>水性面漆</w:t>
                  </w:r>
                </w:p>
              </w:tc>
              <w:tc>
                <w:tcPr>
                  <w:tcW w:w="910" w:type="dxa"/>
                  <w:vMerge w:val="continue"/>
                  <w:vAlign w:val="center"/>
                </w:tcPr>
                <w:p w14:paraId="6CDC81D3">
                  <w:pPr>
                    <w:autoSpaceDE w:val="0"/>
                    <w:autoSpaceDN w:val="0"/>
                    <w:spacing w:line="276" w:lineRule="auto"/>
                    <w:jc w:val="center"/>
                    <w:rPr>
                      <w:rFonts w:ascii="Times New Roman" w:hAnsi="Times New Roman"/>
                      <w:bCs/>
                      <w:color w:val="auto"/>
                      <w:szCs w:val="21"/>
                      <w:lang w:val="zh-CN"/>
                    </w:rPr>
                  </w:pPr>
                </w:p>
              </w:tc>
              <w:tc>
                <w:tcPr>
                  <w:tcW w:w="0" w:type="auto"/>
                  <w:tcBorders>
                    <w:bottom w:val="single" w:color="auto" w:sz="4" w:space="0"/>
                  </w:tcBorders>
                  <w:vAlign w:val="center"/>
                </w:tcPr>
                <w:p w14:paraId="59C5900E">
                  <w:pPr>
                    <w:spacing w:line="360" w:lineRule="exact"/>
                    <w:jc w:val="center"/>
                    <w:rPr>
                      <w:rFonts w:hint="eastAsia" w:ascii="Times New Roman" w:hAnsi="Times New Roman" w:cs="Times New Roman" w:eastAsiaTheme="minorEastAsia"/>
                      <w:color w:val="auto"/>
                      <w:szCs w:val="21"/>
                      <w:highlight w:val="none"/>
                      <w:lang w:eastAsia="zh-CN"/>
                    </w:rPr>
                  </w:pPr>
                  <w:r>
                    <w:rPr>
                      <w:rFonts w:hint="eastAsia" w:ascii="Times New Roman" w:hAnsi="Times New Roman" w:cs="Times New Roman"/>
                      <w:color w:val="auto"/>
                      <w:szCs w:val="21"/>
                      <w:highlight w:val="none"/>
                    </w:rPr>
                    <w:t>2.</w:t>
                  </w:r>
                  <w:r>
                    <w:rPr>
                      <w:rFonts w:hint="eastAsia" w:ascii="Times New Roman" w:hAnsi="Times New Roman" w:cs="Times New Roman"/>
                      <w:color w:val="auto"/>
                      <w:szCs w:val="21"/>
                      <w:highlight w:val="none"/>
                      <w:lang w:val="en-US" w:eastAsia="zh-CN"/>
                    </w:rPr>
                    <w:t>5</w:t>
                  </w:r>
                </w:p>
              </w:tc>
              <w:tc>
                <w:tcPr>
                  <w:tcW w:w="1288" w:type="dxa"/>
                  <w:vAlign w:val="center"/>
                </w:tcPr>
                <w:p w14:paraId="4153855E">
                  <w:pPr>
                    <w:autoSpaceDE w:val="0"/>
                    <w:autoSpaceDN w:val="0"/>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100</w:t>
                  </w:r>
                </w:p>
              </w:tc>
              <w:tc>
                <w:tcPr>
                  <w:tcW w:w="1004" w:type="dxa"/>
                  <w:vAlign w:val="center"/>
                </w:tcPr>
                <w:p w14:paraId="1F039CC4">
                  <w:pPr>
                    <w:spacing w:line="276" w:lineRule="auto"/>
                    <w:jc w:val="center"/>
                    <w:rPr>
                      <w:rFonts w:hint="eastAsia" w:ascii="Times New Roman" w:hAnsi="Times New Roman" w:eastAsiaTheme="minorEastAsia"/>
                      <w:color w:val="auto"/>
                      <w:szCs w:val="21"/>
                      <w:lang w:eastAsia="zh-CN"/>
                    </w:rPr>
                  </w:pPr>
                  <w:r>
                    <w:rPr>
                      <w:rFonts w:hint="eastAsia" w:ascii="Times New Roman" w:hAnsi="Times New Roman"/>
                      <w:color w:val="auto"/>
                      <w:szCs w:val="21"/>
                    </w:rPr>
                    <w:t>0.02</w:t>
                  </w:r>
                  <w:r>
                    <w:rPr>
                      <w:rFonts w:hint="eastAsia" w:ascii="Times New Roman" w:hAnsi="Times New Roman"/>
                      <w:color w:val="auto"/>
                      <w:szCs w:val="21"/>
                      <w:lang w:val="en-US" w:eastAsia="zh-CN"/>
                    </w:rPr>
                    <w:t>5</w:t>
                  </w:r>
                </w:p>
              </w:tc>
            </w:tr>
            <w:tr w14:paraId="5DD5ECF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14:paraId="79D9E588">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lang w:val="zh-CN"/>
                    </w:rPr>
                    <w:t>3</w:t>
                  </w:r>
                </w:p>
              </w:tc>
              <w:tc>
                <w:tcPr>
                  <w:tcW w:w="1683" w:type="dxa"/>
                  <w:vAlign w:val="center"/>
                </w:tcPr>
                <w:p w14:paraId="12D12D24">
                  <w:pPr>
                    <w:pStyle w:val="32"/>
                    <w:rPr>
                      <w:color w:val="auto"/>
                    </w:rPr>
                  </w:pPr>
                  <w:r>
                    <w:rPr>
                      <w:rFonts w:hint="eastAsia"/>
                      <w:color w:val="auto"/>
                    </w:rPr>
                    <w:t>废漆渣</w:t>
                  </w:r>
                </w:p>
              </w:tc>
              <w:tc>
                <w:tcPr>
                  <w:tcW w:w="910" w:type="dxa"/>
                  <w:vMerge w:val="restart"/>
                  <w:vAlign w:val="center"/>
                </w:tcPr>
                <w:p w14:paraId="5A112F18">
                  <w:pPr>
                    <w:autoSpaceDE w:val="0"/>
                    <w:autoSpaceDN w:val="0"/>
                    <w:spacing w:line="276" w:lineRule="auto"/>
                    <w:jc w:val="center"/>
                    <w:rPr>
                      <w:rFonts w:ascii="Times New Roman" w:hAnsi="Times New Roman"/>
                      <w:bCs/>
                      <w:color w:val="auto"/>
                      <w:szCs w:val="21"/>
                      <w:lang w:val="zh-CN"/>
                    </w:rPr>
                  </w:pPr>
                  <w:r>
                    <w:rPr>
                      <w:rFonts w:ascii="Times New Roman" w:hAnsi="Times New Roman"/>
                      <w:bCs/>
                      <w:color w:val="auto"/>
                      <w:szCs w:val="21"/>
                      <w:lang w:val="zh-CN"/>
                    </w:rPr>
                    <w:t>危险废物暂存间</w:t>
                  </w:r>
                </w:p>
              </w:tc>
              <w:tc>
                <w:tcPr>
                  <w:tcW w:w="0" w:type="auto"/>
                  <w:vAlign w:val="center"/>
                </w:tcPr>
                <w:p w14:paraId="562F0B1C">
                  <w:pPr>
                    <w:pStyle w:val="32"/>
                    <w:rPr>
                      <w:rFonts w:hint="default" w:eastAsia="宋体"/>
                      <w:color w:val="auto"/>
                      <w:highlight w:val="none"/>
                      <w:lang w:val="en-US" w:eastAsia="zh-CN"/>
                    </w:rPr>
                  </w:pPr>
                  <w:r>
                    <w:rPr>
                      <w:rFonts w:hint="eastAsia"/>
                      <w:color w:val="auto"/>
                      <w:highlight w:val="none"/>
                      <w:lang w:val="en-US" w:eastAsia="zh-CN"/>
                    </w:rPr>
                    <w:t>0.932</w:t>
                  </w:r>
                </w:p>
              </w:tc>
              <w:tc>
                <w:tcPr>
                  <w:tcW w:w="1288" w:type="dxa"/>
                  <w:vAlign w:val="center"/>
                </w:tcPr>
                <w:p w14:paraId="03AA7C86">
                  <w:pPr>
                    <w:autoSpaceDE w:val="0"/>
                    <w:autoSpaceDN w:val="0"/>
                    <w:spacing w:line="276" w:lineRule="auto"/>
                    <w:jc w:val="center"/>
                    <w:rPr>
                      <w:rFonts w:hint="default" w:ascii="Times New Roman" w:hAnsi="Times New Roman" w:eastAsiaTheme="minorEastAsia"/>
                      <w:bCs/>
                      <w:color w:val="auto"/>
                      <w:szCs w:val="21"/>
                      <w:highlight w:val="none"/>
                      <w:lang w:val="en-US" w:eastAsia="zh-CN"/>
                    </w:rPr>
                  </w:pPr>
                  <w:r>
                    <w:rPr>
                      <w:rFonts w:hint="eastAsia" w:ascii="Times New Roman" w:hAnsi="Times New Roman"/>
                      <w:bCs/>
                      <w:color w:val="auto"/>
                      <w:szCs w:val="21"/>
                      <w:highlight w:val="none"/>
                      <w:lang w:val="en-US" w:eastAsia="zh-CN"/>
                    </w:rPr>
                    <w:t>50</w:t>
                  </w:r>
                </w:p>
              </w:tc>
              <w:tc>
                <w:tcPr>
                  <w:tcW w:w="1004" w:type="dxa"/>
                  <w:vAlign w:val="center"/>
                </w:tcPr>
                <w:p w14:paraId="1FDF5452">
                  <w:pPr>
                    <w:spacing w:line="276" w:lineRule="auto"/>
                    <w:jc w:val="center"/>
                    <w:rPr>
                      <w:rFonts w:hint="default" w:ascii="Times New Roman" w:hAnsi="Times New Roman" w:eastAsiaTheme="minorEastAsia"/>
                      <w:color w:val="auto"/>
                      <w:szCs w:val="21"/>
                      <w:lang w:val="en-US" w:eastAsia="zh-CN"/>
                    </w:rPr>
                  </w:pPr>
                  <w:r>
                    <w:rPr>
                      <w:rFonts w:hint="eastAsia" w:ascii="Times New Roman" w:hAnsi="Times New Roman"/>
                      <w:color w:val="auto"/>
                      <w:szCs w:val="21"/>
                    </w:rPr>
                    <w:t>0.0</w:t>
                  </w:r>
                  <w:r>
                    <w:rPr>
                      <w:rFonts w:hint="eastAsia" w:ascii="Times New Roman" w:hAnsi="Times New Roman"/>
                      <w:color w:val="auto"/>
                      <w:szCs w:val="21"/>
                      <w:lang w:val="en-US" w:eastAsia="zh-CN"/>
                    </w:rPr>
                    <w:t>187</w:t>
                  </w:r>
                </w:p>
              </w:tc>
            </w:tr>
            <w:tr w14:paraId="5B8150A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14:paraId="2CECAD08">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lang w:val="zh-CN"/>
                    </w:rPr>
                    <w:t>4</w:t>
                  </w:r>
                </w:p>
              </w:tc>
              <w:tc>
                <w:tcPr>
                  <w:tcW w:w="1683" w:type="dxa"/>
                  <w:vAlign w:val="center"/>
                </w:tcPr>
                <w:p w14:paraId="13A2A1C7">
                  <w:pPr>
                    <w:pStyle w:val="32"/>
                    <w:rPr>
                      <w:color w:val="auto"/>
                    </w:rPr>
                  </w:pPr>
                  <w:r>
                    <w:rPr>
                      <w:color w:val="auto"/>
                    </w:rPr>
                    <w:t>废活性炭</w:t>
                  </w:r>
                </w:p>
              </w:tc>
              <w:tc>
                <w:tcPr>
                  <w:tcW w:w="910" w:type="dxa"/>
                  <w:vMerge w:val="continue"/>
                  <w:vAlign w:val="center"/>
                </w:tcPr>
                <w:p w14:paraId="3A6118DF">
                  <w:pPr>
                    <w:autoSpaceDE w:val="0"/>
                    <w:autoSpaceDN w:val="0"/>
                    <w:spacing w:line="276" w:lineRule="auto"/>
                    <w:jc w:val="center"/>
                    <w:rPr>
                      <w:rFonts w:ascii="Times New Roman" w:hAnsi="Times New Roman"/>
                      <w:bCs/>
                      <w:color w:val="auto"/>
                      <w:szCs w:val="21"/>
                      <w:lang w:val="zh-CN"/>
                    </w:rPr>
                  </w:pPr>
                </w:p>
              </w:tc>
              <w:tc>
                <w:tcPr>
                  <w:tcW w:w="0" w:type="auto"/>
                  <w:vAlign w:val="center"/>
                </w:tcPr>
                <w:p w14:paraId="6F4C0B54">
                  <w:pPr>
                    <w:pStyle w:val="32"/>
                    <w:rPr>
                      <w:rFonts w:hint="default" w:eastAsia="宋体"/>
                      <w:color w:val="auto"/>
                      <w:highlight w:val="none"/>
                      <w:lang w:val="en-US" w:eastAsia="zh-CN"/>
                    </w:rPr>
                  </w:pPr>
                  <w:r>
                    <w:rPr>
                      <w:rFonts w:hint="eastAsia"/>
                      <w:color w:val="auto"/>
                      <w:highlight w:val="none"/>
                      <w:lang w:val="en-US" w:eastAsia="zh-CN"/>
                    </w:rPr>
                    <w:t>0.797</w:t>
                  </w:r>
                </w:p>
              </w:tc>
              <w:tc>
                <w:tcPr>
                  <w:tcW w:w="1288" w:type="dxa"/>
                  <w:vAlign w:val="center"/>
                </w:tcPr>
                <w:p w14:paraId="69B0E1FB">
                  <w:pPr>
                    <w:autoSpaceDE w:val="0"/>
                    <w:autoSpaceDN w:val="0"/>
                    <w:spacing w:line="276" w:lineRule="auto"/>
                    <w:jc w:val="center"/>
                    <w:rPr>
                      <w:rFonts w:hint="default" w:ascii="Times New Roman" w:hAnsi="Times New Roman" w:eastAsiaTheme="minorEastAsia"/>
                      <w:bCs/>
                      <w:color w:val="auto"/>
                      <w:szCs w:val="21"/>
                      <w:highlight w:val="none"/>
                      <w:lang w:val="en-US" w:eastAsia="zh-CN"/>
                    </w:rPr>
                  </w:pPr>
                  <w:r>
                    <w:rPr>
                      <w:rFonts w:hint="eastAsia" w:ascii="Times New Roman" w:hAnsi="Times New Roman"/>
                      <w:bCs/>
                      <w:color w:val="auto"/>
                      <w:szCs w:val="21"/>
                      <w:highlight w:val="none"/>
                      <w:lang w:val="en-US" w:eastAsia="zh-CN"/>
                    </w:rPr>
                    <w:t>50</w:t>
                  </w:r>
                </w:p>
              </w:tc>
              <w:tc>
                <w:tcPr>
                  <w:tcW w:w="1004" w:type="dxa"/>
                  <w:vAlign w:val="center"/>
                </w:tcPr>
                <w:p w14:paraId="456BCD0B">
                  <w:pPr>
                    <w:spacing w:line="276" w:lineRule="auto"/>
                    <w:jc w:val="center"/>
                    <w:rPr>
                      <w:rFonts w:hint="default" w:ascii="Times New Roman" w:hAnsi="Times New Roman" w:eastAsiaTheme="minorEastAsia"/>
                      <w:color w:val="auto"/>
                      <w:szCs w:val="21"/>
                      <w:lang w:val="en-US" w:eastAsia="zh-CN"/>
                    </w:rPr>
                  </w:pPr>
                  <w:r>
                    <w:rPr>
                      <w:rFonts w:hint="eastAsia" w:ascii="Times New Roman" w:hAnsi="Times New Roman"/>
                      <w:color w:val="auto"/>
                      <w:szCs w:val="21"/>
                    </w:rPr>
                    <w:t>0.0</w:t>
                  </w:r>
                  <w:r>
                    <w:rPr>
                      <w:rFonts w:hint="eastAsia" w:ascii="Times New Roman" w:hAnsi="Times New Roman"/>
                      <w:color w:val="auto"/>
                      <w:szCs w:val="21"/>
                      <w:lang w:val="en-US" w:eastAsia="zh-CN"/>
                    </w:rPr>
                    <w:t>1594</w:t>
                  </w:r>
                </w:p>
              </w:tc>
            </w:tr>
            <w:tr w14:paraId="49FFF3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14:paraId="4CBE52A5">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lang w:val="zh-CN"/>
                    </w:rPr>
                    <w:t>5</w:t>
                  </w:r>
                </w:p>
              </w:tc>
              <w:tc>
                <w:tcPr>
                  <w:tcW w:w="1683" w:type="dxa"/>
                  <w:vAlign w:val="center"/>
                </w:tcPr>
                <w:p w14:paraId="2D130FCB">
                  <w:pPr>
                    <w:pStyle w:val="32"/>
                    <w:rPr>
                      <w:color w:val="auto"/>
                    </w:rPr>
                  </w:pPr>
                  <w:r>
                    <w:rPr>
                      <w:color w:val="auto"/>
                    </w:rPr>
                    <w:t>废</w:t>
                  </w:r>
                  <w:r>
                    <w:rPr>
                      <w:rFonts w:hint="eastAsia"/>
                      <w:color w:val="auto"/>
                    </w:rPr>
                    <w:t>涂料桶</w:t>
                  </w:r>
                </w:p>
              </w:tc>
              <w:tc>
                <w:tcPr>
                  <w:tcW w:w="910" w:type="dxa"/>
                  <w:vMerge w:val="continue"/>
                  <w:vAlign w:val="center"/>
                </w:tcPr>
                <w:p w14:paraId="7B76D30C">
                  <w:pPr>
                    <w:autoSpaceDE w:val="0"/>
                    <w:autoSpaceDN w:val="0"/>
                    <w:spacing w:line="276" w:lineRule="auto"/>
                    <w:jc w:val="center"/>
                    <w:rPr>
                      <w:rFonts w:ascii="Times New Roman" w:hAnsi="Times New Roman"/>
                      <w:bCs/>
                      <w:color w:val="auto"/>
                      <w:szCs w:val="21"/>
                      <w:lang w:val="zh-CN"/>
                    </w:rPr>
                  </w:pPr>
                </w:p>
              </w:tc>
              <w:tc>
                <w:tcPr>
                  <w:tcW w:w="0" w:type="auto"/>
                  <w:vAlign w:val="center"/>
                </w:tcPr>
                <w:p w14:paraId="3986E1C1">
                  <w:pPr>
                    <w:pStyle w:val="32"/>
                    <w:rPr>
                      <w:rFonts w:hint="default" w:eastAsia="宋体"/>
                      <w:color w:val="auto"/>
                      <w:highlight w:val="none"/>
                      <w:lang w:val="en-US" w:eastAsia="zh-CN"/>
                    </w:rPr>
                  </w:pPr>
                  <w:r>
                    <w:rPr>
                      <w:rFonts w:hint="eastAsia"/>
                      <w:color w:val="auto"/>
                      <w:highlight w:val="none"/>
                    </w:rPr>
                    <w:t>0.0</w:t>
                  </w:r>
                  <w:r>
                    <w:rPr>
                      <w:rFonts w:hint="eastAsia"/>
                      <w:color w:val="auto"/>
                      <w:highlight w:val="none"/>
                      <w:lang w:val="en-US" w:eastAsia="zh-CN"/>
                    </w:rPr>
                    <w:t>055</w:t>
                  </w:r>
                </w:p>
              </w:tc>
              <w:tc>
                <w:tcPr>
                  <w:tcW w:w="1288" w:type="dxa"/>
                  <w:vAlign w:val="center"/>
                </w:tcPr>
                <w:p w14:paraId="74CC2733">
                  <w:pPr>
                    <w:autoSpaceDE w:val="0"/>
                    <w:autoSpaceDN w:val="0"/>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lang w:val="en-US" w:eastAsia="zh-CN"/>
                    </w:rPr>
                    <w:t>50</w:t>
                  </w:r>
                </w:p>
              </w:tc>
              <w:tc>
                <w:tcPr>
                  <w:tcW w:w="1004" w:type="dxa"/>
                  <w:vAlign w:val="center"/>
                </w:tcPr>
                <w:p w14:paraId="3A57EE17">
                  <w:pPr>
                    <w:tabs>
                      <w:tab w:val="left" w:pos="294"/>
                    </w:tabs>
                    <w:spacing w:line="276" w:lineRule="auto"/>
                    <w:jc w:val="center"/>
                    <w:rPr>
                      <w:rFonts w:hint="default" w:ascii="Times New Roman" w:hAnsi="Times New Roman" w:eastAsiaTheme="minorEastAsia"/>
                      <w:color w:val="auto"/>
                      <w:szCs w:val="21"/>
                      <w:lang w:val="en-US" w:eastAsia="zh-CN"/>
                    </w:rPr>
                  </w:pPr>
                  <w:r>
                    <w:rPr>
                      <w:rFonts w:hint="eastAsia" w:ascii="Times New Roman" w:hAnsi="Times New Roman"/>
                      <w:color w:val="auto"/>
                      <w:szCs w:val="21"/>
                    </w:rPr>
                    <w:t>0.000</w:t>
                  </w:r>
                  <w:r>
                    <w:rPr>
                      <w:rFonts w:hint="eastAsia" w:ascii="Times New Roman" w:hAnsi="Times New Roman"/>
                      <w:color w:val="auto"/>
                      <w:szCs w:val="21"/>
                      <w:lang w:val="en-US" w:eastAsia="zh-CN"/>
                    </w:rPr>
                    <w:t>11</w:t>
                  </w:r>
                </w:p>
              </w:tc>
            </w:tr>
            <w:tr w14:paraId="658982B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14:paraId="2539756D">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lang w:val="zh-CN"/>
                    </w:rPr>
                    <w:t>6</w:t>
                  </w:r>
                </w:p>
              </w:tc>
              <w:tc>
                <w:tcPr>
                  <w:tcW w:w="1683" w:type="dxa"/>
                  <w:vAlign w:val="center"/>
                </w:tcPr>
                <w:p w14:paraId="737DD0D9">
                  <w:pPr>
                    <w:pStyle w:val="32"/>
                    <w:rPr>
                      <w:color w:val="auto"/>
                    </w:rPr>
                  </w:pPr>
                  <w:r>
                    <w:rPr>
                      <w:color w:val="auto"/>
                    </w:rPr>
                    <w:t>废过滤棉</w:t>
                  </w:r>
                </w:p>
              </w:tc>
              <w:tc>
                <w:tcPr>
                  <w:tcW w:w="910" w:type="dxa"/>
                  <w:vMerge w:val="continue"/>
                  <w:vAlign w:val="center"/>
                </w:tcPr>
                <w:p w14:paraId="26D24544">
                  <w:pPr>
                    <w:autoSpaceDE w:val="0"/>
                    <w:autoSpaceDN w:val="0"/>
                    <w:spacing w:line="276" w:lineRule="auto"/>
                    <w:jc w:val="center"/>
                    <w:rPr>
                      <w:rFonts w:ascii="Times New Roman" w:hAnsi="Times New Roman"/>
                      <w:bCs/>
                      <w:color w:val="auto"/>
                      <w:szCs w:val="21"/>
                      <w:lang w:val="zh-CN"/>
                    </w:rPr>
                  </w:pPr>
                </w:p>
              </w:tc>
              <w:tc>
                <w:tcPr>
                  <w:tcW w:w="0" w:type="auto"/>
                  <w:vAlign w:val="center"/>
                </w:tcPr>
                <w:p w14:paraId="0FB3692E">
                  <w:pPr>
                    <w:pStyle w:val="32"/>
                    <w:rPr>
                      <w:rFonts w:hint="default" w:eastAsia="宋体"/>
                      <w:color w:val="auto"/>
                      <w:highlight w:val="none"/>
                      <w:lang w:val="en-US" w:eastAsia="zh-CN"/>
                    </w:rPr>
                  </w:pPr>
                  <w:r>
                    <w:rPr>
                      <w:rFonts w:hint="eastAsia"/>
                      <w:color w:val="auto"/>
                      <w:highlight w:val="none"/>
                      <w:lang w:val="en-US" w:eastAsia="zh-CN"/>
                    </w:rPr>
                    <w:t>0.935</w:t>
                  </w:r>
                </w:p>
              </w:tc>
              <w:tc>
                <w:tcPr>
                  <w:tcW w:w="1288" w:type="dxa"/>
                  <w:vAlign w:val="center"/>
                </w:tcPr>
                <w:p w14:paraId="51489F9E">
                  <w:pPr>
                    <w:autoSpaceDE w:val="0"/>
                    <w:autoSpaceDN w:val="0"/>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lang w:val="en-US" w:eastAsia="zh-CN"/>
                    </w:rPr>
                    <w:t>50</w:t>
                  </w:r>
                </w:p>
              </w:tc>
              <w:tc>
                <w:tcPr>
                  <w:tcW w:w="1004" w:type="dxa"/>
                  <w:vAlign w:val="center"/>
                </w:tcPr>
                <w:p w14:paraId="7E82A779">
                  <w:pPr>
                    <w:spacing w:line="276" w:lineRule="auto"/>
                    <w:jc w:val="center"/>
                    <w:rPr>
                      <w:rFonts w:hint="default" w:ascii="Times New Roman" w:hAnsi="Times New Roman" w:eastAsiaTheme="minorEastAsia"/>
                      <w:color w:val="auto"/>
                      <w:szCs w:val="21"/>
                      <w:lang w:val="en-US" w:eastAsia="zh-CN"/>
                    </w:rPr>
                  </w:pPr>
                  <w:r>
                    <w:rPr>
                      <w:rFonts w:hint="eastAsia" w:ascii="Times New Roman" w:hAnsi="Times New Roman"/>
                      <w:color w:val="auto"/>
                      <w:szCs w:val="21"/>
                    </w:rPr>
                    <w:t>0.01</w:t>
                  </w:r>
                  <w:r>
                    <w:rPr>
                      <w:rFonts w:hint="eastAsia" w:ascii="Times New Roman" w:hAnsi="Times New Roman"/>
                      <w:color w:val="auto"/>
                      <w:szCs w:val="21"/>
                      <w:lang w:val="en-US" w:eastAsia="zh-CN"/>
                    </w:rPr>
                    <w:t>87</w:t>
                  </w:r>
                </w:p>
              </w:tc>
            </w:tr>
            <w:tr w14:paraId="7D0749D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97" w:hRule="atLeast"/>
              </w:trPr>
              <w:tc>
                <w:tcPr>
                  <w:tcW w:w="0" w:type="auto"/>
                  <w:vAlign w:val="center"/>
                </w:tcPr>
                <w:p w14:paraId="458058B7">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lang w:val="zh-CN"/>
                    </w:rPr>
                    <w:t>7</w:t>
                  </w:r>
                </w:p>
              </w:tc>
              <w:tc>
                <w:tcPr>
                  <w:tcW w:w="1683" w:type="dxa"/>
                  <w:vAlign w:val="center"/>
                </w:tcPr>
                <w:p w14:paraId="6045AEB8">
                  <w:pPr>
                    <w:pStyle w:val="32"/>
                    <w:rPr>
                      <w:color w:val="auto"/>
                    </w:rPr>
                  </w:pPr>
                  <w:r>
                    <w:rPr>
                      <w:color w:val="auto"/>
                    </w:rPr>
                    <w:t>水帘喷漆定期更换的废液</w:t>
                  </w:r>
                </w:p>
              </w:tc>
              <w:tc>
                <w:tcPr>
                  <w:tcW w:w="910" w:type="dxa"/>
                  <w:vMerge w:val="continue"/>
                  <w:vAlign w:val="center"/>
                </w:tcPr>
                <w:p w14:paraId="34B0AC8C">
                  <w:pPr>
                    <w:autoSpaceDE w:val="0"/>
                    <w:autoSpaceDN w:val="0"/>
                    <w:spacing w:line="276" w:lineRule="auto"/>
                    <w:jc w:val="center"/>
                    <w:rPr>
                      <w:rFonts w:ascii="Times New Roman" w:hAnsi="Times New Roman"/>
                      <w:bCs/>
                      <w:color w:val="auto"/>
                      <w:szCs w:val="21"/>
                      <w:lang w:val="zh-CN"/>
                    </w:rPr>
                  </w:pPr>
                </w:p>
              </w:tc>
              <w:tc>
                <w:tcPr>
                  <w:tcW w:w="0" w:type="auto"/>
                  <w:vAlign w:val="center"/>
                </w:tcPr>
                <w:p w14:paraId="2673ED48">
                  <w:pPr>
                    <w:pStyle w:val="32"/>
                    <w:rPr>
                      <w:rFonts w:hint="eastAsia" w:eastAsia="宋体"/>
                      <w:color w:val="auto"/>
                      <w:highlight w:val="none"/>
                      <w:lang w:eastAsia="zh-CN"/>
                    </w:rPr>
                  </w:pPr>
                  <w:r>
                    <w:rPr>
                      <w:rFonts w:hint="eastAsia"/>
                      <w:color w:val="auto"/>
                      <w:highlight w:val="none"/>
                      <w:lang w:val="en-US" w:eastAsia="zh-CN"/>
                    </w:rPr>
                    <w:t>6</w:t>
                  </w:r>
                </w:p>
              </w:tc>
              <w:tc>
                <w:tcPr>
                  <w:tcW w:w="1288" w:type="dxa"/>
                  <w:vAlign w:val="center"/>
                </w:tcPr>
                <w:p w14:paraId="03BAA409">
                  <w:pPr>
                    <w:autoSpaceDE w:val="0"/>
                    <w:autoSpaceDN w:val="0"/>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10</w:t>
                  </w:r>
                </w:p>
              </w:tc>
              <w:tc>
                <w:tcPr>
                  <w:tcW w:w="1004" w:type="dxa"/>
                  <w:vAlign w:val="center"/>
                </w:tcPr>
                <w:p w14:paraId="03A415FB">
                  <w:pPr>
                    <w:spacing w:line="276" w:lineRule="auto"/>
                    <w:jc w:val="center"/>
                    <w:rPr>
                      <w:rFonts w:hint="default" w:ascii="Times New Roman" w:hAnsi="Times New Roman" w:eastAsiaTheme="minorEastAsia"/>
                      <w:color w:val="auto"/>
                      <w:szCs w:val="21"/>
                      <w:lang w:val="en-US" w:eastAsia="zh-CN"/>
                    </w:rPr>
                  </w:pPr>
                  <w:r>
                    <w:rPr>
                      <w:rFonts w:hint="eastAsia" w:ascii="Times New Roman" w:hAnsi="Times New Roman"/>
                      <w:color w:val="auto"/>
                      <w:szCs w:val="21"/>
                      <w:lang w:val="en-US" w:eastAsia="zh-CN"/>
                    </w:rPr>
                    <w:t>0.6</w:t>
                  </w:r>
                </w:p>
              </w:tc>
            </w:tr>
            <w:tr w14:paraId="488B046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1" w:type="dxa"/>
                  <w:vAlign w:val="center"/>
                </w:tcPr>
                <w:p w14:paraId="0EE3EC1E">
                  <w:pPr>
                    <w:autoSpaceDE w:val="0"/>
                    <w:autoSpaceDN w:val="0"/>
                    <w:spacing w:line="276" w:lineRule="auto"/>
                    <w:jc w:val="center"/>
                    <w:rPr>
                      <w:rFonts w:ascii="Times New Roman" w:hAnsi="Times New Roman"/>
                      <w:bCs/>
                      <w:color w:val="auto"/>
                      <w:szCs w:val="21"/>
                      <w:lang w:val="zh-CN"/>
                    </w:rPr>
                  </w:pPr>
                  <w:r>
                    <w:rPr>
                      <w:rFonts w:hint="eastAsia" w:ascii="Times New Roman" w:hAnsi="Times New Roman"/>
                      <w:bCs/>
                      <w:color w:val="auto"/>
                      <w:szCs w:val="21"/>
                    </w:rPr>
                    <w:t>8</w:t>
                  </w:r>
                </w:p>
              </w:tc>
              <w:tc>
                <w:tcPr>
                  <w:tcW w:w="1683" w:type="dxa"/>
                  <w:vAlign w:val="center"/>
                </w:tcPr>
                <w:p w14:paraId="15093A22">
                  <w:pPr>
                    <w:pStyle w:val="32"/>
                    <w:rPr>
                      <w:color w:val="auto"/>
                    </w:rPr>
                  </w:pPr>
                  <w:r>
                    <w:rPr>
                      <w:rFonts w:hint="eastAsia"/>
                      <w:color w:val="auto"/>
                    </w:rPr>
                    <w:t>润滑油</w:t>
                  </w:r>
                </w:p>
              </w:tc>
              <w:tc>
                <w:tcPr>
                  <w:tcW w:w="910" w:type="dxa"/>
                  <w:vAlign w:val="center"/>
                </w:tcPr>
                <w:p w14:paraId="503A5946">
                  <w:pPr>
                    <w:autoSpaceDE w:val="0"/>
                    <w:autoSpaceDN w:val="0"/>
                    <w:spacing w:line="276" w:lineRule="auto"/>
                    <w:jc w:val="center"/>
                    <w:rPr>
                      <w:rFonts w:ascii="Times New Roman" w:hAnsi="Times New Roman"/>
                      <w:bCs/>
                      <w:color w:val="auto"/>
                      <w:szCs w:val="21"/>
                    </w:rPr>
                  </w:pPr>
                  <w:r>
                    <w:rPr>
                      <w:rFonts w:hint="eastAsia" w:ascii="Times New Roman" w:hAnsi="Times New Roman"/>
                      <w:bCs/>
                      <w:color w:val="auto"/>
                      <w:szCs w:val="21"/>
                    </w:rPr>
                    <w:t>原料仓库</w:t>
                  </w:r>
                </w:p>
              </w:tc>
              <w:tc>
                <w:tcPr>
                  <w:tcW w:w="0" w:type="auto"/>
                  <w:vAlign w:val="center"/>
                </w:tcPr>
                <w:p w14:paraId="392CEA18">
                  <w:pPr>
                    <w:pStyle w:val="32"/>
                    <w:rPr>
                      <w:rFonts w:hint="eastAsia" w:eastAsia="宋体"/>
                      <w:color w:val="auto"/>
                      <w:highlight w:val="none"/>
                      <w:lang w:eastAsia="zh-CN"/>
                    </w:rPr>
                  </w:pPr>
                  <w:r>
                    <w:rPr>
                      <w:rFonts w:hint="eastAsia"/>
                      <w:color w:val="auto"/>
                      <w:highlight w:val="none"/>
                      <w:lang w:val="en-US" w:eastAsia="zh-CN"/>
                    </w:rPr>
                    <w:t>1</w:t>
                  </w:r>
                </w:p>
              </w:tc>
              <w:tc>
                <w:tcPr>
                  <w:tcW w:w="1288" w:type="dxa"/>
                  <w:vAlign w:val="center"/>
                </w:tcPr>
                <w:p w14:paraId="5436698A">
                  <w:pPr>
                    <w:autoSpaceDE w:val="0"/>
                    <w:autoSpaceDN w:val="0"/>
                    <w:spacing w:line="276"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2500</w:t>
                  </w:r>
                </w:p>
              </w:tc>
              <w:tc>
                <w:tcPr>
                  <w:tcW w:w="1004" w:type="dxa"/>
                  <w:vAlign w:val="center"/>
                </w:tcPr>
                <w:p w14:paraId="4DE6BCE3">
                  <w:pPr>
                    <w:spacing w:line="276" w:lineRule="auto"/>
                    <w:jc w:val="center"/>
                    <w:rPr>
                      <w:rFonts w:hint="default" w:ascii="Times New Roman" w:hAnsi="Times New Roman" w:eastAsiaTheme="minorEastAsia"/>
                      <w:color w:val="auto"/>
                      <w:szCs w:val="21"/>
                      <w:lang w:val="en-US" w:eastAsia="zh-CN"/>
                    </w:rPr>
                  </w:pPr>
                  <w:r>
                    <w:rPr>
                      <w:rFonts w:hint="eastAsia" w:ascii="Times New Roman" w:hAnsi="Times New Roman"/>
                      <w:color w:val="auto"/>
                      <w:szCs w:val="21"/>
                    </w:rPr>
                    <w:t>0.00</w:t>
                  </w:r>
                  <w:r>
                    <w:rPr>
                      <w:rFonts w:hint="eastAsia" w:ascii="Times New Roman" w:hAnsi="Times New Roman"/>
                      <w:color w:val="auto"/>
                      <w:szCs w:val="21"/>
                      <w:lang w:val="en-US" w:eastAsia="zh-CN"/>
                    </w:rPr>
                    <w:t>04</w:t>
                  </w:r>
                </w:p>
              </w:tc>
            </w:tr>
            <w:tr w14:paraId="1AD033D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31" w:type="dxa"/>
                  <w:vAlign w:val="center"/>
                </w:tcPr>
                <w:p w14:paraId="2BA85C5D">
                  <w:pPr>
                    <w:autoSpaceDE w:val="0"/>
                    <w:autoSpaceDN w:val="0"/>
                    <w:spacing w:line="276" w:lineRule="auto"/>
                    <w:jc w:val="center"/>
                    <w:rPr>
                      <w:rFonts w:ascii="Times New Roman" w:hAnsi="Times New Roman"/>
                      <w:bCs/>
                      <w:color w:val="auto"/>
                      <w:szCs w:val="21"/>
                    </w:rPr>
                  </w:pPr>
                  <w:r>
                    <w:rPr>
                      <w:rFonts w:hint="eastAsia" w:ascii="Times New Roman" w:hAnsi="Times New Roman"/>
                      <w:bCs/>
                      <w:color w:val="auto"/>
                      <w:szCs w:val="21"/>
                    </w:rPr>
                    <w:t>9</w:t>
                  </w:r>
                </w:p>
              </w:tc>
              <w:tc>
                <w:tcPr>
                  <w:tcW w:w="1683" w:type="dxa"/>
                  <w:vAlign w:val="center"/>
                </w:tcPr>
                <w:p w14:paraId="6B720728">
                  <w:pPr>
                    <w:pStyle w:val="32"/>
                    <w:rPr>
                      <w:color w:val="auto"/>
                    </w:rPr>
                  </w:pPr>
                  <w:r>
                    <w:rPr>
                      <w:rFonts w:hint="eastAsia"/>
                      <w:color w:val="auto"/>
                    </w:rPr>
                    <w:t>废润滑油</w:t>
                  </w:r>
                </w:p>
              </w:tc>
              <w:tc>
                <w:tcPr>
                  <w:tcW w:w="910" w:type="dxa"/>
                  <w:vMerge w:val="restart"/>
                  <w:vAlign w:val="center"/>
                </w:tcPr>
                <w:p w14:paraId="26ADAD13">
                  <w:pPr>
                    <w:autoSpaceDE w:val="0"/>
                    <w:autoSpaceDN w:val="0"/>
                    <w:spacing w:line="276" w:lineRule="auto"/>
                    <w:jc w:val="center"/>
                    <w:rPr>
                      <w:rFonts w:ascii="Times New Roman" w:hAnsi="Times New Roman"/>
                      <w:bCs/>
                      <w:color w:val="auto"/>
                      <w:szCs w:val="21"/>
                      <w:lang w:val="zh-CN"/>
                    </w:rPr>
                  </w:pPr>
                  <w:r>
                    <w:rPr>
                      <w:rFonts w:ascii="Times New Roman" w:hAnsi="Times New Roman"/>
                      <w:bCs/>
                      <w:color w:val="auto"/>
                      <w:szCs w:val="21"/>
                      <w:lang w:val="zh-CN"/>
                    </w:rPr>
                    <w:t>危险废物暂存间</w:t>
                  </w:r>
                </w:p>
              </w:tc>
              <w:tc>
                <w:tcPr>
                  <w:tcW w:w="0" w:type="auto"/>
                  <w:vAlign w:val="center"/>
                </w:tcPr>
                <w:p w14:paraId="168FBFC0">
                  <w:pPr>
                    <w:pStyle w:val="32"/>
                    <w:rPr>
                      <w:rFonts w:hint="eastAsia" w:eastAsia="宋体"/>
                      <w:color w:val="auto"/>
                      <w:highlight w:val="none"/>
                      <w:lang w:eastAsia="zh-CN"/>
                    </w:rPr>
                  </w:pPr>
                  <w:r>
                    <w:rPr>
                      <w:rFonts w:hint="eastAsia"/>
                      <w:color w:val="auto"/>
                      <w:highlight w:val="none"/>
                    </w:rPr>
                    <w:t>0.</w:t>
                  </w:r>
                  <w:r>
                    <w:rPr>
                      <w:rFonts w:hint="eastAsia"/>
                      <w:color w:val="auto"/>
                      <w:highlight w:val="none"/>
                      <w:lang w:val="en-US" w:eastAsia="zh-CN"/>
                    </w:rPr>
                    <w:t>4</w:t>
                  </w:r>
                </w:p>
              </w:tc>
              <w:tc>
                <w:tcPr>
                  <w:tcW w:w="1288" w:type="dxa"/>
                  <w:vAlign w:val="center"/>
                </w:tcPr>
                <w:p w14:paraId="4BFA19D5">
                  <w:pPr>
                    <w:autoSpaceDE w:val="0"/>
                    <w:autoSpaceDN w:val="0"/>
                    <w:spacing w:line="276" w:lineRule="auto"/>
                    <w:jc w:val="center"/>
                    <w:rPr>
                      <w:rFonts w:hint="default" w:ascii="Times New Roman" w:hAnsi="Times New Roman" w:eastAsiaTheme="minorEastAsia"/>
                      <w:bCs/>
                      <w:color w:val="auto"/>
                      <w:szCs w:val="21"/>
                      <w:highlight w:val="none"/>
                      <w:lang w:val="en-US" w:eastAsia="zh-CN"/>
                    </w:rPr>
                  </w:pPr>
                  <w:r>
                    <w:rPr>
                      <w:rFonts w:hint="eastAsia" w:ascii="Times New Roman" w:hAnsi="Times New Roman"/>
                      <w:bCs/>
                      <w:color w:val="auto"/>
                      <w:szCs w:val="21"/>
                      <w:highlight w:val="none"/>
                      <w:lang w:val="en-US" w:eastAsia="zh-CN"/>
                    </w:rPr>
                    <w:t>50</w:t>
                  </w:r>
                </w:p>
              </w:tc>
              <w:tc>
                <w:tcPr>
                  <w:tcW w:w="1004" w:type="dxa"/>
                  <w:vAlign w:val="center"/>
                </w:tcPr>
                <w:p w14:paraId="11B38A24">
                  <w:pPr>
                    <w:spacing w:line="276" w:lineRule="auto"/>
                    <w:jc w:val="center"/>
                    <w:rPr>
                      <w:rFonts w:hint="eastAsia" w:ascii="Times New Roman" w:hAnsi="Times New Roman" w:eastAsiaTheme="minorEastAsia"/>
                      <w:color w:val="auto"/>
                      <w:szCs w:val="21"/>
                      <w:lang w:eastAsia="zh-CN"/>
                    </w:rPr>
                  </w:pPr>
                  <w:r>
                    <w:rPr>
                      <w:rFonts w:hint="eastAsia" w:ascii="Times New Roman" w:hAnsi="Times New Roman"/>
                      <w:color w:val="auto"/>
                      <w:szCs w:val="21"/>
                    </w:rPr>
                    <w:t>0.00</w:t>
                  </w:r>
                  <w:r>
                    <w:rPr>
                      <w:rFonts w:hint="eastAsia" w:ascii="Times New Roman" w:hAnsi="Times New Roman"/>
                      <w:color w:val="auto"/>
                      <w:szCs w:val="21"/>
                      <w:lang w:val="en-US" w:eastAsia="zh-CN"/>
                    </w:rPr>
                    <w:t>8</w:t>
                  </w:r>
                </w:p>
              </w:tc>
            </w:tr>
            <w:tr w14:paraId="2A8CFDB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0" w:type="auto"/>
                  <w:vAlign w:val="center"/>
                </w:tcPr>
                <w:p w14:paraId="56FB7DED">
                  <w:pPr>
                    <w:autoSpaceDE w:val="0"/>
                    <w:autoSpaceDN w:val="0"/>
                    <w:spacing w:line="276" w:lineRule="auto"/>
                    <w:jc w:val="center"/>
                    <w:rPr>
                      <w:rFonts w:ascii="Times New Roman" w:hAnsi="Times New Roman"/>
                      <w:bCs/>
                      <w:color w:val="auto"/>
                      <w:szCs w:val="21"/>
                    </w:rPr>
                  </w:pPr>
                  <w:r>
                    <w:rPr>
                      <w:rFonts w:hint="eastAsia" w:ascii="Times New Roman" w:hAnsi="Times New Roman"/>
                      <w:bCs/>
                      <w:color w:val="auto"/>
                      <w:szCs w:val="21"/>
                    </w:rPr>
                    <w:t>10</w:t>
                  </w:r>
                </w:p>
              </w:tc>
              <w:tc>
                <w:tcPr>
                  <w:tcW w:w="1683" w:type="dxa"/>
                  <w:vAlign w:val="center"/>
                </w:tcPr>
                <w:p w14:paraId="109E2AD5">
                  <w:pPr>
                    <w:pStyle w:val="32"/>
                    <w:rPr>
                      <w:color w:val="auto"/>
                    </w:rPr>
                  </w:pPr>
                  <w:r>
                    <w:rPr>
                      <w:rFonts w:hint="eastAsia"/>
                      <w:color w:val="auto"/>
                    </w:rPr>
                    <w:t>废润滑油桶</w:t>
                  </w:r>
                </w:p>
              </w:tc>
              <w:tc>
                <w:tcPr>
                  <w:tcW w:w="910" w:type="dxa"/>
                  <w:vMerge w:val="continue"/>
                  <w:vAlign w:val="center"/>
                </w:tcPr>
                <w:p w14:paraId="5D2131DE">
                  <w:pPr>
                    <w:autoSpaceDE w:val="0"/>
                    <w:autoSpaceDN w:val="0"/>
                    <w:spacing w:line="276" w:lineRule="auto"/>
                    <w:jc w:val="center"/>
                    <w:rPr>
                      <w:rFonts w:ascii="Times New Roman" w:hAnsi="Times New Roman"/>
                      <w:bCs/>
                      <w:color w:val="auto"/>
                      <w:szCs w:val="21"/>
                      <w:lang w:val="zh-CN"/>
                    </w:rPr>
                  </w:pPr>
                </w:p>
              </w:tc>
              <w:tc>
                <w:tcPr>
                  <w:tcW w:w="0" w:type="auto"/>
                  <w:vAlign w:val="center"/>
                </w:tcPr>
                <w:p w14:paraId="18E07CDB">
                  <w:pPr>
                    <w:pStyle w:val="32"/>
                    <w:rPr>
                      <w:rFonts w:hint="eastAsia" w:eastAsia="宋体"/>
                      <w:color w:val="auto"/>
                      <w:highlight w:val="none"/>
                      <w:lang w:eastAsia="zh-CN"/>
                    </w:rPr>
                  </w:pPr>
                  <w:r>
                    <w:rPr>
                      <w:rFonts w:hint="eastAsia"/>
                      <w:color w:val="auto"/>
                      <w:highlight w:val="none"/>
                    </w:rPr>
                    <w:t>0.00</w:t>
                  </w:r>
                  <w:r>
                    <w:rPr>
                      <w:rFonts w:hint="eastAsia"/>
                      <w:color w:val="auto"/>
                      <w:highlight w:val="none"/>
                      <w:lang w:val="en-US" w:eastAsia="zh-CN"/>
                    </w:rPr>
                    <w:t>2</w:t>
                  </w:r>
                </w:p>
              </w:tc>
              <w:tc>
                <w:tcPr>
                  <w:tcW w:w="1288" w:type="dxa"/>
                  <w:vAlign w:val="center"/>
                </w:tcPr>
                <w:p w14:paraId="5B58AB6D">
                  <w:pPr>
                    <w:autoSpaceDE w:val="0"/>
                    <w:autoSpaceDN w:val="0"/>
                    <w:spacing w:line="276" w:lineRule="auto"/>
                    <w:jc w:val="center"/>
                    <w:rPr>
                      <w:rFonts w:hint="default" w:ascii="Times New Roman" w:hAnsi="Times New Roman" w:eastAsiaTheme="minorEastAsia"/>
                      <w:bCs/>
                      <w:color w:val="auto"/>
                      <w:szCs w:val="21"/>
                      <w:highlight w:val="none"/>
                      <w:lang w:val="en-US" w:eastAsia="zh-CN"/>
                    </w:rPr>
                  </w:pPr>
                  <w:r>
                    <w:rPr>
                      <w:rFonts w:hint="eastAsia" w:ascii="Times New Roman" w:hAnsi="Times New Roman"/>
                      <w:bCs/>
                      <w:color w:val="auto"/>
                      <w:szCs w:val="21"/>
                      <w:highlight w:val="none"/>
                      <w:lang w:val="en-US" w:eastAsia="zh-CN"/>
                    </w:rPr>
                    <w:t>50</w:t>
                  </w:r>
                </w:p>
              </w:tc>
              <w:tc>
                <w:tcPr>
                  <w:tcW w:w="1004" w:type="dxa"/>
                  <w:vAlign w:val="center"/>
                </w:tcPr>
                <w:p w14:paraId="66172BCF">
                  <w:pPr>
                    <w:spacing w:line="276" w:lineRule="auto"/>
                    <w:jc w:val="center"/>
                    <w:rPr>
                      <w:rFonts w:hint="eastAsia" w:ascii="Times New Roman" w:hAnsi="Times New Roman" w:eastAsiaTheme="minorEastAsia"/>
                      <w:color w:val="auto"/>
                      <w:szCs w:val="21"/>
                      <w:lang w:eastAsia="zh-CN"/>
                    </w:rPr>
                  </w:pPr>
                  <w:r>
                    <w:rPr>
                      <w:rFonts w:hint="eastAsia" w:ascii="Times New Roman" w:hAnsi="Times New Roman"/>
                      <w:color w:val="auto"/>
                      <w:szCs w:val="21"/>
                    </w:rPr>
                    <w:t>0.0000</w:t>
                  </w:r>
                  <w:r>
                    <w:rPr>
                      <w:rFonts w:hint="eastAsia" w:ascii="Times New Roman" w:hAnsi="Times New Roman"/>
                      <w:color w:val="auto"/>
                      <w:szCs w:val="21"/>
                      <w:lang w:val="en-US" w:eastAsia="zh-CN"/>
                    </w:rPr>
                    <w:t>4</w:t>
                  </w:r>
                </w:p>
              </w:tc>
            </w:tr>
            <w:tr w14:paraId="47D6EDF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74" w:type="dxa"/>
                  <w:gridSpan w:val="5"/>
                  <w:vAlign w:val="center"/>
                </w:tcPr>
                <w:p w14:paraId="0840740A">
                  <w:pPr>
                    <w:autoSpaceDE w:val="0"/>
                    <w:autoSpaceDN w:val="0"/>
                    <w:spacing w:line="276" w:lineRule="auto"/>
                    <w:jc w:val="center"/>
                    <w:rPr>
                      <w:rFonts w:ascii="Times New Roman" w:hAnsi="Times New Roman"/>
                      <w:bCs/>
                      <w:color w:val="auto"/>
                      <w:szCs w:val="21"/>
                      <w:lang w:val="zh-CN"/>
                    </w:rPr>
                  </w:pPr>
                  <w:r>
                    <w:rPr>
                      <w:rFonts w:ascii="Times New Roman" w:hAnsi="Times New Roman"/>
                      <w:bCs/>
                      <w:color w:val="auto"/>
                      <w:szCs w:val="21"/>
                      <w:lang w:val="zh-CN"/>
                    </w:rPr>
                    <w:t>合计</w:t>
                  </w:r>
                </w:p>
              </w:tc>
              <w:tc>
                <w:tcPr>
                  <w:tcW w:w="1004" w:type="dxa"/>
                  <w:vAlign w:val="center"/>
                </w:tcPr>
                <w:p w14:paraId="41D6579B">
                  <w:pPr>
                    <w:autoSpaceDE w:val="0"/>
                    <w:autoSpaceDN w:val="0"/>
                    <w:spacing w:line="276" w:lineRule="auto"/>
                    <w:jc w:val="center"/>
                    <w:rPr>
                      <w:rFonts w:hint="default" w:ascii="Times New Roman" w:hAnsi="Times New Roman" w:eastAsiaTheme="minorEastAsia"/>
                      <w:bCs/>
                      <w:color w:val="auto"/>
                      <w:szCs w:val="21"/>
                      <w:lang w:val="en-US" w:eastAsia="zh-CN"/>
                    </w:rPr>
                  </w:pPr>
                  <w:r>
                    <w:rPr>
                      <w:rFonts w:hint="eastAsia" w:ascii="Times New Roman" w:hAnsi="Times New Roman"/>
                      <w:bCs/>
                      <w:color w:val="auto"/>
                      <w:szCs w:val="21"/>
                    </w:rPr>
                    <w:t>0</w:t>
                  </w:r>
                  <w:r>
                    <w:rPr>
                      <w:rFonts w:hint="eastAsia" w:ascii="Times New Roman" w:hAnsi="Times New Roman"/>
                      <w:bCs/>
                      <w:color w:val="auto"/>
                      <w:szCs w:val="21"/>
                      <w:lang w:val="en-US" w:eastAsia="zh-CN"/>
                    </w:rPr>
                    <w:t>.71119</w:t>
                  </w:r>
                </w:p>
              </w:tc>
            </w:tr>
          </w:tbl>
          <w:p w14:paraId="33AE4FD3">
            <w:pPr>
              <w:spacing w:line="276" w:lineRule="auto"/>
              <w:ind w:firstLine="360" w:firstLineChars="200"/>
              <w:rPr>
                <w:rFonts w:ascii="Times New Roman" w:hAnsi="Times New Roman" w:eastAsia="黑体" w:cs="Times New Roman"/>
                <w:color w:val="auto"/>
                <w:sz w:val="18"/>
                <w:szCs w:val="18"/>
              </w:rPr>
            </w:pPr>
            <w:r>
              <w:rPr>
                <w:rFonts w:ascii="Times New Roman" w:hAnsi="黑体" w:eastAsia="黑体" w:cs="Times New Roman"/>
                <w:color w:val="auto"/>
                <w:sz w:val="18"/>
                <w:szCs w:val="18"/>
              </w:rPr>
              <w:t>注</w:t>
            </w:r>
            <w:r>
              <w:rPr>
                <w:rFonts w:ascii="Times New Roman" w:hAnsi="Times New Roman" w:eastAsia="黑体" w:cs="Times New Roman"/>
                <w:color w:val="auto"/>
                <w:sz w:val="18"/>
                <w:szCs w:val="18"/>
              </w:rPr>
              <w:t>a</w:t>
            </w:r>
            <w:r>
              <w:rPr>
                <w:rFonts w:ascii="Times New Roman" w:hAnsi="黑体" w:eastAsia="黑体" w:cs="Times New Roman"/>
                <w:color w:val="auto"/>
                <w:sz w:val="18"/>
                <w:szCs w:val="18"/>
              </w:rPr>
              <w:t>：</w:t>
            </w:r>
            <w:r>
              <w:rPr>
                <w:rFonts w:hint="eastAsia" w:ascii="Times New Roman" w:hAnsi="Times New Roman" w:eastAsia="黑体" w:cs="Times New Roman"/>
                <w:color w:val="auto"/>
                <w:sz w:val="18"/>
                <w:szCs w:val="18"/>
              </w:rPr>
              <w:t>水性底漆、水性面漆</w:t>
            </w:r>
            <w:r>
              <w:rPr>
                <w:rFonts w:ascii="Times New Roman" w:hAnsi="黑体" w:eastAsia="黑体" w:cs="Times New Roman"/>
                <w:color w:val="auto"/>
                <w:sz w:val="18"/>
                <w:szCs w:val="18"/>
              </w:rPr>
              <w:t>临界量参照危害水环境物质</w:t>
            </w:r>
            <w:r>
              <w:rPr>
                <w:rFonts w:hint="eastAsia" w:ascii="Times New Roman" w:hAnsi="黑体" w:eastAsia="黑体" w:cs="Times New Roman"/>
                <w:color w:val="auto"/>
                <w:sz w:val="18"/>
                <w:szCs w:val="18"/>
              </w:rPr>
              <w:t>（急性毒性类别1）</w:t>
            </w:r>
            <w:r>
              <w:rPr>
                <w:rFonts w:ascii="Times New Roman" w:hAnsi="黑体" w:eastAsia="黑体" w:cs="Times New Roman"/>
                <w:color w:val="auto"/>
                <w:sz w:val="18"/>
                <w:szCs w:val="18"/>
              </w:rPr>
              <w:t>的临界量</w:t>
            </w:r>
            <w:r>
              <w:rPr>
                <w:rFonts w:hint="eastAsia" w:ascii="Times New Roman" w:hAnsi="黑体" w:eastAsia="黑体" w:cs="Times New Roman"/>
                <w:color w:val="auto"/>
                <w:sz w:val="18"/>
                <w:szCs w:val="18"/>
              </w:rPr>
              <w:t>100t</w:t>
            </w:r>
            <w:r>
              <w:rPr>
                <w:rFonts w:hint="eastAsia" w:ascii="Times New Roman" w:hAnsi="Times New Roman" w:eastAsia="黑体" w:cs="Times New Roman"/>
                <w:color w:val="auto"/>
                <w:sz w:val="18"/>
                <w:szCs w:val="18"/>
              </w:rPr>
              <w:t>；废漆渣、废涂料桶、</w:t>
            </w:r>
            <w:r>
              <w:rPr>
                <w:rFonts w:ascii="Times New Roman" w:hAnsi="黑体" w:eastAsia="黑体" w:cs="Times New Roman"/>
                <w:color w:val="auto"/>
                <w:sz w:val="18"/>
                <w:szCs w:val="18"/>
              </w:rPr>
              <w:t>废过滤棉</w:t>
            </w:r>
            <w:r>
              <w:rPr>
                <w:rFonts w:hint="eastAsia" w:ascii="Times New Roman" w:hAnsi="黑体" w:eastAsia="黑体" w:cs="Times New Roman"/>
                <w:color w:val="auto"/>
                <w:sz w:val="18"/>
                <w:szCs w:val="18"/>
              </w:rPr>
              <w:t>、</w:t>
            </w:r>
            <w:r>
              <w:rPr>
                <w:rFonts w:ascii="Times New Roman" w:hAnsi="黑体" w:eastAsia="黑体" w:cs="Times New Roman"/>
                <w:color w:val="auto"/>
                <w:sz w:val="18"/>
                <w:szCs w:val="18"/>
              </w:rPr>
              <w:t>废活性炭</w:t>
            </w:r>
            <w:r>
              <w:rPr>
                <w:rFonts w:hint="eastAsia" w:ascii="Times New Roman" w:hAnsi="黑体" w:eastAsia="黑体" w:cs="Times New Roman"/>
                <w:color w:val="auto"/>
                <w:sz w:val="18"/>
                <w:szCs w:val="18"/>
              </w:rPr>
              <w:t>、</w:t>
            </w:r>
            <w:r>
              <w:rPr>
                <w:rFonts w:hint="eastAsia" w:ascii="Times New Roman" w:hAnsi="黑体" w:eastAsia="黑体" w:cs="Times New Roman"/>
                <w:color w:val="auto"/>
                <w:sz w:val="18"/>
                <w:szCs w:val="18"/>
                <w:lang w:val="en-US" w:eastAsia="zh-CN"/>
              </w:rPr>
              <w:t>废润滑油、</w:t>
            </w:r>
            <w:r>
              <w:rPr>
                <w:rFonts w:hint="eastAsia" w:ascii="Times New Roman" w:hAnsi="黑体" w:eastAsia="黑体" w:cs="Times New Roman"/>
                <w:color w:val="auto"/>
                <w:sz w:val="18"/>
                <w:szCs w:val="18"/>
              </w:rPr>
              <w:t>废润滑油桶</w:t>
            </w:r>
            <w:r>
              <w:rPr>
                <w:rFonts w:ascii="Times New Roman" w:hAnsi="黑体" w:eastAsia="黑体" w:cs="Times New Roman"/>
                <w:color w:val="auto"/>
                <w:sz w:val="18"/>
                <w:szCs w:val="18"/>
              </w:rPr>
              <w:t>临界量参照</w:t>
            </w:r>
            <w:r>
              <w:rPr>
                <w:rFonts w:hint="eastAsia" w:ascii="Times New Roman" w:hAnsi="Times New Roman" w:eastAsia="黑体" w:cs="Times New Roman"/>
                <w:color w:val="auto"/>
                <w:sz w:val="18"/>
                <w:szCs w:val="18"/>
                <w:lang w:val="en-US" w:eastAsia="zh-CN"/>
              </w:rPr>
              <w:t>健康危险急性毒性物质（类别2，类别3）的临界量50t；</w:t>
            </w:r>
            <w:r>
              <w:rPr>
                <w:rFonts w:hint="eastAsia" w:ascii="Times New Roman" w:hAnsi="黑体" w:eastAsia="黑体" w:cs="Times New Roman"/>
                <w:color w:val="auto"/>
                <w:sz w:val="18"/>
                <w:szCs w:val="18"/>
              </w:rPr>
              <w:t>润滑油</w:t>
            </w:r>
            <w:r>
              <w:rPr>
                <w:rFonts w:hint="eastAsia" w:ascii="Times New Roman" w:hAnsi="黑体" w:eastAsia="黑体" w:cs="Times New Roman"/>
                <w:color w:val="auto"/>
                <w:sz w:val="18"/>
                <w:szCs w:val="18"/>
                <w:lang w:val="en-US" w:eastAsia="zh-CN"/>
              </w:rPr>
              <w:t>参</w:t>
            </w:r>
            <w:r>
              <w:rPr>
                <w:rFonts w:hint="eastAsia" w:ascii="Times New Roman" w:hAnsi="黑体" w:eastAsia="黑体" w:cs="Times New Roman"/>
                <w:color w:val="auto"/>
                <w:sz w:val="18"/>
                <w:szCs w:val="18"/>
              </w:rPr>
              <w:t>照油类物质临界量2500t；</w:t>
            </w:r>
          </w:p>
          <w:p w14:paraId="5FB2666E">
            <w:pPr>
              <w:spacing w:line="276" w:lineRule="auto"/>
              <w:ind w:firstLine="360" w:firstLineChars="200"/>
              <w:rPr>
                <w:rFonts w:ascii="Times New Roman" w:hAnsi="Times New Roman" w:eastAsia="黑体" w:cs="Times New Roman"/>
                <w:color w:val="auto"/>
                <w:sz w:val="18"/>
                <w:szCs w:val="18"/>
              </w:rPr>
            </w:pPr>
            <w:r>
              <w:rPr>
                <w:rFonts w:hint="eastAsia" w:ascii="Times New Roman" w:hAnsi="Times New Roman" w:eastAsia="黑体" w:cs="Times New Roman"/>
                <w:color w:val="auto"/>
                <w:sz w:val="18"/>
                <w:szCs w:val="18"/>
              </w:rPr>
              <w:t>b：</w:t>
            </w:r>
            <w:r>
              <w:rPr>
                <w:rFonts w:ascii="Times New Roman" w:hAnsi="Times New Roman" w:eastAsia="黑体" w:cs="Times New Roman"/>
                <w:color w:val="auto"/>
                <w:sz w:val="18"/>
                <w:szCs w:val="18"/>
              </w:rPr>
              <w:t>水帘喷漆定期更换的废液</w:t>
            </w:r>
            <w:r>
              <w:rPr>
                <w:rFonts w:hint="eastAsia" w:ascii="Times New Roman" w:hAnsi="Times New Roman" w:eastAsia="黑体" w:cs="Times New Roman"/>
                <w:color w:val="auto"/>
                <w:sz w:val="18"/>
                <w:szCs w:val="18"/>
              </w:rPr>
              <w:t>参其COD浓度大于10000</w:t>
            </w:r>
            <w:r>
              <w:rPr>
                <w:rFonts w:ascii="Times New Roman" w:hAnsi="Times New Roman" w:eastAsia="黑体" w:cs="Times New Roman"/>
                <w:color w:val="auto"/>
                <w:sz w:val="18"/>
                <w:szCs w:val="18"/>
              </w:rPr>
              <w:t>mg/L</w:t>
            </w:r>
            <w:r>
              <w:rPr>
                <w:rFonts w:hint="eastAsia" w:ascii="Times New Roman" w:hAnsi="Times New Roman" w:eastAsia="黑体" w:cs="Times New Roman"/>
                <w:color w:val="auto"/>
                <w:sz w:val="18"/>
                <w:szCs w:val="18"/>
              </w:rPr>
              <w:t>，</w:t>
            </w:r>
            <w:r>
              <w:rPr>
                <w:rFonts w:ascii="Times New Roman" w:hAnsi="Times New Roman" w:eastAsia="黑体" w:cs="Times New Roman"/>
                <w:color w:val="auto"/>
                <w:sz w:val="18"/>
                <w:szCs w:val="18"/>
              </w:rPr>
              <w:t>临界量取</w:t>
            </w:r>
            <w:r>
              <w:rPr>
                <w:rFonts w:hint="eastAsia" w:ascii="Times New Roman" w:hAnsi="Times New Roman" w:eastAsia="黑体" w:cs="Times New Roman"/>
                <w:color w:val="auto"/>
                <w:sz w:val="18"/>
                <w:szCs w:val="18"/>
              </w:rPr>
              <w:t>10t。</w:t>
            </w:r>
          </w:p>
          <w:p w14:paraId="13EEE2A7">
            <w:pPr>
              <w:spacing w:line="360" w:lineRule="auto"/>
              <w:ind w:firstLine="482" w:firstLineChars="200"/>
              <w:rPr>
                <w:rFonts w:ascii="Times New Roman" w:hAnsi="Times New Roman" w:cs="Times New Roman"/>
                <w:b/>
                <w:bCs/>
                <w:color w:val="auto"/>
                <w:sz w:val="24"/>
              </w:rPr>
            </w:pPr>
            <w:r>
              <w:rPr>
                <w:rFonts w:hint="eastAsia" w:ascii="Times New Roman" w:hAnsi="Times New Roman" w:cs="Times New Roman"/>
                <w:b/>
                <w:bCs/>
                <w:color w:val="auto"/>
                <w:sz w:val="24"/>
              </w:rPr>
              <w:t>2、</w:t>
            </w:r>
            <w:r>
              <w:rPr>
                <w:rFonts w:ascii="Times New Roman" w:hAnsi="Times New Roman" w:cs="Times New Roman"/>
                <w:b/>
                <w:bCs/>
                <w:color w:val="auto"/>
                <w:sz w:val="24"/>
              </w:rPr>
              <w:t>环境风险识别及分析</w:t>
            </w:r>
          </w:p>
          <w:p w14:paraId="30E591B1">
            <w:pPr>
              <w:spacing w:line="360" w:lineRule="auto"/>
              <w:ind w:firstLine="480" w:firstLineChars="200"/>
              <w:rPr>
                <w:rFonts w:ascii="Times New Roman" w:hAnsi="Times New Roman" w:cs="Times New Roman"/>
                <w:color w:val="auto"/>
                <w:sz w:val="24"/>
                <w:szCs w:val="28"/>
              </w:rPr>
            </w:pPr>
            <w:r>
              <w:rPr>
                <w:rFonts w:ascii="Times New Roman" w:hAnsi="Times New Roman" w:cs="Times New Roman"/>
                <w:color w:val="auto"/>
                <w:sz w:val="24"/>
                <w:szCs w:val="28"/>
              </w:rPr>
              <w:t>根据导则要求，环境风险评价的风险识别范围主要包括生产设施风险识别以及生产过程中物质风险识别。拟建项目运营期环境风险识别结果见下表。</w:t>
            </w:r>
          </w:p>
          <w:p w14:paraId="745BB284">
            <w:pPr>
              <w:spacing w:line="360" w:lineRule="auto"/>
              <w:jc w:val="center"/>
              <w:rPr>
                <w:rFonts w:ascii="Times New Roman" w:hAnsi="Times New Roman" w:eastAsia="黑体" w:cs="Times New Roman"/>
                <w:color w:val="auto"/>
                <w:sz w:val="24"/>
                <w:szCs w:val="24"/>
              </w:rPr>
            </w:pPr>
          </w:p>
          <w:p w14:paraId="5CB7DC72">
            <w:pPr>
              <w:spacing w:line="360" w:lineRule="auto"/>
              <w:jc w:val="center"/>
              <w:rPr>
                <w:rFonts w:ascii="Times New Roman" w:hAnsi="Times New Roman" w:eastAsia="黑体" w:cs="Times New Roman"/>
                <w:color w:val="auto"/>
                <w:sz w:val="24"/>
                <w:szCs w:val="24"/>
              </w:rPr>
            </w:pPr>
          </w:p>
          <w:p w14:paraId="5E61B640">
            <w:pPr>
              <w:spacing w:line="360" w:lineRule="auto"/>
              <w:jc w:val="center"/>
              <w:rPr>
                <w:rFonts w:ascii="Times New Roman" w:hAnsi="Times New Roman" w:eastAsia="黑体" w:cs="Times New Roman"/>
                <w:color w:val="auto"/>
                <w:sz w:val="24"/>
                <w:szCs w:val="24"/>
              </w:rPr>
            </w:pPr>
          </w:p>
          <w:p w14:paraId="6D559BF0">
            <w:pPr>
              <w:spacing w:line="360" w:lineRule="auto"/>
              <w:jc w:val="center"/>
              <w:rPr>
                <w:rFonts w:ascii="Times New Roman" w:hAnsi="Times New Roman" w:eastAsia="黑体" w:cs="Times New Roman"/>
                <w:color w:val="auto"/>
                <w:sz w:val="24"/>
                <w:szCs w:val="24"/>
              </w:rPr>
            </w:pPr>
          </w:p>
          <w:p w14:paraId="6B4D1457">
            <w:pPr>
              <w:spacing w:line="360" w:lineRule="auto"/>
              <w:jc w:val="center"/>
              <w:rPr>
                <w:rFonts w:ascii="Times New Roman" w:hAnsi="Times New Roman" w:eastAsia="黑体" w:cs="Times New Roman"/>
                <w:color w:val="auto"/>
                <w:sz w:val="24"/>
                <w:szCs w:val="24"/>
              </w:rPr>
            </w:pPr>
          </w:p>
          <w:p w14:paraId="163A041D">
            <w:pPr>
              <w:spacing w:line="360" w:lineRule="auto"/>
              <w:jc w:val="center"/>
              <w:rPr>
                <w:rFonts w:ascii="Times New Roman" w:hAnsi="Times New Roman" w:eastAsia="黑体" w:cs="Times New Roman"/>
                <w:color w:val="auto"/>
                <w:sz w:val="24"/>
                <w:szCs w:val="24"/>
              </w:rPr>
            </w:pPr>
          </w:p>
          <w:p w14:paraId="1C1B529E">
            <w:pPr>
              <w:spacing w:line="360" w:lineRule="auto"/>
              <w:jc w:val="center"/>
              <w:rPr>
                <w:rFonts w:ascii="Times New Roman" w:hAnsi="Times New Roman" w:eastAsia="黑体" w:cs="Times New Roman"/>
                <w:color w:val="auto"/>
                <w:sz w:val="24"/>
                <w:szCs w:val="24"/>
              </w:rPr>
            </w:pPr>
          </w:p>
          <w:p w14:paraId="674AC374">
            <w:pPr>
              <w:spacing w:line="360" w:lineRule="auto"/>
              <w:jc w:val="center"/>
              <w:rPr>
                <w:rFonts w:ascii="Times New Roman" w:hAnsi="Times New Roman" w:eastAsia="黑体" w:cs="Times New Roman"/>
                <w:color w:val="auto"/>
                <w:sz w:val="24"/>
                <w:szCs w:val="24"/>
              </w:rPr>
            </w:pPr>
          </w:p>
          <w:p w14:paraId="457CAF80">
            <w:pPr>
              <w:spacing w:line="360" w:lineRule="auto"/>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表4-</w:t>
            </w:r>
            <w:r>
              <w:rPr>
                <w:rFonts w:hint="eastAsia" w:ascii="Times New Roman" w:hAnsi="Times New Roman" w:eastAsia="黑体" w:cs="Times New Roman"/>
                <w:color w:val="auto"/>
                <w:sz w:val="24"/>
                <w:szCs w:val="24"/>
              </w:rPr>
              <w:t xml:space="preserve">17  </w:t>
            </w:r>
            <w:r>
              <w:rPr>
                <w:rFonts w:ascii="Times New Roman" w:hAnsi="Times New Roman" w:eastAsia="黑体" w:cs="Times New Roman"/>
                <w:color w:val="auto"/>
                <w:sz w:val="24"/>
                <w:szCs w:val="24"/>
              </w:rPr>
              <w:t>环境风险识别一览表</w:t>
            </w:r>
          </w:p>
          <w:tbl>
            <w:tblPr>
              <w:tblStyle w:val="17"/>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665"/>
              <w:gridCol w:w="850"/>
              <w:gridCol w:w="1275"/>
              <w:gridCol w:w="993"/>
              <w:gridCol w:w="2551"/>
              <w:gridCol w:w="1244"/>
            </w:tblGrid>
            <w:tr w14:paraId="6082211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39" w:type="pct"/>
                  <w:vAlign w:val="center"/>
                </w:tcPr>
                <w:p w14:paraId="642D4EFA">
                  <w:pPr>
                    <w:pStyle w:val="54"/>
                    <w:rPr>
                      <w:color w:val="auto"/>
                    </w:rPr>
                  </w:pPr>
                  <w:r>
                    <w:rPr>
                      <w:color w:val="auto"/>
                    </w:rPr>
                    <w:t>系统名称</w:t>
                  </w:r>
                </w:p>
              </w:tc>
              <w:tc>
                <w:tcPr>
                  <w:tcW w:w="561" w:type="pct"/>
                  <w:vAlign w:val="center"/>
                </w:tcPr>
                <w:p w14:paraId="3E1F0E10">
                  <w:pPr>
                    <w:pStyle w:val="54"/>
                    <w:rPr>
                      <w:color w:val="auto"/>
                    </w:rPr>
                  </w:pPr>
                  <w:r>
                    <w:rPr>
                      <w:color w:val="auto"/>
                    </w:rPr>
                    <w:t>危险单元</w:t>
                  </w:r>
                </w:p>
              </w:tc>
              <w:tc>
                <w:tcPr>
                  <w:tcW w:w="841" w:type="pct"/>
                  <w:vAlign w:val="center"/>
                </w:tcPr>
                <w:p w14:paraId="751B390E">
                  <w:pPr>
                    <w:pStyle w:val="54"/>
                    <w:rPr>
                      <w:color w:val="auto"/>
                    </w:rPr>
                  </w:pPr>
                  <w:r>
                    <w:rPr>
                      <w:color w:val="auto"/>
                    </w:rPr>
                    <w:t>主要危险物质</w:t>
                  </w:r>
                </w:p>
              </w:tc>
              <w:tc>
                <w:tcPr>
                  <w:tcW w:w="655" w:type="pct"/>
                  <w:vAlign w:val="center"/>
                </w:tcPr>
                <w:p w14:paraId="634BB527">
                  <w:pPr>
                    <w:pStyle w:val="54"/>
                    <w:rPr>
                      <w:color w:val="auto"/>
                    </w:rPr>
                  </w:pPr>
                  <w:r>
                    <w:rPr>
                      <w:color w:val="auto"/>
                    </w:rPr>
                    <w:t>环境风险类型</w:t>
                  </w:r>
                </w:p>
              </w:tc>
              <w:tc>
                <w:tcPr>
                  <w:tcW w:w="1683" w:type="pct"/>
                  <w:vAlign w:val="center"/>
                </w:tcPr>
                <w:p w14:paraId="14E96DEB">
                  <w:pPr>
                    <w:pStyle w:val="54"/>
                    <w:rPr>
                      <w:color w:val="auto"/>
                    </w:rPr>
                  </w:pPr>
                  <w:r>
                    <w:rPr>
                      <w:color w:val="auto"/>
                    </w:rPr>
                    <w:t>环境影响途径</w:t>
                  </w:r>
                </w:p>
              </w:tc>
              <w:tc>
                <w:tcPr>
                  <w:tcW w:w="821" w:type="pct"/>
                  <w:vAlign w:val="center"/>
                </w:tcPr>
                <w:p w14:paraId="2460AE09">
                  <w:pPr>
                    <w:pStyle w:val="54"/>
                    <w:rPr>
                      <w:color w:val="auto"/>
                    </w:rPr>
                  </w:pPr>
                  <w:r>
                    <w:rPr>
                      <w:color w:val="auto"/>
                    </w:rPr>
                    <w:t>可能受影响的环境敏感目标</w:t>
                  </w:r>
                </w:p>
              </w:tc>
            </w:tr>
            <w:tr w14:paraId="31545D27">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368" w:hRule="atLeast"/>
                <w:jc w:val="center"/>
              </w:trPr>
              <w:tc>
                <w:tcPr>
                  <w:tcW w:w="439" w:type="pct"/>
                  <w:vMerge w:val="restart"/>
                  <w:vAlign w:val="center"/>
                </w:tcPr>
                <w:p w14:paraId="2F07ADD2">
                  <w:pPr>
                    <w:pStyle w:val="54"/>
                    <w:rPr>
                      <w:color w:val="auto"/>
                    </w:rPr>
                  </w:pPr>
                  <w:r>
                    <w:rPr>
                      <w:color w:val="auto"/>
                    </w:rPr>
                    <w:t>储运</w:t>
                  </w:r>
                </w:p>
                <w:p w14:paraId="16F5E50E">
                  <w:pPr>
                    <w:pStyle w:val="54"/>
                    <w:rPr>
                      <w:color w:val="auto"/>
                    </w:rPr>
                  </w:pPr>
                  <w:r>
                    <w:rPr>
                      <w:color w:val="auto"/>
                    </w:rPr>
                    <w:t>设施</w:t>
                  </w:r>
                </w:p>
              </w:tc>
              <w:tc>
                <w:tcPr>
                  <w:tcW w:w="561" w:type="pct"/>
                  <w:vAlign w:val="center"/>
                </w:tcPr>
                <w:p w14:paraId="22EDE461">
                  <w:pPr>
                    <w:pStyle w:val="54"/>
                    <w:rPr>
                      <w:color w:val="auto"/>
                    </w:rPr>
                  </w:pPr>
                  <w:r>
                    <w:rPr>
                      <w:color w:val="auto"/>
                    </w:rPr>
                    <w:t>供漆室</w:t>
                  </w:r>
                </w:p>
              </w:tc>
              <w:tc>
                <w:tcPr>
                  <w:tcW w:w="841" w:type="pct"/>
                  <w:vAlign w:val="center"/>
                </w:tcPr>
                <w:p w14:paraId="7E8F93FC">
                  <w:pPr>
                    <w:pStyle w:val="54"/>
                    <w:rPr>
                      <w:color w:val="auto"/>
                    </w:rPr>
                  </w:pPr>
                  <w:r>
                    <w:rPr>
                      <w:rFonts w:hint="eastAsia"/>
                      <w:color w:val="auto"/>
                    </w:rPr>
                    <w:t>水性底漆、水性面漆</w:t>
                  </w:r>
                </w:p>
              </w:tc>
              <w:tc>
                <w:tcPr>
                  <w:tcW w:w="655" w:type="pct"/>
                  <w:vAlign w:val="center"/>
                </w:tcPr>
                <w:p w14:paraId="25ADC850">
                  <w:pPr>
                    <w:pStyle w:val="54"/>
                    <w:rPr>
                      <w:color w:val="auto"/>
                    </w:rPr>
                  </w:pPr>
                  <w:r>
                    <w:rPr>
                      <w:rFonts w:hint="eastAsia"/>
                      <w:color w:val="auto"/>
                    </w:rPr>
                    <w:t>盛装容器</w:t>
                  </w:r>
                  <w:r>
                    <w:rPr>
                      <w:color w:val="auto"/>
                    </w:rPr>
                    <w:t>破损导致泄漏</w:t>
                  </w:r>
                </w:p>
              </w:tc>
              <w:tc>
                <w:tcPr>
                  <w:tcW w:w="1683" w:type="pct"/>
                  <w:vAlign w:val="center"/>
                </w:tcPr>
                <w:p w14:paraId="5AC9CB0C">
                  <w:pPr>
                    <w:pStyle w:val="54"/>
                    <w:rPr>
                      <w:color w:val="auto"/>
                    </w:rPr>
                  </w:pPr>
                  <w:r>
                    <w:rPr>
                      <w:rFonts w:hint="eastAsia"/>
                      <w:color w:val="auto"/>
                    </w:rPr>
                    <w:t>存装各类原料的容器</w:t>
                  </w:r>
                  <w:r>
                    <w:rPr>
                      <w:color w:val="auto"/>
                    </w:rPr>
                    <w:t>破损导致泄漏液体</w:t>
                  </w:r>
                  <w:r>
                    <w:rPr>
                      <w:rFonts w:hint="eastAsia"/>
                      <w:color w:val="auto"/>
                    </w:rPr>
                    <w:t>未经有效收集，进入地表水体或者下渗入土壤，影响地下水及土壤环境</w:t>
                  </w:r>
                  <w:r>
                    <w:rPr>
                      <w:color w:val="auto"/>
                    </w:rPr>
                    <w:t>或火灾事故</w:t>
                  </w:r>
                  <w:r>
                    <w:rPr>
                      <w:rFonts w:hint="eastAsia"/>
                      <w:color w:val="auto"/>
                    </w:rPr>
                    <w:t>的伴生污染物</w:t>
                  </w:r>
                  <w:r>
                    <w:rPr>
                      <w:color w:val="auto"/>
                    </w:rPr>
                    <w:t>对环境空气产生不利影响</w:t>
                  </w:r>
                </w:p>
              </w:tc>
              <w:tc>
                <w:tcPr>
                  <w:tcW w:w="821" w:type="pct"/>
                  <w:vAlign w:val="center"/>
                </w:tcPr>
                <w:p w14:paraId="68CBE7ED">
                  <w:pPr>
                    <w:pStyle w:val="54"/>
                    <w:rPr>
                      <w:color w:val="auto"/>
                    </w:rPr>
                  </w:pPr>
                  <w:r>
                    <w:rPr>
                      <w:rFonts w:hint="eastAsia"/>
                      <w:color w:val="auto"/>
                    </w:rPr>
                    <w:t>大气环境、地表水环境、地下水环境</w:t>
                  </w:r>
                </w:p>
              </w:tc>
            </w:tr>
            <w:tr w14:paraId="3500F32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39" w:type="pct"/>
                  <w:vMerge w:val="continue"/>
                  <w:vAlign w:val="center"/>
                </w:tcPr>
                <w:p w14:paraId="347C01B4">
                  <w:pPr>
                    <w:pStyle w:val="54"/>
                    <w:rPr>
                      <w:color w:val="auto"/>
                    </w:rPr>
                  </w:pPr>
                </w:p>
              </w:tc>
              <w:tc>
                <w:tcPr>
                  <w:tcW w:w="561" w:type="pct"/>
                  <w:tcBorders>
                    <w:top w:val="single" w:color="auto" w:sz="4" w:space="0"/>
                  </w:tcBorders>
                  <w:vAlign w:val="center"/>
                </w:tcPr>
                <w:p w14:paraId="04752DA2">
                  <w:pPr>
                    <w:pStyle w:val="54"/>
                    <w:rPr>
                      <w:color w:val="auto"/>
                    </w:rPr>
                  </w:pPr>
                  <w:r>
                    <w:rPr>
                      <w:rFonts w:hint="eastAsia"/>
                      <w:color w:val="auto"/>
                    </w:rPr>
                    <w:t>危险废物暂存间</w:t>
                  </w:r>
                </w:p>
              </w:tc>
              <w:tc>
                <w:tcPr>
                  <w:tcW w:w="841" w:type="pct"/>
                  <w:tcBorders>
                    <w:top w:val="single" w:color="auto" w:sz="4" w:space="0"/>
                  </w:tcBorders>
                  <w:vAlign w:val="center"/>
                </w:tcPr>
                <w:p w14:paraId="73EB164A">
                  <w:pPr>
                    <w:pStyle w:val="54"/>
                    <w:rPr>
                      <w:color w:val="auto"/>
                    </w:rPr>
                  </w:pPr>
                  <w:r>
                    <w:rPr>
                      <w:rFonts w:hint="eastAsia"/>
                      <w:color w:val="auto"/>
                    </w:rPr>
                    <w:t>废活性炭、废漆渣、废涂料桶、废过滤棉、水帘喷漆定期更换的废液、废润滑油、废润滑油桶</w:t>
                  </w:r>
                </w:p>
              </w:tc>
              <w:tc>
                <w:tcPr>
                  <w:tcW w:w="655" w:type="pct"/>
                  <w:tcBorders>
                    <w:top w:val="single" w:color="auto" w:sz="4" w:space="0"/>
                  </w:tcBorders>
                  <w:vAlign w:val="center"/>
                </w:tcPr>
                <w:p w14:paraId="044AC39B">
                  <w:pPr>
                    <w:pStyle w:val="54"/>
                    <w:rPr>
                      <w:color w:val="auto"/>
                    </w:rPr>
                  </w:pPr>
                  <w:r>
                    <w:rPr>
                      <w:rFonts w:hint="eastAsia"/>
                      <w:color w:val="auto"/>
                    </w:rPr>
                    <w:t>盛装容器</w:t>
                  </w:r>
                  <w:r>
                    <w:rPr>
                      <w:color w:val="auto"/>
                    </w:rPr>
                    <w:t>破损导致泄漏</w:t>
                  </w:r>
                </w:p>
              </w:tc>
              <w:tc>
                <w:tcPr>
                  <w:tcW w:w="1683" w:type="pct"/>
                  <w:tcBorders>
                    <w:top w:val="single" w:color="auto" w:sz="4" w:space="0"/>
                  </w:tcBorders>
                  <w:vAlign w:val="center"/>
                </w:tcPr>
                <w:p w14:paraId="37336D80">
                  <w:pPr>
                    <w:pStyle w:val="54"/>
                    <w:rPr>
                      <w:color w:val="auto"/>
                    </w:rPr>
                  </w:pPr>
                  <w:r>
                    <w:rPr>
                      <w:rFonts w:hint="eastAsia"/>
                      <w:color w:val="auto"/>
                    </w:rPr>
                    <w:t>存装危险废物的装置</w:t>
                  </w:r>
                  <w:r>
                    <w:rPr>
                      <w:color w:val="auto"/>
                    </w:rPr>
                    <w:t>破损导致泄漏液体</w:t>
                  </w:r>
                  <w:r>
                    <w:rPr>
                      <w:rFonts w:hint="eastAsia"/>
                      <w:color w:val="auto"/>
                    </w:rPr>
                    <w:t>未经有效收集，进入地表水体或者下渗入土壤，影响地下水及土壤环境或火灾事故的伴生污染物对环境空气产生不利影响</w:t>
                  </w:r>
                </w:p>
              </w:tc>
              <w:tc>
                <w:tcPr>
                  <w:tcW w:w="821" w:type="pct"/>
                  <w:tcBorders>
                    <w:top w:val="single" w:color="auto" w:sz="4" w:space="0"/>
                  </w:tcBorders>
                  <w:vAlign w:val="center"/>
                </w:tcPr>
                <w:p w14:paraId="62464DB7">
                  <w:pPr>
                    <w:pStyle w:val="54"/>
                    <w:rPr>
                      <w:color w:val="auto"/>
                    </w:rPr>
                  </w:pPr>
                  <w:r>
                    <w:rPr>
                      <w:color w:val="auto"/>
                    </w:rPr>
                    <w:t>周边居民</w:t>
                  </w:r>
                </w:p>
              </w:tc>
            </w:tr>
            <w:tr w14:paraId="6DC9B08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jc w:val="center"/>
              </w:trPr>
              <w:tc>
                <w:tcPr>
                  <w:tcW w:w="439" w:type="pct"/>
                  <w:vAlign w:val="center"/>
                </w:tcPr>
                <w:p w14:paraId="42E98E11">
                  <w:pPr>
                    <w:pStyle w:val="54"/>
                    <w:rPr>
                      <w:color w:val="auto"/>
                    </w:rPr>
                  </w:pPr>
                  <w:r>
                    <w:rPr>
                      <w:color w:val="auto"/>
                    </w:rPr>
                    <w:t>环保工程</w:t>
                  </w:r>
                </w:p>
              </w:tc>
              <w:tc>
                <w:tcPr>
                  <w:tcW w:w="561" w:type="pct"/>
                  <w:vAlign w:val="center"/>
                </w:tcPr>
                <w:p w14:paraId="493D846A">
                  <w:pPr>
                    <w:pStyle w:val="54"/>
                    <w:rPr>
                      <w:color w:val="auto"/>
                    </w:rPr>
                  </w:pPr>
                  <w:r>
                    <w:rPr>
                      <w:color w:val="auto"/>
                    </w:rPr>
                    <w:t>废气治理装置</w:t>
                  </w:r>
                </w:p>
              </w:tc>
              <w:tc>
                <w:tcPr>
                  <w:tcW w:w="841" w:type="pct"/>
                  <w:vAlign w:val="center"/>
                </w:tcPr>
                <w:p w14:paraId="0F0BF768">
                  <w:pPr>
                    <w:pStyle w:val="54"/>
                    <w:rPr>
                      <w:color w:val="auto"/>
                    </w:rPr>
                  </w:pPr>
                  <w:r>
                    <w:rPr>
                      <w:rFonts w:hint="eastAsia"/>
                      <w:color w:val="auto"/>
                    </w:rPr>
                    <w:t>颗粒物、非甲烷总烃</w:t>
                  </w:r>
                </w:p>
              </w:tc>
              <w:tc>
                <w:tcPr>
                  <w:tcW w:w="655" w:type="pct"/>
                  <w:vAlign w:val="center"/>
                </w:tcPr>
                <w:p w14:paraId="3DDD5E42">
                  <w:pPr>
                    <w:pStyle w:val="54"/>
                    <w:rPr>
                      <w:color w:val="auto"/>
                    </w:rPr>
                  </w:pPr>
                  <w:r>
                    <w:rPr>
                      <w:color w:val="auto"/>
                    </w:rPr>
                    <w:t>废气治理装置故障</w:t>
                  </w:r>
                </w:p>
              </w:tc>
              <w:tc>
                <w:tcPr>
                  <w:tcW w:w="1683" w:type="pct"/>
                  <w:vAlign w:val="center"/>
                </w:tcPr>
                <w:p w14:paraId="211613B2">
                  <w:pPr>
                    <w:pStyle w:val="54"/>
                    <w:rPr>
                      <w:color w:val="auto"/>
                    </w:rPr>
                  </w:pPr>
                  <w:r>
                    <w:rPr>
                      <w:color w:val="auto"/>
                    </w:rPr>
                    <w:t>废气治理装置发生故障，废气非正常排放，对环境空气产生不利影响</w:t>
                  </w:r>
                </w:p>
              </w:tc>
              <w:tc>
                <w:tcPr>
                  <w:tcW w:w="821" w:type="pct"/>
                  <w:vAlign w:val="center"/>
                </w:tcPr>
                <w:p w14:paraId="039B14DE">
                  <w:pPr>
                    <w:pStyle w:val="54"/>
                    <w:rPr>
                      <w:color w:val="auto"/>
                    </w:rPr>
                  </w:pPr>
                  <w:r>
                    <w:rPr>
                      <w:rFonts w:hint="eastAsia"/>
                      <w:color w:val="auto"/>
                    </w:rPr>
                    <w:t>大气环境</w:t>
                  </w:r>
                </w:p>
              </w:tc>
            </w:tr>
          </w:tbl>
          <w:p w14:paraId="0877EC58">
            <w:pPr>
              <w:spacing w:line="360" w:lineRule="auto"/>
              <w:ind w:firstLine="482" w:firstLineChars="200"/>
              <w:rPr>
                <w:rFonts w:ascii="Times New Roman" w:hAnsi="Times New Roman" w:cs="Times New Roman"/>
                <w:b/>
                <w:bCs/>
                <w:color w:val="auto"/>
                <w:sz w:val="24"/>
              </w:rPr>
            </w:pPr>
            <w:r>
              <w:rPr>
                <w:rFonts w:hint="eastAsia" w:ascii="Times New Roman" w:hAnsi="Times New Roman" w:cs="Times New Roman"/>
                <w:b/>
                <w:bCs/>
                <w:color w:val="auto"/>
                <w:sz w:val="24"/>
              </w:rPr>
              <w:t>3、环境风险防范措施及应急要求</w:t>
            </w:r>
          </w:p>
          <w:p w14:paraId="3C6E9067">
            <w:pPr>
              <w:spacing w:line="360" w:lineRule="auto"/>
              <w:ind w:firstLine="480" w:firstLineChars="200"/>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（1）供漆室风险防范措施</w:t>
            </w:r>
          </w:p>
          <w:p w14:paraId="4AB46D33">
            <w:pPr>
              <w:tabs>
                <w:tab w:val="left" w:pos="1650"/>
              </w:tabs>
              <w:spacing w:line="360" w:lineRule="auto"/>
              <w:ind w:firstLine="480" w:firstLineChars="200"/>
              <w:rPr>
                <w:rFonts w:ascii="Times New Roman" w:hAnsi="Times New Roman" w:eastAsia="宋体" w:cs="Times New Roman"/>
                <w:bCs/>
                <w:color w:val="auto"/>
                <w:sz w:val="24"/>
                <w:szCs w:val="24"/>
              </w:rPr>
            </w:pPr>
            <w:r>
              <w:rPr>
                <w:rFonts w:hint="eastAsia" w:ascii="Times New Roman" w:hAnsi="Times New Roman" w:cs="Times New Roman"/>
                <w:color w:val="auto"/>
                <w:sz w:val="24"/>
              </w:rPr>
              <w:t>供漆室储存水性底漆、水性面漆，采用桶装，并设置在防渗托盘内，供漆室设置漫坡，泄露时能得到有效收集；同时供漆室内还应采取防腐防渗措施，设置相关应急处理物资，及时的处理泄漏物质。</w:t>
            </w:r>
          </w:p>
          <w:p w14:paraId="77845E00">
            <w:pPr>
              <w:spacing w:line="360" w:lineRule="auto"/>
              <w:ind w:firstLine="480" w:firstLineChars="200"/>
              <w:jc w:val="lef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（2）危险废物暂存间风险防范措施</w:t>
            </w:r>
          </w:p>
          <w:p w14:paraId="186021C9">
            <w:pPr>
              <w:tabs>
                <w:tab w:val="left" w:pos="1650"/>
              </w:tabs>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本项目产生的危险废物种类较多，一旦出现危废泄漏的情形，其产生的危害较大。因此，建设单位应做到如下：</w:t>
            </w:r>
          </w:p>
          <w:p w14:paraId="063E3EFB">
            <w:pPr>
              <w:tabs>
                <w:tab w:val="left" w:pos="1650"/>
              </w:tabs>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①</w:t>
            </w:r>
            <w:r>
              <w:rPr>
                <w:rFonts w:ascii="Times New Roman" w:hAnsi="Times New Roman" w:eastAsia="宋体" w:cs="Times New Roman"/>
                <w:color w:val="auto"/>
                <w:sz w:val="24"/>
              </w:rPr>
              <w:t>危险废物暂存间地面、裙脚按照《危险废物贮存污染控制标准》（GB18597-2023）的相关要求进行建设</w:t>
            </w:r>
            <w:r>
              <w:rPr>
                <w:rFonts w:hint="eastAsia" w:ascii="Times New Roman" w:hAnsi="Times New Roman" w:eastAsia="宋体" w:cs="Times New Roman"/>
                <w:color w:val="auto"/>
                <w:sz w:val="24"/>
              </w:rPr>
              <w:t>。</w:t>
            </w:r>
          </w:p>
          <w:p w14:paraId="2748815F">
            <w:pPr>
              <w:tabs>
                <w:tab w:val="left" w:pos="1650"/>
              </w:tabs>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②</w:t>
            </w:r>
            <w:r>
              <w:rPr>
                <w:rFonts w:ascii="Times New Roman" w:hAnsi="Times New Roman" w:eastAsia="宋体" w:cs="Times New Roman"/>
                <w:color w:val="auto"/>
                <w:sz w:val="24"/>
              </w:rPr>
              <w:t>危险废物暂存间安排专人管理，并记录台账。</w:t>
            </w:r>
          </w:p>
          <w:p w14:paraId="7D9712DE">
            <w:pPr>
              <w:tabs>
                <w:tab w:val="left" w:pos="1650"/>
              </w:tabs>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③</w:t>
            </w:r>
            <w:r>
              <w:rPr>
                <w:rFonts w:ascii="Times New Roman" w:hAnsi="Times New Roman" w:eastAsia="宋体" w:cs="Times New Roman"/>
                <w:color w:val="auto"/>
                <w:sz w:val="24"/>
              </w:rPr>
              <w:t>各桶装危废应置于防渗托盘内，托盘有效容量应能满足单桶物料泄漏的容纳能力。</w:t>
            </w:r>
            <w:r>
              <w:rPr>
                <w:rFonts w:hint="eastAsia" w:ascii="Times New Roman" w:hAnsi="Times New Roman" w:eastAsia="宋体" w:cs="Times New Roman"/>
                <w:color w:val="auto"/>
                <w:sz w:val="24"/>
              </w:rPr>
              <w:t>危废暂存间应设置导流沟、集液池。</w:t>
            </w:r>
          </w:p>
          <w:p w14:paraId="7D51D1E4">
            <w:pPr>
              <w:tabs>
                <w:tab w:val="left" w:pos="1650"/>
              </w:tabs>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④</w:t>
            </w:r>
            <w:r>
              <w:rPr>
                <w:rFonts w:ascii="Times New Roman" w:hAnsi="Times New Roman" w:eastAsia="宋体" w:cs="Times New Roman"/>
                <w:color w:val="auto"/>
                <w:sz w:val="24"/>
              </w:rPr>
              <w:t>桶装危废单层码放，禁止多层堆叠。</w:t>
            </w:r>
          </w:p>
          <w:p w14:paraId="4B51A51A">
            <w:pPr>
              <w:tabs>
                <w:tab w:val="left" w:pos="1650"/>
              </w:tabs>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⑤</w:t>
            </w:r>
            <w:r>
              <w:rPr>
                <w:rFonts w:ascii="Times New Roman" w:hAnsi="Times New Roman" w:eastAsia="宋体" w:cs="Times New Roman"/>
                <w:color w:val="auto"/>
                <w:sz w:val="24"/>
              </w:rPr>
              <w:t>危险废物暂存间贮存能力有限，当库存量将达到转运要求时，与危废处置单位联系外运处置。</w:t>
            </w:r>
          </w:p>
          <w:p w14:paraId="2E779E7B">
            <w:pPr>
              <w:tabs>
                <w:tab w:val="left" w:pos="1650"/>
              </w:tabs>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⑥</w:t>
            </w:r>
            <w:r>
              <w:rPr>
                <w:rFonts w:ascii="Times New Roman" w:hAnsi="Times New Roman" w:eastAsia="宋体" w:cs="Times New Roman"/>
                <w:color w:val="auto"/>
                <w:sz w:val="24"/>
              </w:rPr>
              <w:t>加强危废的转运管理，避免转移过程出现倾倒。</w:t>
            </w:r>
          </w:p>
          <w:p w14:paraId="6EE0E3B7">
            <w:pPr>
              <w:spacing w:line="360" w:lineRule="auto"/>
              <w:ind w:firstLine="480" w:firstLineChars="200"/>
              <w:jc w:val="left"/>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（3）废气</w:t>
            </w:r>
            <w:r>
              <w:rPr>
                <w:rFonts w:hint="eastAsia" w:ascii="Times New Roman" w:hAnsi="Times New Roman" w:eastAsia="宋体" w:cs="Times New Roman"/>
                <w:bCs/>
                <w:color w:val="auto"/>
                <w:sz w:val="24"/>
                <w:szCs w:val="24"/>
              </w:rPr>
              <w:t>治理设施</w:t>
            </w:r>
            <w:r>
              <w:rPr>
                <w:rFonts w:ascii="Times New Roman" w:hAnsi="Times New Roman" w:eastAsia="宋体" w:cs="Times New Roman"/>
                <w:bCs/>
                <w:color w:val="auto"/>
                <w:sz w:val="24"/>
                <w:szCs w:val="24"/>
              </w:rPr>
              <w:t>风险防范措施</w:t>
            </w:r>
          </w:p>
          <w:p w14:paraId="6D1A7395">
            <w:pPr>
              <w:tabs>
                <w:tab w:val="left" w:pos="1650"/>
              </w:tabs>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①</w:t>
            </w:r>
            <w:r>
              <w:rPr>
                <w:rFonts w:ascii="Times New Roman" w:hAnsi="Times New Roman" w:eastAsia="宋体" w:cs="Times New Roman"/>
                <w:color w:val="auto"/>
                <w:sz w:val="24"/>
              </w:rPr>
              <w:t>及时更换活性炭确保有机废气处理效率。</w:t>
            </w:r>
          </w:p>
          <w:p w14:paraId="2AA260C5">
            <w:pPr>
              <w:tabs>
                <w:tab w:val="left" w:pos="1650"/>
              </w:tabs>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②</w:t>
            </w:r>
            <w:r>
              <w:rPr>
                <w:rFonts w:ascii="Times New Roman" w:hAnsi="Times New Roman" w:eastAsia="宋体" w:cs="Times New Roman"/>
                <w:color w:val="auto"/>
                <w:sz w:val="24"/>
              </w:rPr>
              <w:t>定期检修设备，加强日常维护保养，避免或减少故障发生，确保设备处于正常的工作状态。</w:t>
            </w:r>
          </w:p>
          <w:p w14:paraId="15E1187A">
            <w:pPr>
              <w:spacing w:line="360" w:lineRule="auto"/>
              <w:ind w:firstLine="480" w:firstLineChars="200"/>
              <w:rPr>
                <w:rFonts w:ascii="Times New Roman" w:hAnsi="Times New Roman" w:eastAsia="宋体" w:cs="Times New Roman"/>
                <w:color w:val="auto"/>
                <w:sz w:val="24"/>
              </w:rPr>
            </w:pPr>
            <w:r>
              <w:rPr>
                <w:rFonts w:hint="eastAsia" w:ascii="Times New Roman" w:hAnsi="Times New Roman" w:eastAsia="宋体" w:cs="宋体"/>
                <w:color w:val="auto"/>
                <w:sz w:val="24"/>
              </w:rPr>
              <w:t>③</w:t>
            </w:r>
            <w:r>
              <w:rPr>
                <w:rFonts w:ascii="Times New Roman" w:hAnsi="Times New Roman" w:eastAsia="宋体" w:cs="Times New Roman"/>
                <w:color w:val="auto"/>
                <w:sz w:val="24"/>
              </w:rPr>
              <w:t>加强对操作工人的培训，培养员工的安全和环境意识，提高操作工人的技术水平和责任感，降低操作失误而造成的事故。</w:t>
            </w:r>
          </w:p>
          <w:p w14:paraId="01902484">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w:t>
            </w:r>
            <w:r>
              <w:rPr>
                <w:rFonts w:hint="eastAsia" w:ascii="Times New Roman" w:hAnsi="Times New Roman"/>
                <w:color w:val="auto"/>
                <w:sz w:val="24"/>
                <w:szCs w:val="24"/>
              </w:rPr>
              <w:t>4</w:t>
            </w:r>
            <w:r>
              <w:rPr>
                <w:rFonts w:ascii="Times New Roman" w:hAnsi="Times New Roman"/>
                <w:color w:val="auto"/>
                <w:sz w:val="24"/>
                <w:szCs w:val="24"/>
              </w:rPr>
              <w:t>）火灾消防安全措施</w:t>
            </w:r>
          </w:p>
          <w:p w14:paraId="6349C423">
            <w:pPr>
              <w:spacing w:line="360" w:lineRule="auto"/>
              <w:ind w:firstLine="480" w:firstLineChars="200"/>
              <w:rPr>
                <w:rFonts w:ascii="Times New Roman" w:hAnsi="Times New Roman"/>
                <w:color w:val="auto"/>
                <w:sz w:val="24"/>
                <w:szCs w:val="24"/>
              </w:rPr>
            </w:pPr>
            <w:r>
              <w:rPr>
                <w:rFonts w:hint="eastAsia" w:ascii="宋体" w:hAnsi="宋体" w:eastAsia="宋体" w:cs="宋体"/>
                <w:color w:val="auto"/>
                <w:sz w:val="24"/>
                <w:szCs w:val="24"/>
              </w:rPr>
              <w:t>①</w:t>
            </w:r>
            <w:r>
              <w:rPr>
                <w:rFonts w:hint="eastAsia" w:ascii="Times New Roman" w:hAnsi="Times New Roman"/>
                <w:color w:val="auto"/>
                <w:sz w:val="24"/>
                <w:szCs w:val="24"/>
              </w:rPr>
              <w:t>设立专门的环境管理机构，制定日常管理措施、消防措施和应急预案。对工作人员进行火灾事态时的报警培训，项目方应成立环境风险事故应急救援领导小组和应急救援专业队伍。</w:t>
            </w:r>
          </w:p>
          <w:p w14:paraId="0C130F96">
            <w:pPr>
              <w:spacing w:line="360" w:lineRule="auto"/>
              <w:ind w:firstLine="480" w:firstLineChars="200"/>
              <w:rPr>
                <w:rFonts w:ascii="Times New Roman" w:hAnsi="Times New Roman"/>
                <w:color w:val="auto"/>
                <w:sz w:val="24"/>
                <w:szCs w:val="24"/>
              </w:rPr>
            </w:pPr>
            <w:r>
              <w:rPr>
                <w:rFonts w:hint="eastAsia" w:ascii="Times New Roman" w:hAnsi="Times New Roman"/>
                <w:color w:val="auto"/>
                <w:sz w:val="24"/>
                <w:szCs w:val="24"/>
              </w:rPr>
              <w:t>②加强消防设施的日常管理，确保事故时消防设施能够正常使用，针对厂房等可能出现的火灾事故进行消防演练。</w:t>
            </w:r>
          </w:p>
          <w:p w14:paraId="4E414FCD">
            <w:pPr>
              <w:spacing w:line="360" w:lineRule="auto"/>
              <w:ind w:firstLine="480" w:firstLineChars="200"/>
              <w:rPr>
                <w:rFonts w:ascii="Times New Roman" w:hAnsi="Times New Roman"/>
                <w:color w:val="auto"/>
                <w:sz w:val="24"/>
                <w:szCs w:val="24"/>
              </w:rPr>
            </w:pPr>
            <w:r>
              <w:rPr>
                <w:rFonts w:hint="eastAsia" w:ascii="Times New Roman" w:hAnsi="Times New Roman"/>
                <w:color w:val="auto"/>
                <w:sz w:val="24"/>
                <w:szCs w:val="24"/>
              </w:rPr>
              <w:t>③消防器材应当设置在明显和便于取用的地点，周围不准堆放物品和杂物。消防设施、器材，应当由专人管理，负责检查、维修、保养、更换和添置，保证完好有效，严禁圈占、埋压和挪用。配备消防器材和消防设施：标示明确，使用方便。</w:t>
            </w:r>
          </w:p>
          <w:p w14:paraId="7A73C638">
            <w:pPr>
              <w:spacing w:line="360" w:lineRule="auto"/>
              <w:ind w:firstLine="480" w:firstLineChars="200"/>
              <w:rPr>
                <w:rFonts w:ascii="Times New Roman" w:hAnsi="Times New Roman"/>
                <w:color w:val="auto"/>
                <w:sz w:val="24"/>
                <w:szCs w:val="24"/>
              </w:rPr>
            </w:pPr>
            <w:r>
              <w:rPr>
                <w:rFonts w:hint="eastAsia" w:ascii="Times New Roman" w:hAnsi="Times New Roman"/>
                <w:color w:val="auto"/>
                <w:sz w:val="24"/>
                <w:szCs w:val="24"/>
              </w:rPr>
              <w:t>④项目内定期进行电路、电气检查，消除安全隐患。出现火灾时应及时将可燃物品搬离，远离火源。</w:t>
            </w:r>
          </w:p>
          <w:p w14:paraId="63CA2710">
            <w:pPr>
              <w:spacing w:line="360" w:lineRule="auto"/>
              <w:ind w:firstLine="480" w:firstLineChars="200"/>
              <w:jc w:val="left"/>
              <w:rPr>
                <w:rFonts w:ascii="Times New Roman" w:hAnsi="Times New Roman" w:cs="Times New Roman"/>
                <w:b/>
                <w:color w:val="auto"/>
                <w:sz w:val="24"/>
              </w:rPr>
            </w:pPr>
            <w:r>
              <w:rPr>
                <w:rFonts w:hint="eastAsia" w:ascii="Times New Roman" w:hAnsi="Times New Roman"/>
                <w:color w:val="auto"/>
                <w:sz w:val="24"/>
                <w:szCs w:val="24"/>
              </w:rPr>
              <w:t>⑤划定禁火区，在明显地点设有警示标志，输配电线、灯具、火灾事故照明和疏散指示标志均应符合安全要求，严禁未安装灭火星装置的车辆出入生产装置区。</w:t>
            </w:r>
          </w:p>
          <w:p w14:paraId="7096C31E">
            <w:pPr>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w:t>
            </w:r>
            <w:r>
              <w:rPr>
                <w:rFonts w:hint="eastAsia" w:ascii="Times New Roman" w:hAnsi="Times New Roman"/>
                <w:color w:val="auto"/>
                <w:sz w:val="24"/>
                <w:szCs w:val="24"/>
              </w:rPr>
              <w:t>5</w:t>
            </w:r>
            <w:r>
              <w:rPr>
                <w:rFonts w:ascii="Times New Roman" w:hAnsi="Times New Roman"/>
                <w:color w:val="auto"/>
                <w:sz w:val="24"/>
                <w:szCs w:val="24"/>
              </w:rPr>
              <w:t>）停电防范措施</w:t>
            </w:r>
          </w:p>
          <w:p w14:paraId="3B7A9022">
            <w:pPr>
              <w:spacing w:line="360" w:lineRule="auto"/>
              <w:ind w:firstLine="480" w:firstLineChars="200"/>
              <w:rPr>
                <w:rFonts w:ascii="Times New Roman" w:hAnsi="Times New Roman"/>
                <w:color w:val="auto"/>
                <w:sz w:val="24"/>
                <w:szCs w:val="24"/>
              </w:rPr>
            </w:pPr>
            <w:r>
              <w:rPr>
                <w:rFonts w:hint="eastAsia" w:ascii="Times New Roman" w:hAnsi="Times New Roman"/>
                <w:color w:val="auto"/>
                <w:sz w:val="24"/>
                <w:szCs w:val="24"/>
              </w:rPr>
              <w:t>①定期检查电路，避免线路破损导致停电。</w:t>
            </w:r>
          </w:p>
          <w:p w14:paraId="77FF4376">
            <w:pPr>
              <w:spacing w:line="360" w:lineRule="auto"/>
              <w:ind w:firstLine="480" w:firstLineChars="200"/>
              <w:rPr>
                <w:rFonts w:ascii="Times New Roman" w:hAnsi="Times New Roman"/>
                <w:color w:val="auto"/>
                <w:sz w:val="24"/>
                <w:szCs w:val="24"/>
              </w:rPr>
            </w:pPr>
            <w:r>
              <w:rPr>
                <w:rFonts w:hint="eastAsia" w:ascii="宋体" w:hAnsi="宋体" w:eastAsia="宋体" w:cs="宋体"/>
                <w:color w:val="auto"/>
                <w:sz w:val="24"/>
                <w:szCs w:val="24"/>
              </w:rPr>
              <w:t>②</w:t>
            </w:r>
            <w:r>
              <w:rPr>
                <w:rFonts w:hint="eastAsia" w:ascii="Times New Roman" w:hAnsi="Times New Roman"/>
                <w:color w:val="auto"/>
                <w:sz w:val="24"/>
                <w:szCs w:val="24"/>
              </w:rPr>
              <w:t>对于厂区发生停电现象时，要做好通信设备的维护工作，保证通信设备的畅通，及时向有关领导汇报，安排专业人员及时进行电路检查与维修。</w:t>
            </w:r>
          </w:p>
          <w:p w14:paraId="03818884">
            <w:pPr>
              <w:spacing w:line="360" w:lineRule="auto"/>
              <w:ind w:firstLine="482" w:firstLineChars="200"/>
              <w:jc w:val="left"/>
              <w:rPr>
                <w:rFonts w:ascii="Times New Roman" w:hAnsi="Times New Roman"/>
                <w:b/>
                <w:snapToGrid w:val="0"/>
                <w:color w:val="auto"/>
                <w:sz w:val="24"/>
              </w:rPr>
            </w:pPr>
            <w:r>
              <w:rPr>
                <w:rFonts w:hint="eastAsia" w:ascii="Times New Roman" w:hAnsi="Times New Roman"/>
                <w:b/>
                <w:snapToGrid w:val="0"/>
                <w:color w:val="auto"/>
                <w:sz w:val="24"/>
              </w:rPr>
              <w:t>七、污染源排放口规范化要求</w:t>
            </w:r>
          </w:p>
          <w:p w14:paraId="34D15CC7">
            <w:pPr>
              <w:adjustRightInd w:val="0"/>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厂区废水总排放口设置应满足现场采样和流量测定条件的采样口，设在厂内或厂界外10米内。废气排气筒应设置人工采样平台和采样口，采样口的设置应符合《污染源监测技术规范》要求</w:t>
            </w:r>
            <w:r>
              <w:rPr>
                <w:rFonts w:ascii="Times New Roman" w:hAnsi="Times New Roman" w:eastAsia="宋体" w:cs="Times New Roman"/>
                <w:color w:val="auto"/>
                <w:szCs w:val="21"/>
              </w:rPr>
              <w:t>。</w:t>
            </w:r>
            <w:r>
              <w:rPr>
                <w:rFonts w:ascii="Times New Roman" w:hAnsi="Times New Roman" w:eastAsia="宋体" w:cs="Times New Roman"/>
                <w:color w:val="auto"/>
                <w:sz w:val="24"/>
              </w:rPr>
              <w:t>企业污染物排放口（源）及固体废物贮存、堆放场必须按照国家标准《环境保护图形标志》（GB15562.1-1995）的规定设置与之相适应的环境保护图形标志牌，环境保护图形标志牌设置位置应距污染物排放口（源）、固体废物贮存（堆放）场或采样点较近且醒目处，并能长久保留。同时如实填写《中华人民共和国规范化排污口标记登记证》，由环保部门签发。环保主管部门和建设单位可分别按以下内容建立排污口管理的专门档案：排污口性质和编号；位置；排放主要污染物种类、数量、浓度；排放去向；达标情况；治理设施运行情况及整改意见。</w:t>
            </w:r>
          </w:p>
          <w:p w14:paraId="6B2702D5">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环境保护图形标志</w:t>
            </w:r>
            <w:r>
              <w:rPr>
                <w:rFonts w:hint="eastAsia" w:ascii="Times New Roman" w:hAnsi="Times New Roman" w:eastAsia="宋体" w:cs="Times New Roman"/>
                <w:color w:val="auto"/>
                <w:sz w:val="24"/>
              </w:rPr>
              <w:t>：</w:t>
            </w:r>
            <w:r>
              <w:rPr>
                <w:rFonts w:ascii="Times New Roman" w:hAnsi="Times New Roman" w:eastAsia="宋体" w:cs="Times New Roman"/>
                <w:color w:val="auto"/>
                <w:sz w:val="24"/>
              </w:rPr>
              <w:t>在厂区的废水排放口、废气排放口、噪声排放源、固体废物贮存处置场应设置环境保护图形标志，图形符号分为提示图形和警告图形符号两种，分别按GB15562.1-1995、GB15562.2-1995</w:t>
            </w:r>
            <w:r>
              <w:rPr>
                <w:rFonts w:hint="eastAsia" w:ascii="Times New Roman" w:hAnsi="Times New Roman" w:eastAsia="宋体" w:cs="Times New Roman"/>
                <w:color w:val="auto"/>
                <w:sz w:val="24"/>
              </w:rPr>
              <w:t>、</w:t>
            </w:r>
            <w:r>
              <w:rPr>
                <w:rFonts w:ascii="Times New Roman" w:hAnsi="Times New Roman" w:eastAsia="宋体" w:cs="Times New Roman"/>
                <w:color w:val="auto"/>
                <w:sz w:val="24"/>
              </w:rPr>
              <w:t>GB15562.2-1995</w:t>
            </w:r>
            <w:r>
              <w:rPr>
                <w:rFonts w:hint="eastAsia" w:ascii="Times New Roman" w:hAnsi="Times New Roman" w:eastAsia="宋体" w:cs="Times New Roman"/>
                <w:color w:val="auto"/>
                <w:sz w:val="24"/>
              </w:rPr>
              <w:t>修改单</w:t>
            </w:r>
            <w:r>
              <w:rPr>
                <w:rFonts w:ascii="Times New Roman" w:hAnsi="Times New Roman" w:eastAsia="宋体" w:cs="Times New Roman"/>
                <w:color w:val="auto"/>
                <w:sz w:val="24"/>
              </w:rPr>
              <w:t>执行。环境保护图形符号</w:t>
            </w:r>
            <w:r>
              <w:rPr>
                <w:rFonts w:hint="eastAsia" w:ascii="Times New Roman" w:hAnsi="Times New Roman" w:eastAsia="宋体" w:cs="Times New Roman"/>
                <w:color w:val="auto"/>
                <w:sz w:val="24"/>
              </w:rPr>
              <w:t>、</w:t>
            </w:r>
            <w:r>
              <w:rPr>
                <w:rFonts w:ascii="Times New Roman" w:hAnsi="Times New Roman" w:eastAsia="宋体" w:cs="Times New Roman"/>
                <w:color w:val="auto"/>
                <w:sz w:val="24"/>
              </w:rPr>
              <w:t>环境保护图形标志的形状及颜色见下表。</w:t>
            </w:r>
          </w:p>
          <w:p w14:paraId="0FBE840B">
            <w:pPr>
              <w:spacing w:line="360" w:lineRule="auto"/>
              <w:jc w:val="center"/>
              <w:rPr>
                <w:rFonts w:ascii="Times New Roman" w:hAnsi="Times New Roman" w:eastAsia="黑体"/>
                <w:color w:val="auto"/>
                <w:sz w:val="24"/>
              </w:rPr>
            </w:pPr>
          </w:p>
          <w:p w14:paraId="50E1A56D">
            <w:pPr>
              <w:spacing w:line="360" w:lineRule="auto"/>
              <w:jc w:val="center"/>
              <w:rPr>
                <w:rFonts w:ascii="Times New Roman" w:hAnsi="Times New Roman" w:eastAsia="黑体"/>
                <w:color w:val="auto"/>
                <w:sz w:val="24"/>
              </w:rPr>
            </w:pPr>
          </w:p>
          <w:p w14:paraId="4E43113F">
            <w:pPr>
              <w:spacing w:line="360" w:lineRule="auto"/>
              <w:jc w:val="center"/>
              <w:rPr>
                <w:rFonts w:ascii="Times New Roman" w:hAnsi="Times New Roman" w:eastAsia="黑体"/>
                <w:color w:val="auto"/>
                <w:sz w:val="24"/>
              </w:rPr>
            </w:pPr>
          </w:p>
          <w:p w14:paraId="12E6182D">
            <w:pPr>
              <w:spacing w:line="360" w:lineRule="auto"/>
              <w:jc w:val="center"/>
              <w:rPr>
                <w:rFonts w:ascii="Times New Roman" w:hAnsi="Times New Roman" w:eastAsia="黑体"/>
                <w:color w:val="auto"/>
                <w:sz w:val="24"/>
              </w:rPr>
            </w:pPr>
          </w:p>
          <w:p w14:paraId="2601569C">
            <w:pPr>
              <w:spacing w:line="360" w:lineRule="auto"/>
              <w:jc w:val="center"/>
              <w:rPr>
                <w:rFonts w:ascii="Times New Roman" w:hAnsi="Times New Roman" w:eastAsia="黑体"/>
                <w:color w:val="auto"/>
                <w:sz w:val="24"/>
              </w:rPr>
            </w:pPr>
          </w:p>
          <w:p w14:paraId="07AE710F">
            <w:pPr>
              <w:spacing w:line="360" w:lineRule="auto"/>
              <w:jc w:val="center"/>
              <w:rPr>
                <w:rFonts w:ascii="Times New Roman" w:hAnsi="Times New Roman" w:eastAsia="黑体"/>
                <w:color w:val="auto"/>
                <w:sz w:val="24"/>
              </w:rPr>
            </w:pPr>
          </w:p>
          <w:p w14:paraId="179964CB">
            <w:pPr>
              <w:spacing w:line="360" w:lineRule="auto"/>
              <w:jc w:val="center"/>
              <w:rPr>
                <w:rFonts w:ascii="Times New Roman" w:hAnsi="Times New Roman" w:eastAsia="黑体"/>
                <w:color w:val="auto"/>
                <w:sz w:val="24"/>
              </w:rPr>
            </w:pPr>
          </w:p>
          <w:p w14:paraId="7114B3C5">
            <w:pPr>
              <w:spacing w:line="360" w:lineRule="auto"/>
              <w:jc w:val="center"/>
              <w:rPr>
                <w:rFonts w:ascii="Times New Roman" w:hAnsi="Times New Roman" w:eastAsia="黑体"/>
                <w:color w:val="auto"/>
                <w:sz w:val="24"/>
              </w:rPr>
            </w:pPr>
          </w:p>
          <w:p w14:paraId="6E4E7E2F">
            <w:pPr>
              <w:spacing w:line="360" w:lineRule="auto"/>
              <w:jc w:val="center"/>
              <w:rPr>
                <w:rFonts w:ascii="Times New Roman" w:hAnsi="Times New Roman" w:eastAsia="黑体"/>
                <w:color w:val="auto"/>
                <w:sz w:val="24"/>
              </w:rPr>
            </w:pPr>
          </w:p>
          <w:p w14:paraId="2954CD81">
            <w:pPr>
              <w:spacing w:line="360" w:lineRule="auto"/>
              <w:jc w:val="center"/>
              <w:rPr>
                <w:rFonts w:ascii="Times New Roman" w:hAnsi="Times New Roman" w:eastAsia="黑体"/>
                <w:color w:val="auto"/>
                <w:sz w:val="24"/>
              </w:rPr>
            </w:pPr>
          </w:p>
          <w:p w14:paraId="34246B92">
            <w:pPr>
              <w:spacing w:line="360" w:lineRule="auto"/>
              <w:jc w:val="center"/>
              <w:rPr>
                <w:rFonts w:ascii="Times New Roman" w:hAnsi="Times New Roman" w:eastAsia="黑体"/>
                <w:color w:val="auto"/>
                <w:sz w:val="24"/>
              </w:rPr>
            </w:pPr>
          </w:p>
          <w:p w14:paraId="1267495E">
            <w:pPr>
              <w:spacing w:line="360" w:lineRule="auto"/>
              <w:jc w:val="center"/>
              <w:rPr>
                <w:rFonts w:ascii="Times New Roman" w:hAnsi="Times New Roman" w:eastAsia="黑体"/>
                <w:color w:val="auto"/>
                <w:sz w:val="24"/>
              </w:rPr>
            </w:pPr>
            <w:r>
              <w:rPr>
                <w:rFonts w:ascii="Times New Roman" w:hAnsi="Times New Roman" w:eastAsia="黑体"/>
                <w:color w:val="auto"/>
                <w:sz w:val="24"/>
              </w:rPr>
              <w:t>表</w:t>
            </w:r>
            <w:r>
              <w:rPr>
                <w:rFonts w:hint="eastAsia" w:ascii="Times New Roman" w:hAnsi="Times New Roman" w:eastAsia="黑体" w:cs="Times New Roman"/>
                <w:color w:val="auto"/>
                <w:sz w:val="24"/>
              </w:rPr>
              <w:t xml:space="preserve">4-18  </w:t>
            </w:r>
            <w:r>
              <w:rPr>
                <w:rFonts w:ascii="Times New Roman" w:hAnsi="Times New Roman" w:eastAsia="黑体"/>
                <w:color w:val="auto"/>
                <w:sz w:val="24"/>
              </w:rPr>
              <w:t>本项目环境保护图形符号表</w:t>
            </w:r>
          </w:p>
          <w:tbl>
            <w:tblPr>
              <w:tblStyle w:val="1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01"/>
              <w:gridCol w:w="1621"/>
              <w:gridCol w:w="2196"/>
              <w:gridCol w:w="1608"/>
              <w:gridCol w:w="1652"/>
            </w:tblGrid>
            <w:tr w14:paraId="00B08C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99" w:type="pct"/>
                  <w:tcBorders>
                    <w:top w:val="single" w:color="auto" w:sz="12" w:space="0"/>
                    <w:left w:val="nil"/>
                    <w:bottom w:val="single" w:color="auto" w:sz="4" w:space="0"/>
                    <w:right w:val="single" w:color="auto" w:sz="4" w:space="0"/>
                  </w:tcBorders>
                  <w:vAlign w:val="center"/>
                </w:tcPr>
                <w:p w14:paraId="734DCA2B">
                  <w:pPr>
                    <w:spacing w:line="276" w:lineRule="auto"/>
                    <w:jc w:val="center"/>
                    <w:rPr>
                      <w:rFonts w:ascii="Times New Roman" w:hAnsi="Times New Roman" w:cs="Times New Roman"/>
                      <w:b/>
                      <w:color w:val="auto"/>
                      <w:spacing w:val="-2"/>
                      <w:szCs w:val="21"/>
                    </w:rPr>
                  </w:pPr>
                  <w:r>
                    <w:rPr>
                      <w:rFonts w:ascii="Times New Roman" w:hAnsi="Times New Roman" w:cs="Times New Roman"/>
                      <w:b/>
                      <w:color w:val="auto"/>
                      <w:szCs w:val="21"/>
                    </w:rPr>
                    <w:t>序号</w:t>
                  </w:r>
                </w:p>
              </w:tc>
              <w:tc>
                <w:tcPr>
                  <w:tcW w:w="1138" w:type="pct"/>
                  <w:tcBorders>
                    <w:top w:val="single" w:color="auto" w:sz="12" w:space="0"/>
                    <w:left w:val="single" w:color="auto" w:sz="4" w:space="0"/>
                    <w:bottom w:val="single" w:color="auto" w:sz="4" w:space="0"/>
                    <w:right w:val="single" w:color="auto" w:sz="4" w:space="0"/>
                  </w:tcBorders>
                  <w:vAlign w:val="center"/>
                </w:tcPr>
                <w:p w14:paraId="77AB7CC6">
                  <w:pPr>
                    <w:spacing w:line="276" w:lineRule="auto"/>
                    <w:jc w:val="center"/>
                    <w:rPr>
                      <w:rFonts w:ascii="Times New Roman" w:hAnsi="Times New Roman" w:cs="Times New Roman"/>
                      <w:b/>
                      <w:color w:val="auto"/>
                      <w:spacing w:val="-2"/>
                      <w:szCs w:val="21"/>
                    </w:rPr>
                  </w:pPr>
                  <w:r>
                    <w:rPr>
                      <w:rFonts w:ascii="Times New Roman" w:hAnsi="Times New Roman" w:cs="Times New Roman"/>
                      <w:b/>
                      <w:color w:val="auto"/>
                      <w:szCs w:val="21"/>
                    </w:rPr>
                    <w:t>提示图形符号</w:t>
                  </w:r>
                </w:p>
              </w:tc>
              <w:tc>
                <w:tcPr>
                  <w:tcW w:w="1176" w:type="pct"/>
                  <w:tcBorders>
                    <w:top w:val="single" w:color="auto" w:sz="12" w:space="0"/>
                    <w:left w:val="single" w:color="auto" w:sz="4" w:space="0"/>
                    <w:bottom w:val="single" w:color="auto" w:sz="4" w:space="0"/>
                    <w:right w:val="single" w:color="auto" w:sz="4" w:space="0"/>
                  </w:tcBorders>
                  <w:vAlign w:val="center"/>
                </w:tcPr>
                <w:p w14:paraId="38630AC3">
                  <w:pPr>
                    <w:spacing w:line="276" w:lineRule="auto"/>
                    <w:jc w:val="center"/>
                    <w:rPr>
                      <w:rFonts w:ascii="Times New Roman" w:hAnsi="Times New Roman" w:cs="Times New Roman"/>
                      <w:b/>
                      <w:color w:val="auto"/>
                      <w:spacing w:val="-2"/>
                      <w:szCs w:val="21"/>
                    </w:rPr>
                  </w:pPr>
                  <w:r>
                    <w:rPr>
                      <w:rFonts w:ascii="Times New Roman" w:hAnsi="Times New Roman" w:cs="Times New Roman"/>
                      <w:b/>
                      <w:color w:val="auto"/>
                      <w:szCs w:val="21"/>
                    </w:rPr>
                    <w:t>警告图形符号</w:t>
                  </w:r>
                </w:p>
              </w:tc>
              <w:tc>
                <w:tcPr>
                  <w:tcW w:w="1129" w:type="pct"/>
                  <w:tcBorders>
                    <w:top w:val="single" w:color="auto" w:sz="12" w:space="0"/>
                    <w:left w:val="single" w:color="auto" w:sz="4" w:space="0"/>
                    <w:bottom w:val="single" w:color="auto" w:sz="4" w:space="0"/>
                    <w:right w:val="single" w:color="auto" w:sz="4" w:space="0"/>
                  </w:tcBorders>
                  <w:vAlign w:val="center"/>
                </w:tcPr>
                <w:p w14:paraId="13C78BD4">
                  <w:pPr>
                    <w:spacing w:line="276" w:lineRule="auto"/>
                    <w:jc w:val="center"/>
                    <w:rPr>
                      <w:rFonts w:ascii="Times New Roman" w:hAnsi="Times New Roman" w:cs="Times New Roman"/>
                      <w:b/>
                      <w:color w:val="auto"/>
                      <w:spacing w:val="-2"/>
                      <w:szCs w:val="21"/>
                    </w:rPr>
                  </w:pPr>
                  <w:r>
                    <w:rPr>
                      <w:rFonts w:ascii="Times New Roman" w:hAnsi="Times New Roman" w:cs="Times New Roman"/>
                      <w:b/>
                      <w:color w:val="auto"/>
                      <w:szCs w:val="21"/>
                    </w:rPr>
                    <w:t>名称</w:t>
                  </w:r>
                </w:p>
              </w:tc>
              <w:tc>
                <w:tcPr>
                  <w:tcW w:w="1158" w:type="pct"/>
                  <w:tcBorders>
                    <w:top w:val="single" w:color="auto" w:sz="12" w:space="0"/>
                    <w:left w:val="single" w:color="auto" w:sz="4" w:space="0"/>
                    <w:bottom w:val="single" w:color="auto" w:sz="4" w:space="0"/>
                    <w:right w:val="nil"/>
                  </w:tcBorders>
                  <w:vAlign w:val="center"/>
                </w:tcPr>
                <w:p w14:paraId="3FD01187">
                  <w:pPr>
                    <w:spacing w:line="276" w:lineRule="auto"/>
                    <w:jc w:val="center"/>
                    <w:rPr>
                      <w:rFonts w:ascii="Times New Roman" w:hAnsi="Times New Roman" w:cs="Times New Roman"/>
                      <w:b/>
                      <w:color w:val="auto"/>
                      <w:spacing w:val="-2"/>
                      <w:szCs w:val="21"/>
                    </w:rPr>
                  </w:pPr>
                  <w:r>
                    <w:rPr>
                      <w:rFonts w:ascii="Times New Roman" w:hAnsi="Times New Roman" w:cs="Times New Roman"/>
                      <w:b/>
                      <w:color w:val="auto"/>
                      <w:szCs w:val="21"/>
                    </w:rPr>
                    <w:t>功能</w:t>
                  </w:r>
                </w:p>
              </w:tc>
            </w:tr>
            <w:tr w14:paraId="294591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99" w:type="pct"/>
                  <w:tcBorders>
                    <w:top w:val="single" w:color="auto" w:sz="4" w:space="0"/>
                    <w:left w:val="nil"/>
                    <w:bottom w:val="single" w:color="auto" w:sz="4" w:space="0"/>
                    <w:right w:val="single" w:color="auto" w:sz="4" w:space="0"/>
                  </w:tcBorders>
                  <w:vAlign w:val="center"/>
                </w:tcPr>
                <w:p w14:paraId="1E5A2455">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1</w:t>
                  </w:r>
                </w:p>
              </w:tc>
              <w:tc>
                <w:tcPr>
                  <w:tcW w:w="1138" w:type="pct"/>
                  <w:tcBorders>
                    <w:top w:val="single" w:color="auto" w:sz="4" w:space="0"/>
                    <w:left w:val="single" w:color="auto" w:sz="4" w:space="0"/>
                    <w:bottom w:val="single" w:color="auto" w:sz="4" w:space="0"/>
                    <w:right w:val="single" w:color="auto" w:sz="4" w:space="0"/>
                  </w:tcBorders>
                  <w:vAlign w:val="center"/>
                </w:tcPr>
                <w:p w14:paraId="7153F600">
                  <w:pPr>
                    <w:spacing w:line="276" w:lineRule="auto"/>
                    <w:jc w:val="center"/>
                    <w:rPr>
                      <w:rFonts w:ascii="Times New Roman" w:hAnsi="Times New Roman" w:cs="Times New Roman"/>
                      <w:color w:val="auto"/>
                      <w:spacing w:val="-2"/>
                      <w:szCs w:val="21"/>
                    </w:rPr>
                  </w:pPr>
                  <w:r>
                    <w:rPr>
                      <w:rFonts w:ascii="Times New Roman" w:hAnsi="Times New Roman" w:cs="Times New Roman"/>
                      <w:smallCaps/>
                      <w:color w:val="auto"/>
                      <w:szCs w:val="21"/>
                    </w:rPr>
                    <w:drawing>
                      <wp:inline distT="0" distB="0" distL="0" distR="0">
                        <wp:extent cx="858520" cy="858520"/>
                        <wp:effectExtent l="19050" t="0" r="0" b="0"/>
                        <wp:docPr id="4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3"/>
                                <pic:cNvPicPr>
                                  <a:picLocks noChangeAspect="1" noChangeArrowheads="1"/>
                                </pic:cNvPicPr>
                              </pic:nvPicPr>
                              <pic:blipFill>
                                <a:blip r:embed="rId17" cstate="print"/>
                                <a:srcRect/>
                                <a:stretch>
                                  <a:fillRect/>
                                </a:stretch>
                              </pic:blipFill>
                              <pic:spPr>
                                <a:xfrm>
                                  <a:off x="0" y="0"/>
                                  <a:ext cx="858520" cy="858520"/>
                                </a:xfrm>
                                <a:prstGeom prst="rect">
                                  <a:avLst/>
                                </a:prstGeom>
                                <a:noFill/>
                                <a:ln w="9525">
                                  <a:noFill/>
                                  <a:miter lim="800000"/>
                                  <a:headEnd/>
                                  <a:tailEnd/>
                                </a:ln>
                              </pic:spPr>
                            </pic:pic>
                          </a:graphicData>
                        </a:graphic>
                      </wp:inline>
                    </w:drawing>
                  </w:r>
                </w:p>
              </w:tc>
              <w:tc>
                <w:tcPr>
                  <w:tcW w:w="1176" w:type="pct"/>
                  <w:tcBorders>
                    <w:top w:val="single" w:color="auto" w:sz="4" w:space="0"/>
                    <w:left w:val="single" w:color="auto" w:sz="4" w:space="0"/>
                    <w:bottom w:val="single" w:color="auto" w:sz="4" w:space="0"/>
                    <w:right w:val="single" w:color="auto" w:sz="4" w:space="0"/>
                  </w:tcBorders>
                  <w:vAlign w:val="center"/>
                </w:tcPr>
                <w:p w14:paraId="20B00800">
                  <w:pPr>
                    <w:spacing w:line="276" w:lineRule="auto"/>
                    <w:jc w:val="center"/>
                    <w:rPr>
                      <w:rFonts w:ascii="Times New Roman" w:hAnsi="Times New Roman" w:cs="Times New Roman"/>
                      <w:color w:val="auto"/>
                      <w:spacing w:val="-2"/>
                      <w:szCs w:val="21"/>
                    </w:rPr>
                  </w:pPr>
                  <w:r>
                    <w:rPr>
                      <w:rFonts w:ascii="Times New Roman" w:hAnsi="Times New Roman" w:cs="Times New Roman"/>
                      <w:smallCaps/>
                      <w:color w:val="auto"/>
                      <w:szCs w:val="21"/>
                    </w:rPr>
                    <w:drawing>
                      <wp:inline distT="0" distB="0" distL="0" distR="0">
                        <wp:extent cx="962025" cy="858520"/>
                        <wp:effectExtent l="19050" t="0" r="9525" b="0"/>
                        <wp:docPr id="4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4"/>
                                <pic:cNvPicPr>
                                  <a:picLocks noChangeAspect="1" noChangeArrowheads="1"/>
                                </pic:cNvPicPr>
                              </pic:nvPicPr>
                              <pic:blipFill>
                                <a:blip r:embed="rId18" cstate="print"/>
                                <a:srcRect/>
                                <a:stretch>
                                  <a:fillRect/>
                                </a:stretch>
                              </pic:blipFill>
                              <pic:spPr>
                                <a:xfrm>
                                  <a:off x="0" y="0"/>
                                  <a:ext cx="962025" cy="858520"/>
                                </a:xfrm>
                                <a:prstGeom prst="rect">
                                  <a:avLst/>
                                </a:prstGeom>
                                <a:noFill/>
                                <a:ln w="9525">
                                  <a:noFill/>
                                  <a:miter lim="800000"/>
                                  <a:headEnd/>
                                  <a:tailEnd/>
                                </a:ln>
                              </pic:spPr>
                            </pic:pic>
                          </a:graphicData>
                        </a:graphic>
                      </wp:inline>
                    </w:drawing>
                  </w:r>
                </w:p>
              </w:tc>
              <w:tc>
                <w:tcPr>
                  <w:tcW w:w="1129" w:type="pct"/>
                  <w:tcBorders>
                    <w:top w:val="single" w:color="auto" w:sz="4" w:space="0"/>
                    <w:left w:val="single" w:color="auto" w:sz="4" w:space="0"/>
                    <w:bottom w:val="single" w:color="auto" w:sz="4" w:space="0"/>
                    <w:right w:val="single" w:color="auto" w:sz="4" w:space="0"/>
                  </w:tcBorders>
                  <w:vAlign w:val="center"/>
                </w:tcPr>
                <w:p w14:paraId="04473109">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污水排放口</w:t>
                  </w:r>
                </w:p>
              </w:tc>
              <w:tc>
                <w:tcPr>
                  <w:tcW w:w="1158" w:type="pct"/>
                  <w:tcBorders>
                    <w:top w:val="single" w:color="auto" w:sz="4" w:space="0"/>
                    <w:left w:val="single" w:color="auto" w:sz="4" w:space="0"/>
                    <w:bottom w:val="single" w:color="auto" w:sz="4" w:space="0"/>
                    <w:right w:val="nil"/>
                  </w:tcBorders>
                  <w:vAlign w:val="center"/>
                </w:tcPr>
                <w:p w14:paraId="1BBA7B3B">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表示污水向水体排放</w:t>
                  </w:r>
                </w:p>
              </w:tc>
            </w:tr>
            <w:tr w14:paraId="32F38BF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99" w:type="pct"/>
                  <w:tcBorders>
                    <w:top w:val="single" w:color="auto" w:sz="4" w:space="0"/>
                    <w:left w:val="nil"/>
                    <w:bottom w:val="single" w:color="auto" w:sz="4" w:space="0"/>
                    <w:right w:val="single" w:color="auto" w:sz="4" w:space="0"/>
                  </w:tcBorders>
                  <w:vAlign w:val="center"/>
                </w:tcPr>
                <w:p w14:paraId="5A7D9D5D">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2</w:t>
                  </w:r>
                </w:p>
              </w:tc>
              <w:tc>
                <w:tcPr>
                  <w:tcW w:w="1138" w:type="pct"/>
                  <w:tcBorders>
                    <w:top w:val="single" w:color="auto" w:sz="4" w:space="0"/>
                    <w:left w:val="single" w:color="auto" w:sz="4" w:space="0"/>
                    <w:bottom w:val="single" w:color="auto" w:sz="4" w:space="0"/>
                    <w:right w:val="single" w:color="auto" w:sz="4" w:space="0"/>
                  </w:tcBorders>
                  <w:vAlign w:val="center"/>
                </w:tcPr>
                <w:p w14:paraId="1C5946BC">
                  <w:pPr>
                    <w:spacing w:line="276" w:lineRule="auto"/>
                    <w:jc w:val="center"/>
                    <w:rPr>
                      <w:rFonts w:ascii="Times New Roman" w:hAnsi="Times New Roman" w:cs="Times New Roman"/>
                      <w:color w:val="auto"/>
                      <w:spacing w:val="-2"/>
                      <w:szCs w:val="21"/>
                    </w:rPr>
                  </w:pPr>
                  <w:r>
                    <w:rPr>
                      <w:rFonts w:ascii="Times New Roman" w:hAnsi="Times New Roman" w:cs="Times New Roman"/>
                      <w:smallCaps/>
                      <w:color w:val="auto"/>
                      <w:szCs w:val="21"/>
                    </w:rPr>
                    <w:drawing>
                      <wp:inline distT="0" distB="0" distL="0" distR="0">
                        <wp:extent cx="858520" cy="858520"/>
                        <wp:effectExtent l="19050" t="0" r="0" b="0"/>
                        <wp:docPr id="4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5"/>
                                <pic:cNvPicPr>
                                  <a:picLocks noChangeAspect="1" noChangeArrowheads="1"/>
                                </pic:cNvPicPr>
                              </pic:nvPicPr>
                              <pic:blipFill>
                                <a:blip r:embed="rId19" cstate="print"/>
                                <a:srcRect/>
                                <a:stretch>
                                  <a:fillRect/>
                                </a:stretch>
                              </pic:blipFill>
                              <pic:spPr>
                                <a:xfrm>
                                  <a:off x="0" y="0"/>
                                  <a:ext cx="858520" cy="858520"/>
                                </a:xfrm>
                                <a:prstGeom prst="rect">
                                  <a:avLst/>
                                </a:prstGeom>
                                <a:noFill/>
                                <a:ln w="9525">
                                  <a:noFill/>
                                  <a:miter lim="800000"/>
                                  <a:headEnd/>
                                  <a:tailEnd/>
                                </a:ln>
                              </pic:spPr>
                            </pic:pic>
                          </a:graphicData>
                        </a:graphic>
                      </wp:inline>
                    </w:drawing>
                  </w:r>
                </w:p>
              </w:tc>
              <w:tc>
                <w:tcPr>
                  <w:tcW w:w="1176" w:type="pct"/>
                  <w:tcBorders>
                    <w:top w:val="single" w:color="auto" w:sz="4" w:space="0"/>
                    <w:left w:val="single" w:color="auto" w:sz="4" w:space="0"/>
                    <w:bottom w:val="single" w:color="auto" w:sz="4" w:space="0"/>
                    <w:right w:val="single" w:color="auto" w:sz="4" w:space="0"/>
                  </w:tcBorders>
                  <w:vAlign w:val="center"/>
                </w:tcPr>
                <w:p w14:paraId="776325C2">
                  <w:pPr>
                    <w:spacing w:line="276" w:lineRule="auto"/>
                    <w:jc w:val="center"/>
                    <w:rPr>
                      <w:rFonts w:ascii="Times New Roman" w:hAnsi="Times New Roman" w:cs="Times New Roman"/>
                      <w:color w:val="auto"/>
                      <w:spacing w:val="-2"/>
                      <w:szCs w:val="21"/>
                    </w:rPr>
                  </w:pPr>
                  <w:r>
                    <w:rPr>
                      <w:rFonts w:ascii="Times New Roman" w:hAnsi="Times New Roman" w:cs="Times New Roman"/>
                      <w:smallCaps/>
                      <w:color w:val="auto"/>
                      <w:szCs w:val="21"/>
                    </w:rPr>
                    <w:drawing>
                      <wp:inline distT="0" distB="0" distL="0" distR="0">
                        <wp:extent cx="962025" cy="858520"/>
                        <wp:effectExtent l="19050" t="0" r="9525" b="0"/>
                        <wp:docPr id="4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6"/>
                                <pic:cNvPicPr>
                                  <a:picLocks noChangeAspect="1" noChangeArrowheads="1"/>
                                </pic:cNvPicPr>
                              </pic:nvPicPr>
                              <pic:blipFill>
                                <a:blip r:embed="rId20" cstate="print"/>
                                <a:srcRect/>
                                <a:stretch>
                                  <a:fillRect/>
                                </a:stretch>
                              </pic:blipFill>
                              <pic:spPr>
                                <a:xfrm>
                                  <a:off x="0" y="0"/>
                                  <a:ext cx="962025" cy="858520"/>
                                </a:xfrm>
                                <a:prstGeom prst="rect">
                                  <a:avLst/>
                                </a:prstGeom>
                                <a:noFill/>
                                <a:ln w="9525">
                                  <a:noFill/>
                                  <a:miter lim="800000"/>
                                  <a:headEnd/>
                                  <a:tailEnd/>
                                </a:ln>
                              </pic:spPr>
                            </pic:pic>
                          </a:graphicData>
                        </a:graphic>
                      </wp:inline>
                    </w:drawing>
                  </w:r>
                </w:p>
              </w:tc>
              <w:tc>
                <w:tcPr>
                  <w:tcW w:w="1129" w:type="pct"/>
                  <w:tcBorders>
                    <w:top w:val="single" w:color="auto" w:sz="4" w:space="0"/>
                    <w:left w:val="single" w:color="auto" w:sz="4" w:space="0"/>
                    <w:bottom w:val="single" w:color="auto" w:sz="4" w:space="0"/>
                    <w:right w:val="single" w:color="auto" w:sz="4" w:space="0"/>
                  </w:tcBorders>
                  <w:vAlign w:val="center"/>
                </w:tcPr>
                <w:p w14:paraId="05550F2D">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废气排放口</w:t>
                  </w:r>
                </w:p>
              </w:tc>
              <w:tc>
                <w:tcPr>
                  <w:tcW w:w="1158" w:type="pct"/>
                  <w:tcBorders>
                    <w:top w:val="single" w:color="auto" w:sz="4" w:space="0"/>
                    <w:left w:val="single" w:color="auto" w:sz="4" w:space="0"/>
                    <w:bottom w:val="single" w:color="auto" w:sz="4" w:space="0"/>
                    <w:right w:val="nil"/>
                  </w:tcBorders>
                  <w:vAlign w:val="center"/>
                </w:tcPr>
                <w:p w14:paraId="674B398D">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表示废气向大气环境排放</w:t>
                  </w:r>
                </w:p>
              </w:tc>
            </w:tr>
            <w:tr w14:paraId="012395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99" w:type="pct"/>
                  <w:tcBorders>
                    <w:top w:val="single" w:color="auto" w:sz="4" w:space="0"/>
                    <w:left w:val="nil"/>
                    <w:bottom w:val="single" w:color="auto" w:sz="4" w:space="0"/>
                    <w:right w:val="single" w:color="auto" w:sz="4" w:space="0"/>
                  </w:tcBorders>
                  <w:vAlign w:val="center"/>
                </w:tcPr>
                <w:p w14:paraId="4A2E380A">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3</w:t>
                  </w:r>
                </w:p>
              </w:tc>
              <w:tc>
                <w:tcPr>
                  <w:tcW w:w="1138" w:type="pct"/>
                  <w:tcBorders>
                    <w:top w:val="single" w:color="auto" w:sz="4" w:space="0"/>
                    <w:left w:val="single" w:color="auto" w:sz="4" w:space="0"/>
                    <w:bottom w:val="single" w:color="auto" w:sz="4" w:space="0"/>
                    <w:right w:val="single" w:color="auto" w:sz="4" w:space="0"/>
                  </w:tcBorders>
                  <w:vAlign w:val="center"/>
                </w:tcPr>
                <w:p w14:paraId="247FF156">
                  <w:pPr>
                    <w:spacing w:line="276" w:lineRule="auto"/>
                    <w:jc w:val="center"/>
                    <w:rPr>
                      <w:rFonts w:ascii="Times New Roman" w:hAnsi="Times New Roman" w:cs="Times New Roman"/>
                      <w:color w:val="auto"/>
                      <w:spacing w:val="-2"/>
                      <w:szCs w:val="21"/>
                    </w:rPr>
                  </w:pPr>
                  <w:r>
                    <w:rPr>
                      <w:rFonts w:ascii="Times New Roman" w:hAnsi="Times New Roman" w:cs="Times New Roman"/>
                      <w:smallCaps/>
                      <w:color w:val="auto"/>
                      <w:szCs w:val="21"/>
                    </w:rPr>
                    <w:drawing>
                      <wp:inline distT="0" distB="0" distL="0" distR="0">
                        <wp:extent cx="858520" cy="858520"/>
                        <wp:effectExtent l="19050" t="0" r="0" b="0"/>
                        <wp:docPr id="5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7"/>
                                <pic:cNvPicPr>
                                  <a:picLocks noChangeAspect="1" noChangeArrowheads="1"/>
                                </pic:cNvPicPr>
                              </pic:nvPicPr>
                              <pic:blipFill>
                                <a:blip r:embed="rId21" cstate="print"/>
                                <a:srcRect/>
                                <a:stretch>
                                  <a:fillRect/>
                                </a:stretch>
                              </pic:blipFill>
                              <pic:spPr>
                                <a:xfrm>
                                  <a:off x="0" y="0"/>
                                  <a:ext cx="858520" cy="858520"/>
                                </a:xfrm>
                                <a:prstGeom prst="rect">
                                  <a:avLst/>
                                </a:prstGeom>
                                <a:noFill/>
                                <a:ln w="9525">
                                  <a:noFill/>
                                  <a:miter lim="800000"/>
                                  <a:headEnd/>
                                  <a:tailEnd/>
                                </a:ln>
                              </pic:spPr>
                            </pic:pic>
                          </a:graphicData>
                        </a:graphic>
                      </wp:inline>
                    </w:drawing>
                  </w:r>
                </w:p>
              </w:tc>
              <w:tc>
                <w:tcPr>
                  <w:tcW w:w="1176" w:type="pct"/>
                  <w:tcBorders>
                    <w:top w:val="single" w:color="auto" w:sz="4" w:space="0"/>
                    <w:left w:val="single" w:color="auto" w:sz="4" w:space="0"/>
                    <w:bottom w:val="single" w:color="auto" w:sz="4" w:space="0"/>
                    <w:right w:val="single" w:color="auto" w:sz="4" w:space="0"/>
                  </w:tcBorders>
                  <w:vAlign w:val="center"/>
                </w:tcPr>
                <w:p w14:paraId="6F387E99">
                  <w:pPr>
                    <w:spacing w:line="276" w:lineRule="auto"/>
                    <w:jc w:val="center"/>
                    <w:rPr>
                      <w:rFonts w:ascii="Times New Roman" w:hAnsi="Times New Roman" w:cs="Times New Roman"/>
                      <w:color w:val="auto"/>
                      <w:spacing w:val="-2"/>
                      <w:szCs w:val="21"/>
                    </w:rPr>
                  </w:pPr>
                  <w:r>
                    <w:rPr>
                      <w:rFonts w:ascii="Times New Roman" w:hAnsi="Times New Roman" w:cs="Times New Roman"/>
                      <w:smallCaps/>
                      <w:color w:val="auto"/>
                      <w:szCs w:val="21"/>
                    </w:rPr>
                    <w:drawing>
                      <wp:inline distT="0" distB="0" distL="0" distR="0">
                        <wp:extent cx="962025" cy="858520"/>
                        <wp:effectExtent l="19050" t="0" r="9525" b="0"/>
                        <wp:docPr id="5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pic:cNvPicPr>
                                  <a:picLocks noChangeAspect="1" noChangeArrowheads="1"/>
                                </pic:cNvPicPr>
                              </pic:nvPicPr>
                              <pic:blipFill>
                                <a:blip r:embed="rId22" cstate="print"/>
                                <a:srcRect/>
                                <a:stretch>
                                  <a:fillRect/>
                                </a:stretch>
                              </pic:blipFill>
                              <pic:spPr>
                                <a:xfrm>
                                  <a:off x="0" y="0"/>
                                  <a:ext cx="962025" cy="858520"/>
                                </a:xfrm>
                                <a:prstGeom prst="rect">
                                  <a:avLst/>
                                </a:prstGeom>
                                <a:noFill/>
                                <a:ln w="9525">
                                  <a:noFill/>
                                  <a:miter lim="800000"/>
                                  <a:headEnd/>
                                  <a:tailEnd/>
                                </a:ln>
                              </pic:spPr>
                            </pic:pic>
                          </a:graphicData>
                        </a:graphic>
                      </wp:inline>
                    </w:drawing>
                  </w:r>
                </w:p>
              </w:tc>
              <w:tc>
                <w:tcPr>
                  <w:tcW w:w="1129" w:type="pct"/>
                  <w:tcBorders>
                    <w:top w:val="single" w:color="auto" w:sz="4" w:space="0"/>
                    <w:left w:val="single" w:color="auto" w:sz="4" w:space="0"/>
                    <w:bottom w:val="single" w:color="auto" w:sz="4" w:space="0"/>
                    <w:right w:val="single" w:color="auto" w:sz="4" w:space="0"/>
                  </w:tcBorders>
                  <w:vAlign w:val="center"/>
                </w:tcPr>
                <w:p w14:paraId="098EB83E">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一般工业固体废物</w:t>
                  </w:r>
                </w:p>
              </w:tc>
              <w:tc>
                <w:tcPr>
                  <w:tcW w:w="1158" w:type="pct"/>
                  <w:tcBorders>
                    <w:top w:val="single" w:color="auto" w:sz="4" w:space="0"/>
                    <w:left w:val="single" w:color="auto" w:sz="4" w:space="0"/>
                    <w:bottom w:val="single" w:color="auto" w:sz="4" w:space="0"/>
                    <w:right w:val="nil"/>
                  </w:tcBorders>
                  <w:vAlign w:val="center"/>
                </w:tcPr>
                <w:p w14:paraId="3183FE2F">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表示一般工业固体废物贮存、处置场</w:t>
                  </w:r>
                </w:p>
              </w:tc>
            </w:tr>
            <w:tr w14:paraId="408F9B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99" w:type="pct"/>
                  <w:tcBorders>
                    <w:top w:val="single" w:color="auto" w:sz="4" w:space="0"/>
                    <w:left w:val="nil"/>
                    <w:bottom w:val="single" w:color="auto" w:sz="4" w:space="0"/>
                    <w:right w:val="single" w:color="auto" w:sz="4" w:space="0"/>
                  </w:tcBorders>
                  <w:vAlign w:val="center"/>
                </w:tcPr>
                <w:p w14:paraId="399F0675">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4</w:t>
                  </w:r>
                </w:p>
              </w:tc>
              <w:tc>
                <w:tcPr>
                  <w:tcW w:w="1138" w:type="pct"/>
                  <w:tcBorders>
                    <w:top w:val="single" w:color="auto" w:sz="4" w:space="0"/>
                    <w:left w:val="single" w:color="auto" w:sz="4" w:space="0"/>
                    <w:bottom w:val="single" w:color="auto" w:sz="4" w:space="0"/>
                    <w:right w:val="single" w:color="auto" w:sz="4" w:space="0"/>
                  </w:tcBorders>
                  <w:vAlign w:val="center"/>
                </w:tcPr>
                <w:p w14:paraId="7DB5BE92">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pacing w:val="-2"/>
                      <w:szCs w:val="21"/>
                    </w:rPr>
                    <w:t>/</w:t>
                  </w:r>
                </w:p>
              </w:tc>
              <w:tc>
                <w:tcPr>
                  <w:tcW w:w="1176" w:type="pct"/>
                  <w:tcBorders>
                    <w:top w:val="single" w:color="auto" w:sz="4" w:space="0"/>
                    <w:left w:val="single" w:color="auto" w:sz="4" w:space="0"/>
                    <w:bottom w:val="single" w:color="auto" w:sz="4" w:space="0"/>
                    <w:right w:val="single" w:color="auto" w:sz="4" w:space="0"/>
                  </w:tcBorders>
                  <w:vAlign w:val="center"/>
                </w:tcPr>
                <w:p w14:paraId="030B5BBE">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pacing w:val="-2"/>
                      <w:szCs w:val="21"/>
                    </w:rPr>
                    <w:drawing>
                      <wp:inline distT="0" distB="0" distL="0" distR="0">
                        <wp:extent cx="1228725" cy="971550"/>
                        <wp:effectExtent l="19050" t="0" r="9525" b="0"/>
                        <wp:docPr id="52" name="图片 1" descr="5[GH5T597V}4NCI(}UJT3[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descr="5[GH5T597V}4NCI(}UJT3[R.png"/>
                                <pic:cNvPicPr>
                                  <a:picLocks noChangeAspect="1"/>
                                </pic:cNvPicPr>
                              </pic:nvPicPr>
                              <pic:blipFill>
                                <a:blip r:embed="rId23" cstate="print"/>
                                <a:stretch>
                                  <a:fillRect/>
                                </a:stretch>
                              </pic:blipFill>
                              <pic:spPr>
                                <a:xfrm>
                                  <a:off x="0" y="0"/>
                                  <a:ext cx="1228725" cy="971550"/>
                                </a:xfrm>
                                <a:prstGeom prst="rect">
                                  <a:avLst/>
                                </a:prstGeom>
                              </pic:spPr>
                            </pic:pic>
                          </a:graphicData>
                        </a:graphic>
                      </wp:inline>
                    </w:drawing>
                  </w:r>
                </w:p>
              </w:tc>
              <w:tc>
                <w:tcPr>
                  <w:tcW w:w="1129" w:type="pct"/>
                  <w:tcBorders>
                    <w:top w:val="single" w:color="auto" w:sz="4" w:space="0"/>
                    <w:left w:val="single" w:color="auto" w:sz="4" w:space="0"/>
                    <w:bottom w:val="single" w:color="auto" w:sz="4" w:space="0"/>
                    <w:right w:val="single" w:color="auto" w:sz="4" w:space="0"/>
                  </w:tcBorders>
                  <w:vAlign w:val="center"/>
                </w:tcPr>
                <w:p w14:paraId="7CFD9F13">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危险废物</w:t>
                  </w:r>
                </w:p>
              </w:tc>
              <w:tc>
                <w:tcPr>
                  <w:tcW w:w="1158" w:type="pct"/>
                  <w:tcBorders>
                    <w:top w:val="single" w:color="auto" w:sz="4" w:space="0"/>
                    <w:left w:val="single" w:color="auto" w:sz="4" w:space="0"/>
                    <w:bottom w:val="single" w:color="auto" w:sz="4" w:space="0"/>
                    <w:right w:val="nil"/>
                  </w:tcBorders>
                  <w:vAlign w:val="center"/>
                </w:tcPr>
                <w:p w14:paraId="69AF0BE7">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表示危险废物贮存、处置场</w:t>
                  </w:r>
                </w:p>
              </w:tc>
            </w:tr>
            <w:tr w14:paraId="08164D4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99" w:type="pct"/>
                  <w:tcBorders>
                    <w:top w:val="single" w:color="auto" w:sz="4" w:space="0"/>
                    <w:left w:val="nil"/>
                    <w:bottom w:val="single" w:color="auto" w:sz="12" w:space="0"/>
                    <w:right w:val="single" w:color="auto" w:sz="4" w:space="0"/>
                  </w:tcBorders>
                  <w:vAlign w:val="center"/>
                </w:tcPr>
                <w:p w14:paraId="74D107E2">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5</w:t>
                  </w:r>
                </w:p>
              </w:tc>
              <w:tc>
                <w:tcPr>
                  <w:tcW w:w="1138" w:type="pct"/>
                  <w:tcBorders>
                    <w:top w:val="single" w:color="auto" w:sz="4" w:space="0"/>
                    <w:left w:val="single" w:color="auto" w:sz="4" w:space="0"/>
                    <w:bottom w:val="single" w:color="auto" w:sz="12" w:space="0"/>
                    <w:right w:val="single" w:color="auto" w:sz="4" w:space="0"/>
                  </w:tcBorders>
                  <w:vAlign w:val="center"/>
                </w:tcPr>
                <w:p w14:paraId="0EB51E06">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drawing>
                      <wp:inline distT="0" distB="0" distL="0" distR="0">
                        <wp:extent cx="858520" cy="858520"/>
                        <wp:effectExtent l="19050" t="0" r="0" b="0"/>
                        <wp:docPr id="53" name="图片 50" descr="mark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0" descr="mark_3"/>
                                <pic:cNvPicPr>
                                  <a:picLocks noChangeAspect="1" noChangeArrowheads="1"/>
                                </pic:cNvPicPr>
                              </pic:nvPicPr>
                              <pic:blipFill>
                                <a:blip r:embed="rId24" cstate="print"/>
                                <a:srcRect/>
                                <a:stretch>
                                  <a:fillRect/>
                                </a:stretch>
                              </pic:blipFill>
                              <pic:spPr>
                                <a:xfrm>
                                  <a:off x="0" y="0"/>
                                  <a:ext cx="858520" cy="858520"/>
                                </a:xfrm>
                                <a:prstGeom prst="rect">
                                  <a:avLst/>
                                </a:prstGeom>
                                <a:noFill/>
                                <a:ln w="9525">
                                  <a:noFill/>
                                  <a:miter lim="800000"/>
                                  <a:headEnd/>
                                  <a:tailEnd/>
                                </a:ln>
                              </pic:spPr>
                            </pic:pic>
                          </a:graphicData>
                        </a:graphic>
                      </wp:inline>
                    </w:drawing>
                  </w:r>
                </w:p>
              </w:tc>
              <w:tc>
                <w:tcPr>
                  <w:tcW w:w="1176" w:type="pct"/>
                  <w:tcBorders>
                    <w:top w:val="single" w:color="auto" w:sz="4" w:space="0"/>
                    <w:left w:val="single" w:color="auto" w:sz="4" w:space="0"/>
                    <w:bottom w:val="single" w:color="auto" w:sz="12" w:space="0"/>
                    <w:right w:val="single" w:color="auto" w:sz="4" w:space="0"/>
                  </w:tcBorders>
                  <w:vAlign w:val="center"/>
                </w:tcPr>
                <w:p w14:paraId="58ED2DF2">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drawing>
                      <wp:inline distT="0" distB="0" distL="0" distR="0">
                        <wp:extent cx="962025" cy="858520"/>
                        <wp:effectExtent l="19050" t="0" r="9525" b="0"/>
                        <wp:docPr id="54" name="图片 51" descr="mark_j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1" descr="mark_j3"/>
                                <pic:cNvPicPr>
                                  <a:picLocks noChangeAspect="1" noChangeArrowheads="1"/>
                                </pic:cNvPicPr>
                              </pic:nvPicPr>
                              <pic:blipFill>
                                <a:blip r:embed="rId25" cstate="print"/>
                                <a:srcRect/>
                                <a:stretch>
                                  <a:fillRect/>
                                </a:stretch>
                              </pic:blipFill>
                              <pic:spPr>
                                <a:xfrm>
                                  <a:off x="0" y="0"/>
                                  <a:ext cx="962025" cy="858520"/>
                                </a:xfrm>
                                <a:prstGeom prst="rect">
                                  <a:avLst/>
                                </a:prstGeom>
                                <a:noFill/>
                                <a:ln w="9525">
                                  <a:noFill/>
                                  <a:miter lim="800000"/>
                                  <a:headEnd/>
                                  <a:tailEnd/>
                                </a:ln>
                              </pic:spPr>
                            </pic:pic>
                          </a:graphicData>
                        </a:graphic>
                      </wp:inline>
                    </w:drawing>
                  </w:r>
                </w:p>
              </w:tc>
              <w:tc>
                <w:tcPr>
                  <w:tcW w:w="1129" w:type="pct"/>
                  <w:tcBorders>
                    <w:top w:val="single" w:color="auto" w:sz="4" w:space="0"/>
                    <w:left w:val="single" w:color="auto" w:sz="4" w:space="0"/>
                    <w:bottom w:val="single" w:color="auto" w:sz="12" w:space="0"/>
                    <w:right w:val="single" w:color="auto" w:sz="4" w:space="0"/>
                  </w:tcBorders>
                  <w:vAlign w:val="center"/>
                </w:tcPr>
                <w:p w14:paraId="12A16ABC">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噪声排放源</w:t>
                  </w:r>
                </w:p>
              </w:tc>
              <w:tc>
                <w:tcPr>
                  <w:tcW w:w="1158" w:type="pct"/>
                  <w:tcBorders>
                    <w:top w:val="single" w:color="auto" w:sz="4" w:space="0"/>
                    <w:left w:val="single" w:color="auto" w:sz="4" w:space="0"/>
                    <w:bottom w:val="single" w:color="auto" w:sz="12" w:space="0"/>
                    <w:right w:val="nil"/>
                  </w:tcBorders>
                  <w:vAlign w:val="center"/>
                </w:tcPr>
                <w:p w14:paraId="3C5399D4">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表示噪声向</w:t>
                  </w:r>
                </w:p>
                <w:p w14:paraId="48D979B4">
                  <w:pPr>
                    <w:spacing w:line="276" w:lineRule="auto"/>
                    <w:jc w:val="center"/>
                    <w:rPr>
                      <w:rFonts w:ascii="Times New Roman" w:hAnsi="Times New Roman" w:cs="Times New Roman"/>
                      <w:color w:val="auto"/>
                      <w:spacing w:val="-2"/>
                      <w:szCs w:val="21"/>
                    </w:rPr>
                  </w:pPr>
                  <w:r>
                    <w:rPr>
                      <w:rFonts w:ascii="Times New Roman" w:hAnsi="Times New Roman" w:cs="Times New Roman"/>
                      <w:color w:val="auto"/>
                      <w:szCs w:val="21"/>
                    </w:rPr>
                    <w:t>外环境排放</w:t>
                  </w:r>
                </w:p>
              </w:tc>
            </w:tr>
          </w:tbl>
          <w:p w14:paraId="53AAEA0E">
            <w:pPr>
              <w:spacing w:line="360" w:lineRule="auto"/>
              <w:jc w:val="center"/>
              <w:rPr>
                <w:rFonts w:ascii="Times New Roman" w:hAnsi="Times New Roman" w:eastAsia="黑体"/>
                <w:color w:val="auto"/>
                <w:spacing w:val="-2"/>
                <w:sz w:val="24"/>
                <w:szCs w:val="20"/>
              </w:rPr>
            </w:pPr>
            <w:r>
              <w:rPr>
                <w:rFonts w:ascii="Times New Roman" w:hAnsi="Times New Roman" w:eastAsia="黑体"/>
                <w:color w:val="auto"/>
                <w:sz w:val="24"/>
              </w:rPr>
              <w:t>表</w:t>
            </w:r>
            <w:r>
              <w:rPr>
                <w:rFonts w:hint="eastAsia" w:ascii="Times New Roman" w:hAnsi="Times New Roman" w:eastAsia="黑体" w:cs="Times New Roman"/>
                <w:color w:val="auto"/>
                <w:sz w:val="24"/>
              </w:rPr>
              <w:t xml:space="preserve">4-19  </w:t>
            </w:r>
            <w:r>
              <w:rPr>
                <w:rFonts w:ascii="Times New Roman" w:hAnsi="Times New Roman" w:eastAsia="黑体"/>
                <w:color w:val="auto"/>
                <w:sz w:val="24"/>
              </w:rPr>
              <w:t>环境保护图形标志的形状及颜色表</w:t>
            </w:r>
          </w:p>
          <w:tbl>
            <w:tblPr>
              <w:tblStyle w:val="17"/>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1894"/>
              <w:gridCol w:w="1894"/>
              <w:gridCol w:w="1895"/>
              <w:gridCol w:w="1895"/>
            </w:tblGrid>
            <w:tr w14:paraId="237E437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250" w:type="pct"/>
                  <w:tcBorders>
                    <w:tl2br w:val="nil"/>
                    <w:tr2bl w:val="nil"/>
                  </w:tcBorders>
                  <w:vAlign w:val="center"/>
                </w:tcPr>
                <w:p w14:paraId="6CDA6F06">
                  <w:pPr>
                    <w:spacing w:line="276" w:lineRule="auto"/>
                    <w:jc w:val="center"/>
                    <w:rPr>
                      <w:rFonts w:ascii="Times New Roman" w:hAnsi="Times New Roman"/>
                      <w:b/>
                      <w:color w:val="auto"/>
                      <w:spacing w:val="-2"/>
                      <w:szCs w:val="21"/>
                    </w:rPr>
                  </w:pPr>
                  <w:r>
                    <w:rPr>
                      <w:rFonts w:ascii="Times New Roman" w:hAnsi="Times New Roman"/>
                      <w:b/>
                      <w:color w:val="auto"/>
                      <w:szCs w:val="21"/>
                    </w:rPr>
                    <w:t>标志名称</w:t>
                  </w:r>
                </w:p>
              </w:tc>
              <w:tc>
                <w:tcPr>
                  <w:tcW w:w="1250" w:type="pct"/>
                  <w:tcBorders>
                    <w:tl2br w:val="nil"/>
                    <w:tr2bl w:val="nil"/>
                  </w:tcBorders>
                  <w:vAlign w:val="center"/>
                </w:tcPr>
                <w:p w14:paraId="32F8D15C">
                  <w:pPr>
                    <w:spacing w:line="276" w:lineRule="auto"/>
                    <w:jc w:val="center"/>
                    <w:rPr>
                      <w:rFonts w:ascii="Times New Roman" w:hAnsi="Times New Roman"/>
                      <w:b/>
                      <w:color w:val="auto"/>
                      <w:spacing w:val="-2"/>
                      <w:szCs w:val="21"/>
                    </w:rPr>
                  </w:pPr>
                  <w:r>
                    <w:rPr>
                      <w:rFonts w:ascii="Times New Roman" w:hAnsi="Times New Roman"/>
                      <w:b/>
                      <w:color w:val="auto"/>
                      <w:szCs w:val="21"/>
                    </w:rPr>
                    <w:t>形状</w:t>
                  </w:r>
                </w:p>
              </w:tc>
              <w:tc>
                <w:tcPr>
                  <w:tcW w:w="1250" w:type="pct"/>
                  <w:tcBorders>
                    <w:tl2br w:val="nil"/>
                    <w:tr2bl w:val="nil"/>
                  </w:tcBorders>
                  <w:vAlign w:val="center"/>
                </w:tcPr>
                <w:p w14:paraId="3D2EE97E">
                  <w:pPr>
                    <w:spacing w:line="276" w:lineRule="auto"/>
                    <w:jc w:val="center"/>
                    <w:rPr>
                      <w:rFonts w:ascii="Times New Roman" w:hAnsi="Times New Roman"/>
                      <w:b/>
                      <w:color w:val="auto"/>
                      <w:spacing w:val="-2"/>
                      <w:szCs w:val="21"/>
                    </w:rPr>
                  </w:pPr>
                  <w:r>
                    <w:rPr>
                      <w:rFonts w:ascii="Times New Roman" w:hAnsi="Times New Roman"/>
                      <w:b/>
                      <w:color w:val="auto"/>
                      <w:szCs w:val="21"/>
                    </w:rPr>
                    <w:t>背景颜色</w:t>
                  </w:r>
                </w:p>
              </w:tc>
              <w:tc>
                <w:tcPr>
                  <w:tcW w:w="1250" w:type="pct"/>
                  <w:tcBorders>
                    <w:tl2br w:val="nil"/>
                    <w:tr2bl w:val="nil"/>
                  </w:tcBorders>
                  <w:vAlign w:val="center"/>
                </w:tcPr>
                <w:p w14:paraId="513B54E1">
                  <w:pPr>
                    <w:spacing w:line="276" w:lineRule="auto"/>
                    <w:jc w:val="center"/>
                    <w:rPr>
                      <w:rFonts w:ascii="Times New Roman" w:hAnsi="Times New Roman"/>
                      <w:b/>
                      <w:color w:val="auto"/>
                      <w:spacing w:val="-2"/>
                      <w:szCs w:val="21"/>
                    </w:rPr>
                  </w:pPr>
                  <w:r>
                    <w:rPr>
                      <w:rFonts w:ascii="Times New Roman" w:hAnsi="Times New Roman"/>
                      <w:b/>
                      <w:color w:val="auto"/>
                      <w:szCs w:val="21"/>
                    </w:rPr>
                    <w:t>图形颜色</w:t>
                  </w:r>
                </w:p>
              </w:tc>
            </w:tr>
            <w:tr w14:paraId="668C787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250" w:type="pct"/>
                  <w:tcBorders>
                    <w:tl2br w:val="nil"/>
                    <w:tr2bl w:val="nil"/>
                  </w:tcBorders>
                  <w:vAlign w:val="center"/>
                </w:tcPr>
                <w:p w14:paraId="7984ABB4">
                  <w:pPr>
                    <w:spacing w:line="276" w:lineRule="auto"/>
                    <w:jc w:val="center"/>
                    <w:rPr>
                      <w:rFonts w:ascii="Times New Roman" w:hAnsi="Times New Roman"/>
                      <w:color w:val="auto"/>
                      <w:spacing w:val="-2"/>
                      <w:szCs w:val="21"/>
                    </w:rPr>
                  </w:pPr>
                  <w:r>
                    <w:rPr>
                      <w:rFonts w:ascii="Times New Roman" w:hAnsi="Times New Roman"/>
                      <w:color w:val="auto"/>
                      <w:szCs w:val="21"/>
                    </w:rPr>
                    <w:t>警告标志</w:t>
                  </w:r>
                </w:p>
              </w:tc>
              <w:tc>
                <w:tcPr>
                  <w:tcW w:w="1250" w:type="pct"/>
                  <w:tcBorders>
                    <w:tl2br w:val="nil"/>
                    <w:tr2bl w:val="nil"/>
                  </w:tcBorders>
                  <w:vAlign w:val="center"/>
                </w:tcPr>
                <w:p w14:paraId="3C6CFDAE">
                  <w:pPr>
                    <w:spacing w:line="276" w:lineRule="auto"/>
                    <w:jc w:val="center"/>
                    <w:rPr>
                      <w:rFonts w:ascii="Times New Roman" w:hAnsi="Times New Roman"/>
                      <w:color w:val="auto"/>
                      <w:spacing w:val="-2"/>
                      <w:szCs w:val="21"/>
                    </w:rPr>
                  </w:pPr>
                  <w:r>
                    <w:rPr>
                      <w:rFonts w:ascii="Times New Roman" w:hAnsi="Times New Roman"/>
                      <w:color w:val="auto"/>
                      <w:szCs w:val="21"/>
                    </w:rPr>
                    <w:t>三角形边框</w:t>
                  </w:r>
                </w:p>
              </w:tc>
              <w:tc>
                <w:tcPr>
                  <w:tcW w:w="1250" w:type="pct"/>
                  <w:tcBorders>
                    <w:tl2br w:val="nil"/>
                    <w:tr2bl w:val="nil"/>
                  </w:tcBorders>
                  <w:vAlign w:val="center"/>
                </w:tcPr>
                <w:p w14:paraId="54921B43">
                  <w:pPr>
                    <w:spacing w:line="276" w:lineRule="auto"/>
                    <w:jc w:val="center"/>
                    <w:rPr>
                      <w:rFonts w:ascii="Times New Roman" w:hAnsi="Times New Roman"/>
                      <w:color w:val="auto"/>
                      <w:spacing w:val="-2"/>
                      <w:szCs w:val="21"/>
                    </w:rPr>
                  </w:pPr>
                  <w:r>
                    <w:rPr>
                      <w:rFonts w:ascii="Times New Roman" w:hAnsi="Times New Roman"/>
                      <w:color w:val="auto"/>
                      <w:szCs w:val="21"/>
                    </w:rPr>
                    <w:t>黄色</w:t>
                  </w:r>
                </w:p>
              </w:tc>
              <w:tc>
                <w:tcPr>
                  <w:tcW w:w="1250" w:type="pct"/>
                  <w:tcBorders>
                    <w:tl2br w:val="nil"/>
                    <w:tr2bl w:val="nil"/>
                  </w:tcBorders>
                  <w:vAlign w:val="center"/>
                </w:tcPr>
                <w:p w14:paraId="35AB4E50">
                  <w:pPr>
                    <w:spacing w:line="276" w:lineRule="auto"/>
                    <w:jc w:val="center"/>
                    <w:rPr>
                      <w:rFonts w:ascii="Times New Roman" w:hAnsi="Times New Roman"/>
                      <w:color w:val="auto"/>
                      <w:spacing w:val="-2"/>
                      <w:szCs w:val="21"/>
                    </w:rPr>
                  </w:pPr>
                  <w:r>
                    <w:rPr>
                      <w:rFonts w:ascii="Times New Roman" w:hAnsi="Times New Roman"/>
                      <w:color w:val="auto"/>
                      <w:szCs w:val="21"/>
                    </w:rPr>
                    <w:t>黑色</w:t>
                  </w:r>
                </w:p>
              </w:tc>
            </w:tr>
            <w:tr w14:paraId="3080BF5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1250" w:type="pct"/>
                  <w:tcBorders>
                    <w:tl2br w:val="nil"/>
                    <w:tr2bl w:val="nil"/>
                  </w:tcBorders>
                  <w:vAlign w:val="center"/>
                </w:tcPr>
                <w:p w14:paraId="3DBDE7A1">
                  <w:pPr>
                    <w:spacing w:line="276" w:lineRule="auto"/>
                    <w:jc w:val="center"/>
                    <w:rPr>
                      <w:rFonts w:ascii="Times New Roman" w:hAnsi="Times New Roman"/>
                      <w:color w:val="auto"/>
                      <w:spacing w:val="-2"/>
                      <w:szCs w:val="21"/>
                    </w:rPr>
                  </w:pPr>
                  <w:r>
                    <w:rPr>
                      <w:rFonts w:ascii="Times New Roman" w:hAnsi="Times New Roman"/>
                      <w:color w:val="auto"/>
                      <w:szCs w:val="21"/>
                    </w:rPr>
                    <w:t>提示标志</w:t>
                  </w:r>
                </w:p>
              </w:tc>
              <w:tc>
                <w:tcPr>
                  <w:tcW w:w="1250" w:type="pct"/>
                  <w:tcBorders>
                    <w:tl2br w:val="nil"/>
                    <w:tr2bl w:val="nil"/>
                  </w:tcBorders>
                  <w:vAlign w:val="center"/>
                </w:tcPr>
                <w:p w14:paraId="38E92D0F">
                  <w:pPr>
                    <w:spacing w:line="276" w:lineRule="auto"/>
                    <w:jc w:val="center"/>
                    <w:rPr>
                      <w:rFonts w:ascii="Times New Roman" w:hAnsi="Times New Roman"/>
                      <w:color w:val="auto"/>
                      <w:spacing w:val="-2"/>
                      <w:szCs w:val="21"/>
                    </w:rPr>
                  </w:pPr>
                  <w:r>
                    <w:rPr>
                      <w:rFonts w:ascii="Times New Roman" w:hAnsi="Times New Roman"/>
                      <w:color w:val="auto"/>
                      <w:szCs w:val="21"/>
                    </w:rPr>
                    <w:t>正方形边框</w:t>
                  </w:r>
                </w:p>
              </w:tc>
              <w:tc>
                <w:tcPr>
                  <w:tcW w:w="1250" w:type="pct"/>
                  <w:tcBorders>
                    <w:tl2br w:val="nil"/>
                    <w:tr2bl w:val="nil"/>
                  </w:tcBorders>
                  <w:vAlign w:val="center"/>
                </w:tcPr>
                <w:p w14:paraId="2022715C">
                  <w:pPr>
                    <w:spacing w:line="276" w:lineRule="auto"/>
                    <w:jc w:val="center"/>
                    <w:rPr>
                      <w:rFonts w:ascii="Times New Roman" w:hAnsi="Times New Roman"/>
                      <w:color w:val="auto"/>
                      <w:spacing w:val="-2"/>
                      <w:szCs w:val="21"/>
                    </w:rPr>
                  </w:pPr>
                  <w:r>
                    <w:rPr>
                      <w:rFonts w:ascii="Times New Roman" w:hAnsi="Times New Roman"/>
                      <w:color w:val="auto"/>
                      <w:szCs w:val="21"/>
                    </w:rPr>
                    <w:t>绿色</w:t>
                  </w:r>
                </w:p>
              </w:tc>
              <w:tc>
                <w:tcPr>
                  <w:tcW w:w="1250" w:type="pct"/>
                  <w:tcBorders>
                    <w:tl2br w:val="nil"/>
                    <w:tr2bl w:val="nil"/>
                  </w:tcBorders>
                  <w:vAlign w:val="center"/>
                </w:tcPr>
                <w:p w14:paraId="11080379">
                  <w:pPr>
                    <w:spacing w:line="276" w:lineRule="auto"/>
                    <w:jc w:val="center"/>
                    <w:rPr>
                      <w:rFonts w:ascii="Times New Roman" w:hAnsi="Times New Roman"/>
                      <w:color w:val="auto"/>
                      <w:spacing w:val="-2"/>
                      <w:szCs w:val="21"/>
                    </w:rPr>
                  </w:pPr>
                  <w:r>
                    <w:rPr>
                      <w:rFonts w:ascii="Times New Roman" w:hAnsi="Times New Roman"/>
                      <w:color w:val="auto"/>
                      <w:szCs w:val="21"/>
                    </w:rPr>
                    <w:t>白色</w:t>
                  </w:r>
                </w:p>
              </w:tc>
            </w:tr>
          </w:tbl>
          <w:p w14:paraId="77575957">
            <w:pPr>
              <w:spacing w:line="360" w:lineRule="auto"/>
              <w:ind w:firstLine="482" w:firstLineChars="200"/>
              <w:jc w:val="left"/>
              <w:rPr>
                <w:rFonts w:ascii="Times New Roman" w:hAnsi="Times New Roman" w:eastAsia="宋体" w:cs="Times New Roman"/>
                <w:b/>
                <w:bCs/>
                <w:color w:val="auto"/>
                <w:sz w:val="24"/>
                <w:szCs w:val="24"/>
              </w:rPr>
            </w:pPr>
          </w:p>
        </w:tc>
      </w:tr>
    </w:tbl>
    <w:p w14:paraId="32ACC902">
      <w:pPr>
        <w:widowControl/>
        <w:spacing w:before="100" w:beforeAutospacing="1" w:after="100" w:afterAutospacing="1"/>
        <w:jc w:val="center"/>
        <w:outlineLvl w:val="0"/>
        <w:rPr>
          <w:rFonts w:ascii="Times New Roman" w:hAnsi="Times New Roman" w:eastAsia="黑体" w:cs="Times New Roman"/>
          <w:snapToGrid w:val="0"/>
          <w:kern w:val="0"/>
          <w:sz w:val="30"/>
          <w:szCs w:val="30"/>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B667675">
      <w:pPr>
        <w:widowControl/>
        <w:spacing w:before="100" w:beforeAutospacing="1" w:after="100" w:afterAutospacing="1"/>
        <w:jc w:val="center"/>
        <w:outlineLvl w:val="0"/>
        <w:rPr>
          <w:rFonts w:ascii="Times New Roman" w:hAnsi="Times New Roman" w:eastAsia="黑体" w:cs="Times New Roman"/>
          <w:snapToGrid w:val="0"/>
          <w:kern w:val="0"/>
          <w:sz w:val="30"/>
          <w:szCs w:val="30"/>
        </w:rPr>
      </w:pPr>
      <w:r>
        <w:rPr>
          <w:rFonts w:ascii="Times New Roman" w:hAnsi="Times New Roman" w:eastAsia="黑体" w:cs="Times New Roman"/>
          <w:snapToGrid w:val="0"/>
          <w:kern w:val="0"/>
          <w:sz w:val="30"/>
          <w:szCs w:val="30"/>
        </w:rPr>
        <w:t>五、</w:t>
      </w:r>
      <w:bookmarkStart w:id="1" w:name="_Hlk54167917"/>
      <w:r>
        <w:rPr>
          <w:rFonts w:ascii="Times New Roman" w:hAnsi="Times New Roman" w:eastAsia="黑体" w:cs="Times New Roman"/>
          <w:snapToGrid w:val="0"/>
          <w:kern w:val="0"/>
          <w:sz w:val="30"/>
          <w:szCs w:val="30"/>
        </w:rPr>
        <w:t>环境保护措施监督检查清单</w:t>
      </w:r>
      <w:bookmarkEnd w:id="1"/>
    </w:p>
    <w:tbl>
      <w:tblPr>
        <w:tblStyle w:val="17"/>
        <w:tblW w:w="88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559"/>
        <w:gridCol w:w="1418"/>
        <w:gridCol w:w="1701"/>
        <w:gridCol w:w="3166"/>
      </w:tblGrid>
      <w:tr w14:paraId="28BDB1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tcBorders>
              <w:tl2br w:val="single" w:color="auto" w:sz="4" w:space="0"/>
            </w:tcBorders>
          </w:tcPr>
          <w:p w14:paraId="2678685F">
            <w:pPr>
              <w:spacing w:line="360" w:lineRule="auto"/>
              <w:jc w:val="right"/>
              <w:rPr>
                <w:rFonts w:ascii="Times New Roman" w:hAnsi="Times New Roman" w:eastAsia="宋体" w:cs="Times New Roman"/>
                <w:b/>
                <w:sz w:val="24"/>
                <w:szCs w:val="24"/>
              </w:rPr>
            </w:pPr>
            <w:r>
              <w:rPr>
                <w:rFonts w:ascii="Times New Roman" w:hAnsi="Times New Roman" w:eastAsia="宋体" w:cs="Times New Roman"/>
                <w:b/>
                <w:sz w:val="24"/>
                <w:szCs w:val="24"/>
              </w:rPr>
              <w:t>内容</w:t>
            </w:r>
          </w:p>
          <w:p w14:paraId="22A07201">
            <w:pPr>
              <w:spacing w:line="360" w:lineRule="auto"/>
              <w:jc w:val="left"/>
              <w:rPr>
                <w:rFonts w:ascii="Times New Roman" w:hAnsi="Times New Roman" w:eastAsia="宋体" w:cs="Times New Roman"/>
                <w:b/>
                <w:sz w:val="24"/>
                <w:szCs w:val="24"/>
              </w:rPr>
            </w:pPr>
          </w:p>
          <w:p w14:paraId="4F57C5ED">
            <w:pPr>
              <w:spacing w:line="360" w:lineRule="auto"/>
              <w:jc w:val="left"/>
              <w:rPr>
                <w:rFonts w:ascii="Times New Roman" w:hAnsi="Times New Roman" w:eastAsia="宋体" w:cs="Times New Roman"/>
                <w:b/>
                <w:sz w:val="24"/>
                <w:szCs w:val="24"/>
              </w:rPr>
            </w:pPr>
            <w:r>
              <w:rPr>
                <w:rFonts w:ascii="Times New Roman" w:hAnsi="Times New Roman" w:eastAsia="宋体" w:cs="Times New Roman"/>
                <w:b/>
                <w:sz w:val="24"/>
                <w:szCs w:val="24"/>
              </w:rPr>
              <w:t>要素</w:t>
            </w:r>
          </w:p>
        </w:tc>
        <w:tc>
          <w:tcPr>
            <w:tcW w:w="1559" w:type="dxa"/>
            <w:vAlign w:val="center"/>
          </w:tcPr>
          <w:p w14:paraId="63F12E49">
            <w:pPr>
              <w:spacing w:line="360" w:lineRule="auto"/>
              <w:jc w:val="center"/>
              <w:rPr>
                <w:rFonts w:ascii="Times New Roman" w:hAnsi="Times New Roman" w:eastAsia="宋体" w:cs="Times New Roman"/>
                <w:b/>
                <w:sz w:val="24"/>
                <w:szCs w:val="24"/>
              </w:rPr>
            </w:pPr>
            <w:r>
              <w:rPr>
                <w:rFonts w:ascii="Times New Roman" w:hAnsi="Times New Roman" w:eastAsia="宋体" w:cs="Times New Roman"/>
                <w:b/>
                <w:sz w:val="24"/>
                <w:szCs w:val="24"/>
              </w:rPr>
              <w:t>排放口(编号、名称)/污染源</w:t>
            </w:r>
          </w:p>
        </w:tc>
        <w:tc>
          <w:tcPr>
            <w:tcW w:w="1418" w:type="dxa"/>
            <w:vAlign w:val="center"/>
          </w:tcPr>
          <w:p w14:paraId="69CC617F">
            <w:pPr>
              <w:spacing w:line="360" w:lineRule="auto"/>
              <w:jc w:val="center"/>
              <w:rPr>
                <w:rFonts w:ascii="Times New Roman" w:hAnsi="Times New Roman" w:eastAsia="宋体" w:cs="Times New Roman"/>
                <w:b/>
                <w:sz w:val="24"/>
                <w:szCs w:val="24"/>
              </w:rPr>
            </w:pPr>
            <w:r>
              <w:rPr>
                <w:rFonts w:ascii="Times New Roman" w:hAnsi="Times New Roman" w:eastAsia="宋体" w:cs="Times New Roman"/>
                <w:b/>
                <w:sz w:val="24"/>
                <w:szCs w:val="24"/>
              </w:rPr>
              <w:t>污染物项目</w:t>
            </w:r>
          </w:p>
        </w:tc>
        <w:tc>
          <w:tcPr>
            <w:tcW w:w="1701" w:type="dxa"/>
            <w:vAlign w:val="center"/>
          </w:tcPr>
          <w:p w14:paraId="17B4DC2F">
            <w:pPr>
              <w:spacing w:line="360" w:lineRule="auto"/>
              <w:jc w:val="center"/>
              <w:rPr>
                <w:rFonts w:ascii="Times New Roman" w:hAnsi="Times New Roman" w:eastAsia="宋体" w:cs="Times New Roman"/>
                <w:b/>
                <w:sz w:val="24"/>
                <w:szCs w:val="24"/>
              </w:rPr>
            </w:pPr>
            <w:r>
              <w:rPr>
                <w:rFonts w:ascii="Times New Roman" w:hAnsi="Times New Roman" w:eastAsia="宋体" w:cs="Times New Roman"/>
                <w:b/>
                <w:sz w:val="24"/>
                <w:szCs w:val="24"/>
              </w:rPr>
              <w:t>环境保护措施</w:t>
            </w:r>
          </w:p>
        </w:tc>
        <w:tc>
          <w:tcPr>
            <w:tcW w:w="3166" w:type="dxa"/>
            <w:vAlign w:val="center"/>
          </w:tcPr>
          <w:p w14:paraId="288E3381">
            <w:pPr>
              <w:spacing w:line="360" w:lineRule="auto"/>
              <w:jc w:val="center"/>
              <w:rPr>
                <w:rFonts w:ascii="Times New Roman" w:hAnsi="Times New Roman" w:eastAsia="宋体" w:cs="Times New Roman"/>
                <w:b/>
                <w:sz w:val="24"/>
                <w:szCs w:val="24"/>
              </w:rPr>
            </w:pPr>
            <w:r>
              <w:rPr>
                <w:rFonts w:ascii="Times New Roman" w:hAnsi="Times New Roman" w:eastAsia="宋体" w:cs="Times New Roman"/>
                <w:b/>
                <w:sz w:val="24"/>
                <w:szCs w:val="24"/>
              </w:rPr>
              <w:t>执行标准</w:t>
            </w:r>
          </w:p>
        </w:tc>
      </w:tr>
      <w:tr w14:paraId="54BEE3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635" w:hRule="atLeast"/>
          <w:jc w:val="center"/>
        </w:trPr>
        <w:tc>
          <w:tcPr>
            <w:tcW w:w="956" w:type="dxa"/>
            <w:vMerge w:val="restart"/>
            <w:vAlign w:val="center"/>
          </w:tcPr>
          <w:p w14:paraId="5D068B99">
            <w:pPr>
              <w:spacing w:line="360" w:lineRule="auto"/>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大气环境</w:t>
            </w:r>
          </w:p>
        </w:tc>
        <w:tc>
          <w:tcPr>
            <w:tcW w:w="1559" w:type="dxa"/>
            <w:vMerge w:val="restart"/>
            <w:vAlign w:val="center"/>
          </w:tcPr>
          <w:p w14:paraId="2D751A65">
            <w:pPr>
              <w:spacing w:line="440" w:lineRule="exact"/>
              <w:jc w:val="center"/>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DA001排气筒/调底漆废气（G</w:t>
            </w:r>
            <w:r>
              <w:rPr>
                <w:rFonts w:hint="eastAsia" w:ascii="Times New Roman" w:hAnsi="Times New Roman" w:eastAsia="宋体" w:cs="Times New Roman"/>
                <w:color w:val="auto"/>
                <w:sz w:val="24"/>
                <w:szCs w:val="24"/>
                <w:vertAlign w:val="subscript"/>
              </w:rPr>
              <w:t>1</w:t>
            </w:r>
            <w:r>
              <w:rPr>
                <w:rFonts w:hint="eastAsia" w:ascii="Times New Roman" w:hAnsi="Times New Roman" w:eastAsia="宋体" w:cs="Times New Roman"/>
                <w:color w:val="auto"/>
                <w:sz w:val="24"/>
                <w:szCs w:val="24"/>
              </w:rPr>
              <w:t>）/喷底漆废气（G</w:t>
            </w:r>
            <w:r>
              <w:rPr>
                <w:rFonts w:hint="eastAsia" w:ascii="Times New Roman" w:hAnsi="Times New Roman" w:eastAsia="宋体" w:cs="Times New Roman"/>
                <w:color w:val="auto"/>
                <w:sz w:val="24"/>
                <w:szCs w:val="24"/>
                <w:vertAlign w:val="subscript"/>
              </w:rPr>
              <w:t>2</w:t>
            </w:r>
            <w:r>
              <w:rPr>
                <w:rFonts w:hint="eastAsia" w:ascii="Times New Roman" w:hAnsi="Times New Roman" w:eastAsia="宋体" w:cs="Times New Roman"/>
                <w:color w:val="auto"/>
                <w:sz w:val="24"/>
                <w:szCs w:val="24"/>
              </w:rPr>
              <w:t>）/烘干废气（G</w:t>
            </w:r>
            <w:r>
              <w:rPr>
                <w:rFonts w:hint="eastAsia" w:ascii="Times New Roman" w:hAnsi="Times New Roman" w:eastAsia="宋体" w:cs="Times New Roman"/>
                <w:color w:val="auto"/>
                <w:sz w:val="24"/>
                <w:szCs w:val="24"/>
                <w:vertAlign w:val="subscript"/>
              </w:rPr>
              <w:t>3</w:t>
            </w:r>
            <w:r>
              <w:rPr>
                <w:rFonts w:hint="eastAsia" w:ascii="Times New Roman" w:hAnsi="Times New Roman" w:eastAsia="宋体" w:cs="Times New Roman"/>
                <w:color w:val="auto"/>
                <w:sz w:val="24"/>
                <w:szCs w:val="24"/>
              </w:rPr>
              <w:t>）/调面漆废气（G</w:t>
            </w:r>
            <w:r>
              <w:rPr>
                <w:rFonts w:hint="eastAsia" w:ascii="Times New Roman" w:hAnsi="Times New Roman" w:eastAsia="宋体" w:cs="Times New Roman"/>
                <w:color w:val="auto"/>
                <w:sz w:val="24"/>
                <w:szCs w:val="24"/>
                <w:vertAlign w:val="subscript"/>
              </w:rPr>
              <w:t>4</w:t>
            </w:r>
            <w:r>
              <w:rPr>
                <w:rFonts w:hint="eastAsia" w:ascii="Times New Roman" w:hAnsi="Times New Roman" w:eastAsia="宋体" w:cs="Times New Roman"/>
                <w:color w:val="auto"/>
                <w:sz w:val="24"/>
                <w:szCs w:val="24"/>
              </w:rPr>
              <w:t>）/喷面漆废气（G</w:t>
            </w:r>
            <w:r>
              <w:rPr>
                <w:rFonts w:hint="eastAsia" w:ascii="Times New Roman" w:hAnsi="Times New Roman" w:eastAsia="宋体" w:cs="Times New Roman"/>
                <w:color w:val="auto"/>
                <w:sz w:val="24"/>
                <w:szCs w:val="24"/>
                <w:vertAlign w:val="subscript"/>
              </w:rPr>
              <w:t>5</w:t>
            </w:r>
            <w:r>
              <w:rPr>
                <w:rFonts w:hint="eastAsia" w:ascii="Times New Roman" w:hAnsi="Times New Roman" w:eastAsia="宋体" w:cs="Times New Roman"/>
                <w:color w:val="auto"/>
                <w:sz w:val="24"/>
                <w:szCs w:val="24"/>
              </w:rPr>
              <w:t>）/危险废物暂存间废气</w:t>
            </w:r>
          </w:p>
        </w:tc>
        <w:tc>
          <w:tcPr>
            <w:tcW w:w="1418" w:type="dxa"/>
            <w:vAlign w:val="center"/>
          </w:tcPr>
          <w:p w14:paraId="7BA18744">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颗粒物</w:t>
            </w:r>
          </w:p>
        </w:tc>
        <w:tc>
          <w:tcPr>
            <w:tcW w:w="1701" w:type="dxa"/>
            <w:vMerge w:val="restart"/>
            <w:vAlign w:val="center"/>
          </w:tcPr>
          <w:p w14:paraId="2DC5A53B">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喷漆废气经水帘除漆雾装置+两级过滤棉过滤后，和调漆废气、烘干废气</w:t>
            </w:r>
            <w:r>
              <w:rPr>
                <w:rFonts w:hint="eastAsia" w:ascii="Times New Roman" w:hAnsi="Times New Roman" w:eastAsia="宋体" w:cs="Times New Roman"/>
                <w:color w:val="auto"/>
                <w:sz w:val="24"/>
                <w:szCs w:val="24"/>
              </w:rPr>
              <w:t>、危险废物暂存间废气</w:t>
            </w:r>
            <w:r>
              <w:rPr>
                <w:rFonts w:ascii="Times New Roman" w:hAnsi="Times New Roman" w:eastAsia="宋体" w:cs="Times New Roman"/>
                <w:color w:val="auto"/>
                <w:sz w:val="24"/>
                <w:szCs w:val="24"/>
              </w:rPr>
              <w:t>一起进入两级活性炭吸附装置</w:t>
            </w:r>
          </w:p>
        </w:tc>
        <w:tc>
          <w:tcPr>
            <w:tcW w:w="3166" w:type="dxa"/>
            <w:vAlign w:val="center"/>
          </w:tcPr>
          <w:p w14:paraId="0F5B089C">
            <w:pPr>
              <w:widowControl/>
              <w:spacing w:line="360" w:lineRule="auto"/>
              <w:jc w:val="center"/>
              <w:rPr>
                <w:rFonts w:ascii="Times New Roman" w:hAnsi="Times New Roman" w:eastAsia="宋体" w:cs="Times New Roman"/>
                <w:bCs/>
                <w:color w:val="auto"/>
                <w:kern w:val="0"/>
                <w:sz w:val="24"/>
                <w:szCs w:val="24"/>
              </w:rPr>
            </w:pPr>
            <w:r>
              <w:rPr>
                <w:rFonts w:hint="eastAsia" w:ascii="Times New Roman" w:hAnsi="Times New Roman" w:eastAsia="宋体" w:cs="Times New Roman"/>
                <w:bCs/>
                <w:color w:val="auto"/>
                <w:kern w:val="0"/>
                <w:sz w:val="24"/>
                <w:szCs w:val="24"/>
              </w:rPr>
              <w:t>《大气污染物综合排放标准》（GB16297-1996）表2中二级标准限值</w:t>
            </w:r>
          </w:p>
        </w:tc>
      </w:tr>
      <w:tr w14:paraId="199F5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5" w:hRule="atLeast"/>
          <w:jc w:val="center"/>
        </w:trPr>
        <w:tc>
          <w:tcPr>
            <w:tcW w:w="956" w:type="dxa"/>
            <w:vMerge w:val="continue"/>
            <w:vAlign w:val="center"/>
          </w:tcPr>
          <w:p w14:paraId="3EF97E3E">
            <w:pPr>
              <w:spacing w:line="440" w:lineRule="exact"/>
              <w:jc w:val="center"/>
              <w:rPr>
                <w:color w:val="auto"/>
              </w:rPr>
            </w:pPr>
          </w:p>
        </w:tc>
        <w:tc>
          <w:tcPr>
            <w:tcW w:w="1559" w:type="dxa"/>
            <w:vMerge w:val="continue"/>
            <w:vAlign w:val="center"/>
          </w:tcPr>
          <w:p w14:paraId="521C6A2B">
            <w:pPr>
              <w:spacing w:line="440" w:lineRule="exact"/>
              <w:jc w:val="center"/>
              <w:rPr>
                <w:color w:val="auto"/>
              </w:rPr>
            </w:pPr>
          </w:p>
        </w:tc>
        <w:tc>
          <w:tcPr>
            <w:tcW w:w="1418" w:type="dxa"/>
            <w:vAlign w:val="center"/>
          </w:tcPr>
          <w:p w14:paraId="5C279D94">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非甲烷总烃</w:t>
            </w:r>
          </w:p>
        </w:tc>
        <w:tc>
          <w:tcPr>
            <w:tcW w:w="1701" w:type="dxa"/>
            <w:vMerge w:val="continue"/>
            <w:vAlign w:val="center"/>
          </w:tcPr>
          <w:p w14:paraId="625A14EF">
            <w:pPr>
              <w:spacing w:line="440" w:lineRule="exact"/>
              <w:jc w:val="center"/>
              <w:rPr>
                <w:rFonts w:ascii="Times New Roman" w:hAnsi="Times New Roman" w:eastAsia="宋体" w:cs="Times New Roman"/>
                <w:color w:val="auto"/>
                <w:sz w:val="24"/>
                <w:szCs w:val="24"/>
              </w:rPr>
            </w:pPr>
          </w:p>
        </w:tc>
        <w:tc>
          <w:tcPr>
            <w:tcW w:w="3166" w:type="dxa"/>
            <w:vAlign w:val="center"/>
          </w:tcPr>
          <w:p w14:paraId="260ADAF2">
            <w:pPr>
              <w:spacing w:line="440" w:lineRule="exact"/>
              <w:jc w:val="center"/>
              <w:rPr>
                <w:rFonts w:ascii="Times New Roman" w:hAnsi="Times New Roman" w:eastAsia="宋体" w:cs="Times New Roman"/>
                <w:color w:val="auto"/>
                <w:sz w:val="24"/>
                <w:szCs w:val="24"/>
              </w:rPr>
            </w:pPr>
            <w:r>
              <w:rPr>
                <w:rFonts w:hint="eastAsia" w:ascii="Times New Roman" w:hAnsi="Times New Roman" w:eastAsia="宋体" w:cs="Times New Roman"/>
                <w:bCs/>
                <w:color w:val="auto"/>
                <w:kern w:val="0"/>
                <w:sz w:val="24"/>
                <w:szCs w:val="24"/>
              </w:rPr>
              <w:t>《固定源挥发性有机物综合排放标准第6部分：其他行业》（DB34/4812.6-2024）中表1对应大气污染物排放限值</w:t>
            </w:r>
          </w:p>
        </w:tc>
      </w:tr>
      <w:tr w14:paraId="34454D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15" w:hRule="atLeast"/>
          <w:jc w:val="center"/>
        </w:trPr>
        <w:tc>
          <w:tcPr>
            <w:tcW w:w="956" w:type="dxa"/>
            <w:vMerge w:val="continue"/>
            <w:vAlign w:val="center"/>
          </w:tcPr>
          <w:p w14:paraId="4F27835E">
            <w:pPr>
              <w:spacing w:line="440" w:lineRule="exact"/>
              <w:jc w:val="center"/>
              <w:rPr>
                <w:color w:val="auto"/>
              </w:rPr>
            </w:pPr>
          </w:p>
        </w:tc>
        <w:tc>
          <w:tcPr>
            <w:tcW w:w="1559" w:type="dxa"/>
            <w:vAlign w:val="center"/>
          </w:tcPr>
          <w:p w14:paraId="6B163346">
            <w:pPr>
              <w:spacing w:line="440" w:lineRule="exact"/>
              <w:jc w:val="center"/>
              <w:rPr>
                <w:color w:val="auto"/>
                <w:sz w:val="24"/>
                <w:szCs w:val="24"/>
              </w:rPr>
            </w:pPr>
            <w:r>
              <w:rPr>
                <w:rFonts w:ascii="Times New Roman" w:hAnsi="Times New Roman" w:eastAsia="宋体" w:cs="Times New Roman"/>
                <w:color w:val="auto"/>
                <w:sz w:val="24"/>
                <w:szCs w:val="24"/>
              </w:rPr>
              <w:t>厂界无组织废气</w:t>
            </w:r>
          </w:p>
        </w:tc>
        <w:tc>
          <w:tcPr>
            <w:tcW w:w="1418" w:type="dxa"/>
            <w:vAlign w:val="center"/>
          </w:tcPr>
          <w:p w14:paraId="19E39FB9">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颗粒物、非甲烷总烃</w:t>
            </w:r>
          </w:p>
        </w:tc>
        <w:tc>
          <w:tcPr>
            <w:tcW w:w="1701" w:type="dxa"/>
            <w:vMerge w:val="continue"/>
            <w:vAlign w:val="center"/>
          </w:tcPr>
          <w:p w14:paraId="3679BF6E">
            <w:pPr>
              <w:spacing w:line="440" w:lineRule="exact"/>
              <w:jc w:val="center"/>
              <w:rPr>
                <w:rFonts w:ascii="Times New Roman" w:hAnsi="Times New Roman" w:eastAsia="宋体" w:cs="Times New Roman"/>
                <w:color w:val="auto"/>
                <w:sz w:val="24"/>
                <w:szCs w:val="24"/>
              </w:rPr>
            </w:pPr>
          </w:p>
        </w:tc>
        <w:tc>
          <w:tcPr>
            <w:tcW w:w="3166" w:type="dxa"/>
            <w:vAlign w:val="center"/>
          </w:tcPr>
          <w:p w14:paraId="69154330">
            <w:pPr>
              <w:spacing w:line="440" w:lineRule="exact"/>
              <w:jc w:val="center"/>
              <w:rPr>
                <w:rFonts w:ascii="Times New Roman" w:hAnsi="Times New Roman" w:eastAsia="宋体" w:cs="Times New Roman"/>
                <w:color w:val="auto"/>
                <w:sz w:val="24"/>
                <w:szCs w:val="24"/>
              </w:rPr>
            </w:pPr>
            <w:r>
              <w:rPr>
                <w:rFonts w:hint="eastAsia" w:ascii="Times New Roman" w:hAnsi="Times New Roman" w:eastAsia="宋体" w:cs="Times New Roman"/>
                <w:bCs/>
                <w:color w:val="auto"/>
                <w:kern w:val="0"/>
                <w:sz w:val="24"/>
                <w:szCs w:val="24"/>
              </w:rPr>
              <w:t>《大气污染物综合排放标准》（GB16297-1996）表2中无组织排放监控浓度限值</w:t>
            </w:r>
          </w:p>
        </w:tc>
      </w:tr>
      <w:tr w14:paraId="1748AE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956" w:type="dxa"/>
            <w:vMerge w:val="continue"/>
            <w:vAlign w:val="center"/>
          </w:tcPr>
          <w:p w14:paraId="7897F668">
            <w:pPr>
              <w:spacing w:line="360" w:lineRule="auto"/>
              <w:jc w:val="center"/>
              <w:rPr>
                <w:rFonts w:ascii="Times New Roman" w:hAnsi="Times New Roman" w:eastAsia="宋体" w:cs="Times New Roman"/>
                <w:color w:val="auto"/>
                <w:sz w:val="24"/>
                <w:szCs w:val="24"/>
              </w:rPr>
            </w:pPr>
          </w:p>
        </w:tc>
        <w:tc>
          <w:tcPr>
            <w:tcW w:w="1559" w:type="dxa"/>
            <w:vAlign w:val="center"/>
          </w:tcPr>
          <w:p w14:paraId="069FDA43">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厂区内无组织废气</w:t>
            </w:r>
          </w:p>
        </w:tc>
        <w:tc>
          <w:tcPr>
            <w:tcW w:w="1418" w:type="dxa"/>
            <w:vAlign w:val="center"/>
          </w:tcPr>
          <w:p w14:paraId="115FEABD">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非甲烷总烃</w:t>
            </w:r>
          </w:p>
        </w:tc>
        <w:tc>
          <w:tcPr>
            <w:tcW w:w="1701" w:type="dxa"/>
            <w:vAlign w:val="center"/>
          </w:tcPr>
          <w:p w14:paraId="25AF7DF1">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w:t>
            </w:r>
          </w:p>
        </w:tc>
        <w:tc>
          <w:tcPr>
            <w:tcW w:w="3166" w:type="dxa"/>
            <w:vAlign w:val="center"/>
          </w:tcPr>
          <w:p w14:paraId="14466029">
            <w:pPr>
              <w:topLinePunct/>
              <w:autoSpaceDE w:val="0"/>
              <w:autoSpaceDN w:val="0"/>
              <w:spacing w:line="440" w:lineRule="exact"/>
              <w:jc w:val="center"/>
              <w:rPr>
                <w:rFonts w:ascii="Times New Roman" w:hAnsi="Times New Roman" w:eastAsia="宋体" w:cs="Times New Roman"/>
                <w:color w:val="auto"/>
                <w:sz w:val="24"/>
                <w:szCs w:val="24"/>
              </w:rPr>
            </w:pPr>
            <w:r>
              <w:rPr>
                <w:rFonts w:hint="eastAsia" w:ascii="Times New Roman" w:hAnsi="Times New Roman"/>
                <w:color w:val="auto"/>
                <w:sz w:val="24"/>
              </w:rPr>
              <w:t>《挥发性有机物无组织排</w:t>
            </w:r>
            <w:r>
              <w:rPr>
                <w:rFonts w:ascii="Times New Roman" w:hAnsi="Times New Roman"/>
                <w:color w:val="auto"/>
                <w:sz w:val="24"/>
              </w:rPr>
              <w:t>放控制标准》（</w:t>
            </w:r>
            <w:r>
              <w:rPr>
                <w:rFonts w:ascii="Times New Roman" w:hAnsi="Times New Roman" w:cs="Times New Roman"/>
                <w:color w:val="auto"/>
                <w:sz w:val="24"/>
              </w:rPr>
              <w:t>GB37822-2019）中附录A中表A.1规定的特别排放限值</w:t>
            </w:r>
          </w:p>
        </w:tc>
      </w:tr>
      <w:tr w14:paraId="283A05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Align w:val="center"/>
          </w:tcPr>
          <w:p w14:paraId="041970F6">
            <w:pPr>
              <w:spacing w:line="360" w:lineRule="auto"/>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地表水环境</w:t>
            </w:r>
          </w:p>
        </w:tc>
        <w:tc>
          <w:tcPr>
            <w:tcW w:w="1559" w:type="dxa"/>
            <w:vAlign w:val="center"/>
          </w:tcPr>
          <w:p w14:paraId="22A4F91C">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生活污水</w:t>
            </w:r>
          </w:p>
        </w:tc>
        <w:tc>
          <w:tcPr>
            <w:tcW w:w="1418" w:type="dxa"/>
            <w:vAlign w:val="center"/>
          </w:tcPr>
          <w:p w14:paraId="74A07862">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COD</w:t>
            </w:r>
            <w:r>
              <w:rPr>
                <w:rFonts w:ascii="Times New Roman" w:hAnsi="Times New Roman" w:eastAsia="宋体" w:cs="Times New Roman"/>
                <w:color w:val="auto"/>
                <w:sz w:val="24"/>
                <w:szCs w:val="24"/>
                <w:vertAlign w:val="subscript"/>
              </w:rPr>
              <w:t>Cr</w:t>
            </w:r>
            <w:r>
              <w:rPr>
                <w:rFonts w:ascii="Times New Roman" w:hAnsi="Times New Roman" w:eastAsia="宋体" w:cs="Times New Roman"/>
                <w:color w:val="auto"/>
                <w:sz w:val="24"/>
                <w:szCs w:val="24"/>
              </w:rPr>
              <w:t>、BOD</w:t>
            </w:r>
            <w:r>
              <w:rPr>
                <w:rFonts w:ascii="Times New Roman" w:hAnsi="Times New Roman" w:eastAsia="宋体" w:cs="Times New Roman"/>
                <w:color w:val="auto"/>
                <w:sz w:val="24"/>
                <w:szCs w:val="24"/>
                <w:vertAlign w:val="subscript"/>
              </w:rPr>
              <w:t>5</w:t>
            </w:r>
            <w:r>
              <w:rPr>
                <w:rFonts w:ascii="Times New Roman" w:hAnsi="Times New Roman" w:eastAsia="宋体" w:cs="Times New Roman"/>
                <w:color w:val="auto"/>
                <w:sz w:val="24"/>
                <w:szCs w:val="24"/>
              </w:rPr>
              <w:t>、SS、NH</w:t>
            </w:r>
            <w:r>
              <w:rPr>
                <w:rFonts w:ascii="Times New Roman" w:hAnsi="Times New Roman" w:eastAsia="宋体" w:cs="Times New Roman"/>
                <w:color w:val="auto"/>
                <w:sz w:val="24"/>
                <w:szCs w:val="24"/>
                <w:vertAlign w:val="subscript"/>
              </w:rPr>
              <w:t>3</w:t>
            </w:r>
            <w:r>
              <w:rPr>
                <w:rFonts w:ascii="Times New Roman" w:hAnsi="Times New Roman" w:eastAsia="宋体" w:cs="Times New Roman"/>
                <w:color w:val="auto"/>
                <w:sz w:val="24"/>
                <w:szCs w:val="24"/>
              </w:rPr>
              <w:t>-N</w:t>
            </w:r>
          </w:p>
        </w:tc>
        <w:tc>
          <w:tcPr>
            <w:tcW w:w="1701" w:type="dxa"/>
            <w:vAlign w:val="center"/>
          </w:tcPr>
          <w:p w14:paraId="43008FCA">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生活污水经化粪池预处理后排入八公山</w:t>
            </w:r>
            <w:r>
              <w:rPr>
                <w:rFonts w:hint="eastAsia" w:ascii="Times New Roman" w:hAnsi="Times New Roman" w:eastAsia="宋体" w:cs="Times New Roman"/>
                <w:color w:val="auto"/>
                <w:sz w:val="24"/>
                <w:szCs w:val="24"/>
              </w:rPr>
              <w:t>厂</w:t>
            </w:r>
            <w:r>
              <w:rPr>
                <w:rFonts w:ascii="Times New Roman" w:hAnsi="Times New Roman" w:eastAsia="宋体" w:cs="Times New Roman"/>
                <w:color w:val="auto"/>
                <w:sz w:val="24"/>
                <w:szCs w:val="24"/>
              </w:rPr>
              <w:t>处理</w:t>
            </w:r>
          </w:p>
        </w:tc>
        <w:tc>
          <w:tcPr>
            <w:tcW w:w="3166" w:type="dxa"/>
            <w:vAlign w:val="center"/>
          </w:tcPr>
          <w:p w14:paraId="1387033C">
            <w:pPr>
              <w:spacing w:line="440" w:lineRule="exact"/>
              <w:jc w:val="center"/>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外排废水</w:t>
            </w:r>
            <w:r>
              <w:rPr>
                <w:rFonts w:ascii="Times New Roman" w:hAnsi="Times New Roman" w:eastAsia="宋体" w:cs="Times New Roman"/>
                <w:color w:val="auto"/>
                <w:sz w:val="24"/>
                <w:szCs w:val="24"/>
              </w:rPr>
              <w:t>接管满足八公山污水处理</w:t>
            </w:r>
            <w:r>
              <w:rPr>
                <w:rFonts w:hint="eastAsia" w:ascii="Times New Roman" w:hAnsi="Times New Roman" w:eastAsia="宋体" w:cs="Times New Roman"/>
                <w:color w:val="auto"/>
                <w:sz w:val="24"/>
                <w:szCs w:val="24"/>
              </w:rPr>
              <w:t>厂接管</w:t>
            </w:r>
            <w:r>
              <w:rPr>
                <w:rFonts w:ascii="Times New Roman" w:hAnsi="Times New Roman" w:eastAsia="宋体" w:cs="Times New Roman"/>
                <w:color w:val="auto"/>
                <w:sz w:val="24"/>
                <w:szCs w:val="24"/>
              </w:rPr>
              <w:t>浓度</w:t>
            </w:r>
            <w:r>
              <w:rPr>
                <w:rFonts w:hint="eastAsia" w:ascii="Times New Roman" w:hAnsi="Times New Roman" w:eastAsia="宋体" w:cs="Times New Roman"/>
                <w:color w:val="auto"/>
                <w:sz w:val="24"/>
                <w:szCs w:val="24"/>
              </w:rPr>
              <w:t>限值要求</w:t>
            </w:r>
          </w:p>
        </w:tc>
      </w:tr>
      <w:tr w14:paraId="523B79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Align w:val="center"/>
          </w:tcPr>
          <w:p w14:paraId="31EAE86E">
            <w:pPr>
              <w:spacing w:line="360" w:lineRule="auto"/>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声环境</w:t>
            </w:r>
          </w:p>
        </w:tc>
        <w:tc>
          <w:tcPr>
            <w:tcW w:w="1559" w:type="dxa"/>
            <w:vAlign w:val="center"/>
          </w:tcPr>
          <w:p w14:paraId="7289909E">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设备噪声</w:t>
            </w:r>
          </w:p>
        </w:tc>
        <w:tc>
          <w:tcPr>
            <w:tcW w:w="1418" w:type="dxa"/>
            <w:vAlign w:val="center"/>
          </w:tcPr>
          <w:p w14:paraId="1E42A954">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噪声</w:t>
            </w:r>
          </w:p>
        </w:tc>
        <w:tc>
          <w:tcPr>
            <w:tcW w:w="1701" w:type="dxa"/>
            <w:vAlign w:val="center"/>
          </w:tcPr>
          <w:p w14:paraId="68872FBB">
            <w:pPr>
              <w:spacing w:line="440" w:lineRule="exact"/>
              <w:jc w:val="center"/>
              <w:rPr>
                <w:rFonts w:ascii="Times New Roman" w:hAnsi="Times New Roman" w:eastAsia="宋体" w:cs="Times New Roman"/>
                <w:color w:val="auto"/>
                <w:sz w:val="24"/>
                <w:szCs w:val="24"/>
              </w:rPr>
            </w:pPr>
            <w:r>
              <w:rPr>
                <w:rFonts w:ascii="Times New Roman" w:hAnsi="Times New Roman" w:eastAsia="宋体" w:cs="Times New Roman"/>
                <w:color w:val="auto"/>
                <w:kern w:val="0"/>
                <w:sz w:val="24"/>
                <w:szCs w:val="24"/>
              </w:rPr>
              <w:t>减振、隔声、消声措施</w:t>
            </w:r>
          </w:p>
        </w:tc>
        <w:tc>
          <w:tcPr>
            <w:tcW w:w="3166" w:type="dxa"/>
            <w:vAlign w:val="center"/>
          </w:tcPr>
          <w:p w14:paraId="44911DEC">
            <w:pPr>
              <w:spacing w:line="440" w:lineRule="exact"/>
              <w:ind w:right="-105" w:rightChars="-50"/>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《工业企业厂界环境噪声排放标准》（GB12348-2008）中3类标准</w:t>
            </w:r>
          </w:p>
        </w:tc>
      </w:tr>
      <w:tr w14:paraId="5AC42A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Align w:val="center"/>
          </w:tcPr>
          <w:p w14:paraId="6991773B">
            <w:pPr>
              <w:spacing w:line="360" w:lineRule="auto"/>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固体废物</w:t>
            </w:r>
          </w:p>
        </w:tc>
        <w:tc>
          <w:tcPr>
            <w:tcW w:w="7844" w:type="dxa"/>
            <w:gridSpan w:val="4"/>
          </w:tcPr>
          <w:p w14:paraId="2530EFD5">
            <w:pPr>
              <w:spacing w:line="360" w:lineRule="auto"/>
              <w:ind w:firstLine="480" w:firstLineChars="200"/>
              <w:rPr>
                <w:rFonts w:ascii="Times New Roman" w:hAnsi="Times New Roman" w:eastAsia="宋体" w:cs="Times New Roman"/>
                <w:bCs/>
                <w:color w:val="auto"/>
                <w:sz w:val="24"/>
                <w:szCs w:val="24"/>
                <w:highlight w:val="none"/>
              </w:rPr>
            </w:pPr>
            <w:r>
              <w:rPr>
                <w:rFonts w:hint="eastAsia" w:ascii="Times New Roman" w:hAnsi="Times New Roman" w:cs="Times New Roman"/>
                <w:color w:val="auto"/>
                <w:sz w:val="24"/>
                <w:szCs w:val="24"/>
                <w:highlight w:val="none"/>
              </w:rPr>
              <w:t>厂房</w:t>
            </w:r>
            <w:r>
              <w:rPr>
                <w:rFonts w:ascii="Times New Roman" w:hAnsi="Times New Roman" w:eastAsia="宋体" w:cs="Times New Roman"/>
                <w:color w:val="auto"/>
                <w:sz w:val="24"/>
                <w:szCs w:val="24"/>
                <w:highlight w:val="none"/>
              </w:rPr>
              <w:t>建设一座</w:t>
            </w:r>
            <w:r>
              <w:rPr>
                <w:rFonts w:hint="eastAsia" w:ascii="Times New Roman" w:hAnsi="Times New Roman" w:eastAsia="宋体" w:cs="Times New Roman"/>
                <w:color w:val="auto"/>
                <w:sz w:val="24"/>
                <w:szCs w:val="24"/>
                <w:highlight w:val="none"/>
              </w:rPr>
              <w:t>20</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ascii="Times New Roman" w:hAnsi="Times New Roman" w:eastAsia="宋体" w:cs="Times New Roman"/>
                <w:color w:val="auto"/>
                <w:sz w:val="24"/>
                <w:szCs w:val="24"/>
                <w:highlight w:val="none"/>
              </w:rPr>
              <w:t>危险废物暂存间，</w:t>
            </w:r>
            <w:r>
              <w:rPr>
                <w:rFonts w:hint="eastAsia" w:ascii="Times New Roman" w:hAnsi="Times New Roman" w:eastAsia="宋体" w:cs="Times New Roman"/>
                <w:bCs/>
                <w:color w:val="auto"/>
                <w:sz w:val="24"/>
                <w:szCs w:val="24"/>
                <w:highlight w:val="none"/>
              </w:rPr>
              <w:t>废涂料桶、废漆渣、废过滤棉、废活性炭、水帘喷漆定期更换的废液、废润滑油、废润滑油桶暂存</w:t>
            </w:r>
            <w:r>
              <w:rPr>
                <w:rFonts w:ascii="Times New Roman" w:hAnsi="Times New Roman" w:eastAsia="宋体" w:cs="Times New Roman"/>
                <w:bCs/>
                <w:color w:val="auto"/>
                <w:sz w:val="24"/>
                <w:szCs w:val="24"/>
                <w:highlight w:val="none"/>
              </w:rPr>
              <w:t>于危险废物暂存间内，定期委托有资质单位进行处置；</w:t>
            </w:r>
          </w:p>
          <w:p w14:paraId="4EDDEB6A">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cs="Times New Roman"/>
                <w:color w:val="auto"/>
                <w:sz w:val="24"/>
                <w:szCs w:val="24"/>
                <w:highlight w:val="none"/>
              </w:rPr>
              <w:t>厂房</w:t>
            </w:r>
            <w:r>
              <w:rPr>
                <w:rFonts w:ascii="Times New Roman" w:hAnsi="Times New Roman" w:eastAsia="宋体" w:cs="Times New Roman"/>
                <w:color w:val="auto"/>
                <w:sz w:val="24"/>
                <w:szCs w:val="24"/>
                <w:highlight w:val="none"/>
              </w:rPr>
              <w:t>建设一座</w:t>
            </w:r>
            <w:r>
              <w:rPr>
                <w:rFonts w:hint="eastAsia" w:ascii="Times New Roman" w:hAnsi="Times New Roman" w:eastAsia="宋体" w:cs="Times New Roman"/>
                <w:color w:val="auto"/>
                <w:sz w:val="24"/>
                <w:szCs w:val="24"/>
                <w:highlight w:val="none"/>
              </w:rPr>
              <w:t>15</w:t>
            </w:r>
            <w:r>
              <w:rPr>
                <w:rFonts w:ascii="Times New Roman" w:hAnsi="Times New Roman" w:eastAsia="宋体" w:cs="Times New Roman"/>
                <w:color w:val="auto"/>
                <w:sz w:val="24"/>
                <w:szCs w:val="24"/>
                <w:highlight w:val="none"/>
              </w:rPr>
              <w:t>m</w:t>
            </w:r>
            <w:r>
              <w:rPr>
                <w:rFonts w:ascii="Times New Roman" w:hAnsi="Times New Roman" w:eastAsia="宋体" w:cs="Times New Roman"/>
                <w:color w:val="auto"/>
                <w:sz w:val="24"/>
                <w:szCs w:val="24"/>
                <w:highlight w:val="none"/>
                <w:vertAlign w:val="superscript"/>
              </w:rPr>
              <w:t>2</w:t>
            </w:r>
            <w:r>
              <w:rPr>
                <w:rFonts w:ascii="Times New Roman" w:hAnsi="Times New Roman" w:eastAsia="宋体" w:cs="Times New Roman"/>
                <w:color w:val="auto"/>
                <w:sz w:val="24"/>
                <w:szCs w:val="24"/>
                <w:highlight w:val="none"/>
              </w:rPr>
              <w:t>一般工业固体废物暂存间，</w:t>
            </w:r>
            <w:r>
              <w:rPr>
                <w:rFonts w:hint="eastAsia" w:ascii="Times New Roman" w:hAnsi="Times New Roman" w:eastAsia="宋体" w:cs="Times New Roman"/>
                <w:color w:val="auto"/>
                <w:sz w:val="24"/>
                <w:szCs w:val="24"/>
                <w:highlight w:val="none"/>
              </w:rPr>
              <w:t>废羊毛球</w:t>
            </w:r>
            <w:r>
              <w:rPr>
                <w:rFonts w:ascii="Times New Roman" w:hAnsi="Times New Roman" w:eastAsia="宋体" w:cs="Times New Roman"/>
                <w:color w:val="auto"/>
                <w:sz w:val="24"/>
                <w:szCs w:val="24"/>
                <w:highlight w:val="none"/>
              </w:rPr>
              <w:t>定期外售综合利用；</w:t>
            </w:r>
          </w:p>
          <w:p w14:paraId="23601282">
            <w:pPr>
              <w:spacing w:line="360" w:lineRule="auto"/>
              <w:ind w:firstLine="480" w:firstLineChars="200"/>
              <w:rPr>
                <w:rFonts w:ascii="Times New Roman" w:hAnsi="Times New Roman" w:eastAsia="宋体" w:cs="Times New Roman"/>
                <w:snapToGrid w:val="0"/>
                <w:color w:val="auto"/>
                <w:kern w:val="0"/>
                <w:sz w:val="24"/>
                <w:szCs w:val="24"/>
              </w:rPr>
            </w:pPr>
            <w:r>
              <w:rPr>
                <w:rFonts w:ascii="Times New Roman" w:hAnsi="Times New Roman" w:eastAsia="宋体" w:cs="Times New Roman"/>
                <w:color w:val="auto"/>
                <w:sz w:val="24"/>
                <w:szCs w:val="24"/>
              </w:rPr>
              <w:t>危险废物执行《危险废物贮存污染控制标准》（GB18597-2023），</w:t>
            </w:r>
            <w:r>
              <w:rPr>
                <w:rFonts w:ascii="Times New Roman" w:hAnsi="Times New Roman" w:eastAsia="宋体" w:cs="Times New Roman"/>
                <w:snapToGrid w:val="0"/>
                <w:color w:val="auto"/>
                <w:kern w:val="0"/>
                <w:sz w:val="24"/>
                <w:szCs w:val="24"/>
              </w:rPr>
              <w:t>一般工业固体废物贮存、处置执行《一般工业固体废物贮存和填埋污染控制标准》（GB18599-2020）中有关规定。</w:t>
            </w:r>
          </w:p>
        </w:tc>
      </w:tr>
      <w:tr w14:paraId="217B20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Align w:val="center"/>
          </w:tcPr>
          <w:p w14:paraId="219678DE">
            <w:pPr>
              <w:spacing w:line="360" w:lineRule="auto"/>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土壤及地下水</w:t>
            </w:r>
          </w:p>
          <w:p w14:paraId="5CBAD146">
            <w:pPr>
              <w:spacing w:line="360" w:lineRule="auto"/>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污染防治措施</w:t>
            </w:r>
          </w:p>
        </w:tc>
        <w:tc>
          <w:tcPr>
            <w:tcW w:w="7844" w:type="dxa"/>
            <w:gridSpan w:val="4"/>
          </w:tcPr>
          <w:p w14:paraId="11DBAF17">
            <w:pPr>
              <w:autoSpaceDE w:val="0"/>
              <w:autoSpaceDN w:val="0"/>
              <w:spacing w:line="360" w:lineRule="auto"/>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本项目位于</w:t>
            </w:r>
            <w:r>
              <w:rPr>
                <w:rFonts w:hint="eastAsia" w:ascii="Times New Roman" w:hAnsi="Times New Roman" w:cs="Times New Roman"/>
                <w:bCs/>
                <w:color w:val="auto"/>
                <w:sz w:val="24"/>
                <w:szCs w:val="24"/>
              </w:rPr>
              <w:t>安徽省</w:t>
            </w:r>
            <w:r>
              <w:rPr>
                <w:rFonts w:ascii="Times New Roman" w:hAnsi="Times New Roman" w:cs="Times New Roman"/>
                <w:color w:val="auto"/>
                <w:sz w:val="24"/>
                <w:szCs w:val="24"/>
              </w:rPr>
              <w:t>淮南市</w:t>
            </w:r>
            <w:r>
              <w:rPr>
                <w:rFonts w:hint="eastAsia" w:ascii="Times New Roman" w:hAnsi="Times New Roman" w:cs="Times New Roman"/>
                <w:color w:val="auto"/>
                <w:sz w:val="24"/>
                <w:szCs w:val="24"/>
              </w:rPr>
              <w:t>谢家集</w:t>
            </w:r>
            <w:r>
              <w:rPr>
                <w:rFonts w:ascii="Times New Roman" w:hAnsi="Times New Roman" w:cs="Times New Roman"/>
                <w:color w:val="auto"/>
                <w:sz w:val="24"/>
                <w:szCs w:val="24"/>
              </w:rPr>
              <w:t>区</w:t>
            </w:r>
            <w:r>
              <w:rPr>
                <w:rFonts w:hint="eastAsia" w:ascii="Times New Roman" w:hAnsi="Times New Roman" w:cs="Times New Roman"/>
                <w:color w:val="auto"/>
                <w:sz w:val="24"/>
                <w:szCs w:val="24"/>
              </w:rPr>
              <w:t>汽配产业园3号厂房，经现场勘察，租赁厂房附近地面均已做硬化处理。本项目实施后，在现有硬化地面基础上进行进一步分区防渗，</w:t>
            </w:r>
            <w:r>
              <w:rPr>
                <w:rFonts w:ascii="Times New Roman" w:hAnsi="Times New Roman" w:cs="Times New Roman"/>
                <w:color w:val="auto"/>
                <w:sz w:val="24"/>
                <w:szCs w:val="24"/>
              </w:rPr>
              <w:t>重点防渗区增加2mm厚高密度聚乙烯或至少2mm厚的其他人工材料采取全面防腐、防渗处理</w:t>
            </w:r>
            <w:r>
              <w:rPr>
                <w:rFonts w:hint="eastAsia" w:ascii="Times New Roman" w:hAnsi="Times New Roman" w:cs="Times New Roman"/>
                <w:color w:val="auto"/>
                <w:sz w:val="24"/>
                <w:szCs w:val="24"/>
              </w:rPr>
              <w:t>，</w:t>
            </w:r>
            <w:r>
              <w:rPr>
                <w:rFonts w:ascii="Times New Roman" w:hAnsi="Times New Roman" w:cs="Times New Roman"/>
                <w:color w:val="auto"/>
                <w:sz w:val="24"/>
                <w:szCs w:val="24"/>
              </w:rPr>
              <w:t>一般防渗区采用防渗水泥进行硬化方式处理</w:t>
            </w:r>
            <w:r>
              <w:rPr>
                <w:rFonts w:hint="eastAsia" w:ascii="Times New Roman" w:hAnsi="Times New Roman" w:cs="Times New Roman"/>
                <w:color w:val="auto"/>
                <w:sz w:val="24"/>
                <w:szCs w:val="24"/>
              </w:rPr>
              <w:t>。</w:t>
            </w:r>
          </w:p>
          <w:p w14:paraId="4706A980">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重点防渗区：主要为危险废物暂存间、调漆房、喷漆房、烘干区、供漆室区域</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rPr>
              <w:t>重点防渗区的防渗技术要求：等效黏土防渗层Mb≥6.0m，K≤10</w:t>
            </w:r>
            <w:r>
              <w:rPr>
                <w:rFonts w:ascii="Times New Roman" w:hAnsi="Times New Roman" w:eastAsia="宋体" w:cs="Times New Roman"/>
                <w:color w:val="auto"/>
                <w:sz w:val="24"/>
                <w:szCs w:val="24"/>
                <w:vertAlign w:val="superscript"/>
              </w:rPr>
              <w:t>-7</w:t>
            </w:r>
            <w:r>
              <w:rPr>
                <w:rFonts w:ascii="Times New Roman" w:hAnsi="Times New Roman" w:eastAsia="宋体" w:cs="Times New Roman"/>
                <w:color w:val="auto"/>
                <w:sz w:val="24"/>
                <w:szCs w:val="24"/>
              </w:rPr>
              <w:t>cm/s。其中危险废物暂存间还需要满足《危险废物贮存污染控制标准》（GB18597-2023）中防渗要求：基础必须防渗，防渗层为至少1m厚粘土层（渗透系数K≤10</w:t>
            </w:r>
            <w:r>
              <w:rPr>
                <w:rFonts w:ascii="Times New Roman" w:hAnsi="Times New Roman" w:eastAsia="宋体" w:cs="Times New Roman"/>
                <w:color w:val="auto"/>
                <w:sz w:val="24"/>
                <w:szCs w:val="24"/>
                <w:vertAlign w:val="superscript"/>
              </w:rPr>
              <w:t>-7</w:t>
            </w:r>
            <w:r>
              <w:rPr>
                <w:rFonts w:ascii="Times New Roman" w:hAnsi="Times New Roman" w:eastAsia="宋体" w:cs="Times New Roman"/>
                <w:color w:val="auto"/>
                <w:sz w:val="24"/>
                <w:szCs w:val="24"/>
              </w:rPr>
              <w:t>cm/s），或2mm厚高密度聚乙烯，或至少2mm厚的其它人工材料，渗透系数K≤10</w:t>
            </w:r>
            <w:r>
              <w:rPr>
                <w:rFonts w:ascii="Times New Roman" w:hAnsi="Times New Roman" w:eastAsia="宋体" w:cs="Times New Roman"/>
                <w:color w:val="auto"/>
                <w:sz w:val="24"/>
                <w:szCs w:val="24"/>
                <w:vertAlign w:val="superscript"/>
              </w:rPr>
              <w:t>-10</w:t>
            </w:r>
            <w:r>
              <w:rPr>
                <w:rFonts w:ascii="Times New Roman" w:hAnsi="Times New Roman" w:eastAsia="宋体" w:cs="Times New Roman"/>
                <w:color w:val="auto"/>
                <w:sz w:val="24"/>
                <w:szCs w:val="24"/>
              </w:rPr>
              <w:t>cm/s。</w:t>
            </w:r>
          </w:p>
          <w:p w14:paraId="42E0E5FB">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一般防渗区：除重点防渗区外的其他区域均设为一般防渗区。一般防渗区的防渗技术要求：等效黏土防渗层Mb≥1.5m，K≤10</w:t>
            </w:r>
            <w:r>
              <w:rPr>
                <w:rFonts w:ascii="Times New Roman" w:hAnsi="Times New Roman" w:eastAsia="宋体" w:cs="Times New Roman"/>
                <w:color w:val="auto"/>
                <w:sz w:val="24"/>
                <w:szCs w:val="24"/>
                <w:vertAlign w:val="superscript"/>
              </w:rPr>
              <w:t>-7</w:t>
            </w:r>
            <w:r>
              <w:rPr>
                <w:rFonts w:ascii="Times New Roman" w:hAnsi="Times New Roman" w:eastAsia="宋体" w:cs="Times New Roman"/>
                <w:color w:val="auto"/>
                <w:sz w:val="24"/>
                <w:szCs w:val="24"/>
              </w:rPr>
              <w:t>cm/s。</w:t>
            </w:r>
          </w:p>
        </w:tc>
      </w:tr>
      <w:tr w14:paraId="2FDFB9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Align w:val="center"/>
          </w:tcPr>
          <w:p w14:paraId="05E0E8B7">
            <w:pPr>
              <w:spacing w:line="360" w:lineRule="auto"/>
              <w:jc w:val="center"/>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生态保护措施</w:t>
            </w:r>
          </w:p>
        </w:tc>
        <w:tc>
          <w:tcPr>
            <w:tcW w:w="7844" w:type="dxa"/>
            <w:gridSpan w:val="4"/>
            <w:vAlign w:val="center"/>
          </w:tcPr>
          <w:p w14:paraId="4CAA12C5">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本项目所属用地为工业用地，区域内无珍稀动物、植物，无文物古迹保护对象，对区域内生态环境产生破坏和影响较小</w:t>
            </w:r>
          </w:p>
        </w:tc>
      </w:tr>
      <w:tr w14:paraId="32CBCA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Align w:val="center"/>
          </w:tcPr>
          <w:p w14:paraId="607AFCD5">
            <w:pPr>
              <w:spacing w:line="360" w:lineRule="auto"/>
              <w:jc w:val="center"/>
              <w:rPr>
                <w:rFonts w:ascii="Times New Roman" w:hAnsi="Times New Roman" w:eastAsia="宋体" w:cs="Times New Roman"/>
                <w:color w:val="auto"/>
                <w:spacing w:val="-8"/>
                <w:sz w:val="24"/>
                <w:szCs w:val="24"/>
              </w:rPr>
            </w:pPr>
            <w:r>
              <w:rPr>
                <w:rFonts w:ascii="Times New Roman" w:hAnsi="Times New Roman" w:eastAsia="宋体" w:cs="Times New Roman"/>
                <w:color w:val="auto"/>
                <w:spacing w:val="-8"/>
                <w:sz w:val="24"/>
                <w:szCs w:val="24"/>
              </w:rPr>
              <w:t>环境风险防范措施</w:t>
            </w:r>
          </w:p>
        </w:tc>
        <w:tc>
          <w:tcPr>
            <w:tcW w:w="7844" w:type="dxa"/>
            <w:gridSpan w:val="4"/>
            <w:vAlign w:val="center"/>
          </w:tcPr>
          <w:p w14:paraId="64A0EBA8">
            <w:pPr>
              <w:spacing w:line="360" w:lineRule="auto"/>
              <w:ind w:firstLine="480" w:firstLineChars="200"/>
              <w:rPr>
                <w:rFonts w:hAnsi="Times New Roman"/>
                <w:color w:val="auto"/>
                <w:sz w:val="24"/>
                <w:szCs w:val="24"/>
              </w:rPr>
            </w:pPr>
            <w:r>
              <w:rPr>
                <w:rFonts w:hAnsi="宋体"/>
                <w:color w:val="auto"/>
                <w:sz w:val="24"/>
                <w:szCs w:val="24"/>
              </w:rPr>
              <w:t>①供漆室内采取防腐防渗措施，将底漆、面漆设置在托盘内，并在库门处设置漫坡；②危险废物暂存间设置导流沟、集液池；③及时更换活性炭确保有机废气处理效率，定期检修设备，加强日常维护保养</w:t>
            </w:r>
            <w:r>
              <w:rPr>
                <w:rFonts w:hint="eastAsia" w:hAnsi="Times New Roman"/>
                <w:color w:val="auto"/>
                <w:sz w:val="24"/>
                <w:szCs w:val="24"/>
              </w:rPr>
              <w:t>；</w:t>
            </w:r>
            <w:r>
              <w:rPr>
                <w:rFonts w:hAnsi="宋体"/>
                <w:color w:val="auto"/>
                <w:sz w:val="24"/>
                <w:szCs w:val="24"/>
              </w:rPr>
              <w:t>④编制突发环境事件应急预案</w:t>
            </w:r>
          </w:p>
        </w:tc>
      </w:tr>
      <w:tr w14:paraId="7D3CC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6" w:type="dxa"/>
            <w:vAlign w:val="center"/>
          </w:tcPr>
          <w:p w14:paraId="4684C787">
            <w:pPr>
              <w:spacing w:line="360" w:lineRule="auto"/>
              <w:jc w:val="center"/>
              <w:rPr>
                <w:rFonts w:ascii="Times New Roman" w:hAnsi="Times New Roman" w:eastAsia="宋体" w:cs="Times New Roman"/>
                <w:color w:val="auto"/>
                <w:spacing w:val="-8"/>
                <w:sz w:val="24"/>
                <w:szCs w:val="24"/>
              </w:rPr>
            </w:pPr>
            <w:r>
              <w:rPr>
                <w:rFonts w:ascii="Times New Roman" w:hAnsi="Times New Roman" w:eastAsia="宋体" w:cs="Times New Roman"/>
                <w:bCs/>
                <w:color w:val="auto"/>
                <w:sz w:val="24"/>
                <w:szCs w:val="24"/>
              </w:rPr>
              <w:t>其他环境管理要求</w:t>
            </w:r>
          </w:p>
        </w:tc>
        <w:tc>
          <w:tcPr>
            <w:tcW w:w="7844" w:type="dxa"/>
            <w:gridSpan w:val="4"/>
          </w:tcPr>
          <w:p w14:paraId="34BC9943">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项目需遵守下列要求：</w:t>
            </w:r>
          </w:p>
          <w:p w14:paraId="18507248">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1</w:t>
            </w:r>
            <w:r>
              <w:rPr>
                <w:rFonts w:ascii="Times New Roman" w:hAnsi="Times New Roman" w:eastAsia="宋体" w:cs="Times New Roman"/>
                <w:color w:val="auto"/>
                <w:sz w:val="24"/>
                <w:szCs w:val="24"/>
              </w:rPr>
              <w:t>）企业应强化对环保设施运行监督、管理的职能，建立全厂完善的环保设施运行、维护、维修等技术档案，以及加强对环保设施操作人员的技术培训，确保环保设施处于正常运行情况，污染物排放连续达标。</w:t>
            </w:r>
          </w:p>
          <w:p w14:paraId="0E909CCC">
            <w:pPr>
              <w:spacing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2</w:t>
            </w:r>
            <w:r>
              <w:rPr>
                <w:rFonts w:ascii="Times New Roman" w:hAnsi="Times New Roman" w:eastAsia="宋体" w:cs="Times New Roman"/>
                <w:color w:val="auto"/>
                <w:sz w:val="24"/>
                <w:szCs w:val="24"/>
              </w:rPr>
              <w:t>）企业应按照《排污单位自行监测技术指南总则》（H</w:t>
            </w:r>
            <w:r>
              <w:rPr>
                <w:rFonts w:hint="eastAsia" w:ascii="Times New Roman" w:hAnsi="Times New Roman" w:eastAsia="宋体" w:cs="Times New Roman"/>
                <w:color w:val="auto"/>
                <w:sz w:val="24"/>
                <w:szCs w:val="24"/>
              </w:rPr>
              <w:t>J</w:t>
            </w:r>
            <w:r>
              <w:rPr>
                <w:rFonts w:ascii="Times New Roman" w:hAnsi="Times New Roman" w:eastAsia="宋体" w:cs="Times New Roman"/>
                <w:color w:val="auto"/>
                <w:sz w:val="24"/>
                <w:szCs w:val="24"/>
              </w:rPr>
              <w:t>819-2017）、</w:t>
            </w:r>
            <w:r>
              <w:rPr>
                <w:rFonts w:hint="eastAsia" w:ascii="Times New Roman" w:hAnsi="Times New Roman" w:eastAsia="宋体" w:cs="Times New Roman"/>
                <w:color w:val="auto"/>
                <w:sz w:val="24"/>
                <w:szCs w:val="24"/>
              </w:rPr>
              <w:t>《排污单位自行监测技术指南 涂装》（HJ 1086-2020）</w:t>
            </w:r>
            <w:r>
              <w:rPr>
                <w:rFonts w:hint="eastAsia"/>
                <w:color w:val="auto"/>
              </w:rPr>
              <w:t>、</w:t>
            </w:r>
            <w:r>
              <w:rPr>
                <w:rFonts w:hint="eastAsia" w:ascii="Times New Roman" w:hAnsi="Times New Roman" w:cs="Times New Roman"/>
                <w:color w:val="auto"/>
                <w:sz w:val="24"/>
              </w:rPr>
              <w:t>《排污许可证申请与核发技术规范 汽车制造业》（HJ971-2018）</w:t>
            </w:r>
            <w:r>
              <w:rPr>
                <w:rFonts w:ascii="Times New Roman" w:hAnsi="Times New Roman" w:eastAsia="宋体" w:cs="Times New Roman"/>
                <w:color w:val="auto"/>
                <w:sz w:val="24"/>
                <w:szCs w:val="24"/>
              </w:rPr>
              <w:t>中的要求落实运营期自行监测计划，主动公开项目环评文件和验收报告，接受社会监督。</w:t>
            </w:r>
          </w:p>
          <w:p w14:paraId="40B5AD16">
            <w:pPr>
              <w:spacing w:line="360" w:lineRule="auto"/>
              <w:rPr>
                <w:rFonts w:ascii="Times New Roman" w:hAnsi="Times New Roman" w:eastAsia="宋体" w:cs="Times New Roman"/>
                <w:color w:val="auto"/>
                <w:sz w:val="24"/>
                <w:szCs w:val="24"/>
              </w:rPr>
            </w:pPr>
          </w:p>
          <w:p w14:paraId="600BA285">
            <w:pPr>
              <w:spacing w:line="360" w:lineRule="auto"/>
              <w:rPr>
                <w:rFonts w:ascii="Times New Roman" w:hAnsi="Times New Roman" w:eastAsia="宋体" w:cs="Times New Roman"/>
                <w:color w:val="auto"/>
                <w:sz w:val="24"/>
                <w:szCs w:val="24"/>
              </w:rPr>
            </w:pPr>
          </w:p>
          <w:p w14:paraId="44A5D730">
            <w:pPr>
              <w:spacing w:line="360" w:lineRule="auto"/>
              <w:rPr>
                <w:rFonts w:ascii="Times New Roman" w:hAnsi="Times New Roman" w:eastAsia="宋体" w:cs="Times New Roman"/>
                <w:color w:val="auto"/>
                <w:sz w:val="24"/>
                <w:szCs w:val="24"/>
              </w:rPr>
            </w:pPr>
          </w:p>
          <w:p w14:paraId="4FAF3A92">
            <w:pPr>
              <w:spacing w:line="360" w:lineRule="auto"/>
              <w:rPr>
                <w:rFonts w:ascii="Times New Roman" w:hAnsi="Times New Roman" w:eastAsia="宋体" w:cs="Times New Roman"/>
                <w:color w:val="auto"/>
                <w:sz w:val="24"/>
                <w:szCs w:val="24"/>
              </w:rPr>
            </w:pPr>
          </w:p>
          <w:p w14:paraId="594CF8AC">
            <w:pPr>
              <w:spacing w:line="360" w:lineRule="auto"/>
              <w:rPr>
                <w:rFonts w:ascii="Times New Roman" w:hAnsi="Times New Roman" w:eastAsia="宋体" w:cs="Times New Roman"/>
                <w:color w:val="auto"/>
                <w:sz w:val="24"/>
                <w:szCs w:val="24"/>
              </w:rPr>
            </w:pPr>
          </w:p>
          <w:p w14:paraId="14D02CD9">
            <w:pPr>
              <w:spacing w:line="360" w:lineRule="auto"/>
              <w:rPr>
                <w:rFonts w:ascii="Times New Roman" w:hAnsi="Times New Roman" w:eastAsia="宋体" w:cs="Times New Roman"/>
                <w:color w:val="auto"/>
                <w:sz w:val="24"/>
                <w:szCs w:val="24"/>
              </w:rPr>
            </w:pPr>
          </w:p>
          <w:p w14:paraId="56676DF5">
            <w:pPr>
              <w:spacing w:line="360" w:lineRule="auto"/>
              <w:rPr>
                <w:rFonts w:ascii="Times New Roman" w:hAnsi="Times New Roman" w:eastAsia="宋体" w:cs="Times New Roman"/>
                <w:color w:val="auto"/>
                <w:sz w:val="24"/>
                <w:szCs w:val="24"/>
              </w:rPr>
            </w:pPr>
          </w:p>
          <w:p w14:paraId="7D2EADBC">
            <w:pPr>
              <w:spacing w:line="360" w:lineRule="auto"/>
              <w:rPr>
                <w:rFonts w:ascii="Times New Roman" w:hAnsi="Times New Roman" w:eastAsia="宋体" w:cs="Times New Roman"/>
                <w:color w:val="auto"/>
                <w:sz w:val="24"/>
                <w:szCs w:val="24"/>
              </w:rPr>
            </w:pPr>
          </w:p>
          <w:p w14:paraId="737E96A6">
            <w:pPr>
              <w:spacing w:line="360" w:lineRule="auto"/>
              <w:rPr>
                <w:rFonts w:ascii="Times New Roman" w:hAnsi="Times New Roman" w:eastAsia="宋体" w:cs="Times New Roman"/>
                <w:color w:val="auto"/>
                <w:sz w:val="24"/>
                <w:szCs w:val="24"/>
              </w:rPr>
            </w:pPr>
          </w:p>
          <w:p w14:paraId="7410D73E">
            <w:pPr>
              <w:spacing w:line="360" w:lineRule="auto"/>
              <w:rPr>
                <w:rFonts w:ascii="Times New Roman" w:hAnsi="Times New Roman" w:eastAsia="宋体" w:cs="Times New Roman"/>
                <w:color w:val="auto"/>
                <w:sz w:val="24"/>
                <w:szCs w:val="24"/>
              </w:rPr>
            </w:pPr>
          </w:p>
          <w:p w14:paraId="09C8603E">
            <w:pPr>
              <w:spacing w:line="360" w:lineRule="auto"/>
              <w:rPr>
                <w:rFonts w:ascii="Times New Roman" w:hAnsi="Times New Roman" w:eastAsia="宋体" w:cs="Times New Roman"/>
                <w:color w:val="auto"/>
                <w:sz w:val="24"/>
                <w:szCs w:val="24"/>
              </w:rPr>
            </w:pPr>
          </w:p>
          <w:p w14:paraId="281E76B9">
            <w:pPr>
              <w:spacing w:line="360" w:lineRule="auto"/>
              <w:rPr>
                <w:rFonts w:ascii="Times New Roman" w:hAnsi="Times New Roman" w:eastAsia="宋体" w:cs="Times New Roman"/>
                <w:color w:val="auto"/>
                <w:sz w:val="24"/>
                <w:szCs w:val="24"/>
              </w:rPr>
            </w:pPr>
          </w:p>
          <w:p w14:paraId="4A4E41FD">
            <w:pPr>
              <w:spacing w:line="360" w:lineRule="auto"/>
              <w:rPr>
                <w:rFonts w:ascii="Times New Roman" w:hAnsi="Times New Roman" w:eastAsia="宋体" w:cs="Times New Roman"/>
                <w:color w:val="auto"/>
                <w:sz w:val="24"/>
                <w:szCs w:val="24"/>
              </w:rPr>
            </w:pPr>
          </w:p>
          <w:p w14:paraId="63E3EEA3">
            <w:pPr>
              <w:spacing w:line="360" w:lineRule="auto"/>
              <w:rPr>
                <w:rFonts w:ascii="Times New Roman" w:hAnsi="Times New Roman" w:eastAsia="宋体" w:cs="Times New Roman"/>
                <w:color w:val="auto"/>
                <w:sz w:val="24"/>
                <w:szCs w:val="24"/>
              </w:rPr>
            </w:pPr>
          </w:p>
          <w:p w14:paraId="044E125A">
            <w:pPr>
              <w:spacing w:line="360" w:lineRule="auto"/>
              <w:rPr>
                <w:rFonts w:ascii="Times New Roman" w:hAnsi="Times New Roman" w:eastAsia="宋体" w:cs="Times New Roman"/>
                <w:color w:val="auto"/>
                <w:sz w:val="24"/>
                <w:szCs w:val="24"/>
              </w:rPr>
            </w:pPr>
          </w:p>
          <w:p w14:paraId="71040E8C">
            <w:pPr>
              <w:spacing w:line="360" w:lineRule="auto"/>
              <w:rPr>
                <w:rFonts w:ascii="Times New Roman" w:hAnsi="Times New Roman" w:eastAsia="宋体" w:cs="Times New Roman"/>
                <w:color w:val="auto"/>
                <w:sz w:val="24"/>
                <w:szCs w:val="24"/>
              </w:rPr>
            </w:pPr>
          </w:p>
          <w:p w14:paraId="0AF0EAC9">
            <w:pPr>
              <w:spacing w:line="360" w:lineRule="auto"/>
              <w:rPr>
                <w:rFonts w:ascii="Times New Roman" w:hAnsi="Times New Roman" w:eastAsia="宋体" w:cs="Times New Roman"/>
                <w:color w:val="auto"/>
                <w:sz w:val="24"/>
                <w:szCs w:val="24"/>
              </w:rPr>
            </w:pPr>
          </w:p>
          <w:p w14:paraId="57C3F0A5">
            <w:pPr>
              <w:spacing w:line="360" w:lineRule="auto"/>
              <w:rPr>
                <w:rFonts w:ascii="Times New Roman" w:hAnsi="Times New Roman" w:eastAsia="宋体" w:cs="Times New Roman"/>
                <w:color w:val="auto"/>
                <w:sz w:val="24"/>
                <w:szCs w:val="24"/>
              </w:rPr>
            </w:pPr>
          </w:p>
          <w:p w14:paraId="0293570D">
            <w:pPr>
              <w:spacing w:line="360" w:lineRule="auto"/>
              <w:rPr>
                <w:rFonts w:ascii="Times New Roman" w:hAnsi="Times New Roman" w:eastAsia="宋体" w:cs="Times New Roman"/>
                <w:color w:val="auto"/>
                <w:sz w:val="24"/>
                <w:szCs w:val="24"/>
              </w:rPr>
            </w:pPr>
          </w:p>
          <w:p w14:paraId="4E687E5A">
            <w:pPr>
              <w:spacing w:line="360" w:lineRule="auto"/>
              <w:rPr>
                <w:rFonts w:ascii="Times New Roman" w:hAnsi="Times New Roman" w:eastAsia="宋体" w:cs="Times New Roman"/>
                <w:color w:val="auto"/>
                <w:sz w:val="24"/>
                <w:szCs w:val="24"/>
              </w:rPr>
            </w:pPr>
          </w:p>
        </w:tc>
      </w:tr>
    </w:tbl>
    <w:p w14:paraId="4310A42E">
      <w:pPr>
        <w:widowControl/>
        <w:spacing w:before="100" w:beforeAutospacing="1" w:after="100" w:afterAutospacing="1" w:line="240" w:lineRule="atLeast"/>
        <w:jc w:val="center"/>
        <w:outlineLvl w:val="0"/>
        <w:rPr>
          <w:rFonts w:ascii="Times New Roman" w:hAnsi="Times New Roman" w:eastAsia="黑体" w:cs="Times New Roman"/>
          <w:snapToGrid w:val="0"/>
          <w:color w:val="auto"/>
          <w:kern w:val="0"/>
          <w:sz w:val="30"/>
          <w:szCs w:val="30"/>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4488EDD">
      <w:pPr>
        <w:widowControl/>
        <w:spacing w:before="100" w:beforeAutospacing="1" w:after="100" w:afterAutospacing="1"/>
        <w:jc w:val="center"/>
        <w:outlineLvl w:val="0"/>
        <w:rPr>
          <w:rFonts w:ascii="Times New Roman" w:hAnsi="Times New Roman" w:eastAsia="黑体" w:cs="Times New Roman"/>
          <w:snapToGrid w:val="0"/>
          <w:color w:val="auto"/>
          <w:kern w:val="0"/>
          <w:sz w:val="30"/>
          <w:szCs w:val="30"/>
        </w:rPr>
      </w:pPr>
      <w:r>
        <w:rPr>
          <w:rFonts w:hint="eastAsia" w:ascii="Times New Roman" w:hAnsi="Times New Roman" w:eastAsia="黑体" w:cs="Times New Roman"/>
          <w:snapToGrid w:val="0"/>
          <w:color w:val="auto"/>
          <w:kern w:val="0"/>
          <w:sz w:val="30"/>
          <w:szCs w:val="30"/>
        </w:rPr>
        <w:t>六、结论</w:t>
      </w:r>
    </w:p>
    <w:tbl>
      <w:tblPr>
        <w:tblStyle w:val="1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14:paraId="07A580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563" w:hRule="atLeast"/>
        </w:trPr>
        <w:tc>
          <w:tcPr>
            <w:tcW w:w="8522" w:type="dxa"/>
          </w:tcPr>
          <w:p w14:paraId="21BB26B7">
            <w:pPr>
              <w:spacing w:line="360" w:lineRule="auto"/>
              <w:ind w:firstLine="480" w:firstLineChars="200"/>
              <w:rPr>
                <w:rFonts w:ascii="Times New Roman" w:hAnsi="Times New Roman" w:cs="Times New Roman"/>
                <w:color w:val="auto"/>
                <w:sz w:val="24"/>
              </w:rPr>
            </w:pPr>
            <w:r>
              <w:rPr>
                <w:rFonts w:ascii="Times New Roman" w:hAnsi="Times New Roman" w:cs="Times New Roman"/>
                <w:color w:val="auto"/>
                <w:sz w:val="24"/>
              </w:rPr>
              <w:t>本评价报告认为，项目的建设符合国家及地方产业政策，选址符合用地规划，布局基本合理；项目污染防治措施可行，在建设单位在严格落实环境保护“三同时制度”并加强污染治理设施运行管理的前提下，各项污染物可做到达标排放。因此，从环境</w:t>
            </w:r>
            <w:r>
              <w:rPr>
                <w:rFonts w:hint="eastAsia" w:ascii="Times New Roman" w:hAnsi="Times New Roman" w:cs="Times New Roman"/>
                <w:color w:val="auto"/>
                <w:sz w:val="24"/>
              </w:rPr>
              <w:t>影响</w:t>
            </w:r>
            <w:r>
              <w:rPr>
                <w:rFonts w:ascii="Times New Roman" w:hAnsi="Times New Roman" w:cs="Times New Roman"/>
                <w:color w:val="auto"/>
                <w:sz w:val="24"/>
              </w:rPr>
              <w:t>的角度而言，项目的建设是可行的。</w:t>
            </w:r>
          </w:p>
        </w:tc>
      </w:tr>
    </w:tbl>
    <w:p w14:paraId="42A955BF">
      <w:pPr>
        <w:widowControl/>
        <w:jc w:val="left"/>
        <w:rPr>
          <w:rFonts w:ascii="Times New Roman" w:hAnsi="Times New Roman" w:cs="宋体"/>
          <w:color w:val="auto"/>
          <w:sz w:val="24"/>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C034863">
      <w:pPr>
        <w:widowControl/>
        <w:spacing w:after="100" w:afterAutospacing="1" w:line="360" w:lineRule="auto"/>
        <w:jc w:val="center"/>
        <w:outlineLvl w:val="0"/>
        <w:rPr>
          <w:rFonts w:ascii="Times New Roman" w:hAnsi="Times New Roman" w:cs="Times New Roman"/>
          <w:snapToGrid w:val="0"/>
          <w:color w:val="auto"/>
          <w:kern w:val="0"/>
          <w:sz w:val="38"/>
          <w:szCs w:val="38"/>
        </w:rPr>
      </w:pPr>
      <w:r>
        <w:rPr>
          <w:rFonts w:hint="eastAsia" w:ascii="Times New Roman" w:hAnsi="Times New Roman" w:cs="Times New Roman"/>
          <w:snapToGrid w:val="0"/>
          <w:color w:val="auto"/>
          <w:kern w:val="0"/>
          <w:sz w:val="38"/>
          <w:szCs w:val="38"/>
        </w:rPr>
        <w:t>建设项目污染物排放量汇总表</w:t>
      </w:r>
    </w:p>
    <w:tbl>
      <w:tblPr>
        <w:tblStyle w:val="1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134"/>
        <w:gridCol w:w="992"/>
        <w:gridCol w:w="1559"/>
        <w:gridCol w:w="1134"/>
        <w:gridCol w:w="1276"/>
        <w:gridCol w:w="1701"/>
        <w:gridCol w:w="992"/>
        <w:gridCol w:w="1418"/>
        <w:gridCol w:w="1642"/>
      </w:tblGrid>
      <w:tr w14:paraId="7CAB85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tcBorders>
              <w:tl2br w:val="single" w:color="auto" w:sz="4" w:space="0"/>
            </w:tcBorders>
            <w:tcMar>
              <w:left w:w="28" w:type="dxa"/>
              <w:right w:w="28" w:type="dxa"/>
            </w:tcMar>
            <w:vAlign w:val="center"/>
          </w:tcPr>
          <w:p w14:paraId="034F8793">
            <w:pPr>
              <w:spacing w:line="269" w:lineRule="auto"/>
              <w:jc w:val="right"/>
              <w:rPr>
                <w:rFonts w:ascii="Times New Roman" w:hAnsi="Times New Roman" w:eastAsia="黑体" w:cs="宋体"/>
                <w:snapToGrid w:val="0"/>
                <w:color w:val="auto"/>
                <w:spacing w:val="-6"/>
                <w:kern w:val="21"/>
                <w:szCs w:val="21"/>
              </w:rPr>
            </w:pPr>
            <w:r>
              <w:rPr>
                <w:rFonts w:hint="eastAsia" w:ascii="Times New Roman" w:hAnsi="Times New Roman" w:eastAsia="黑体" w:cs="宋体"/>
                <w:snapToGrid w:val="0"/>
                <w:color w:val="auto"/>
                <w:spacing w:val="-6"/>
                <w:kern w:val="21"/>
                <w:szCs w:val="21"/>
              </w:rPr>
              <w:t>项目</w:t>
            </w:r>
          </w:p>
          <w:p w14:paraId="233E57EC">
            <w:pPr>
              <w:spacing w:line="269" w:lineRule="auto"/>
              <w:jc w:val="left"/>
              <w:rPr>
                <w:rFonts w:ascii="Times New Roman" w:hAnsi="Times New Roman" w:eastAsia="黑体" w:cs="宋体"/>
                <w:snapToGrid w:val="0"/>
                <w:color w:val="auto"/>
                <w:spacing w:val="-6"/>
                <w:kern w:val="21"/>
                <w:szCs w:val="21"/>
              </w:rPr>
            </w:pPr>
            <w:r>
              <w:rPr>
                <w:rFonts w:hint="eastAsia" w:ascii="Times New Roman" w:hAnsi="Times New Roman" w:eastAsia="黑体" w:cs="宋体"/>
                <w:snapToGrid w:val="0"/>
                <w:color w:val="auto"/>
                <w:spacing w:val="-6"/>
                <w:kern w:val="21"/>
                <w:szCs w:val="21"/>
              </w:rPr>
              <w:t>分类</w:t>
            </w:r>
          </w:p>
        </w:tc>
        <w:tc>
          <w:tcPr>
            <w:tcW w:w="2126" w:type="dxa"/>
            <w:gridSpan w:val="2"/>
            <w:tcMar>
              <w:left w:w="28" w:type="dxa"/>
              <w:right w:w="28" w:type="dxa"/>
            </w:tcMar>
            <w:vAlign w:val="center"/>
          </w:tcPr>
          <w:p w14:paraId="1E4CC8F3">
            <w:pPr>
              <w:spacing w:line="269" w:lineRule="auto"/>
              <w:jc w:val="center"/>
              <w:rPr>
                <w:rFonts w:ascii="Times New Roman" w:hAnsi="Times New Roman" w:eastAsia="黑体" w:cs="宋体"/>
                <w:snapToGrid w:val="0"/>
                <w:color w:val="auto"/>
                <w:spacing w:val="-6"/>
                <w:kern w:val="21"/>
                <w:szCs w:val="21"/>
              </w:rPr>
            </w:pPr>
            <w:r>
              <w:rPr>
                <w:rFonts w:hint="eastAsia" w:ascii="Times New Roman" w:hAnsi="Times New Roman" w:eastAsia="黑体" w:cs="宋体"/>
                <w:snapToGrid w:val="0"/>
                <w:color w:val="auto"/>
                <w:spacing w:val="-6"/>
                <w:kern w:val="21"/>
                <w:szCs w:val="21"/>
              </w:rPr>
              <w:t>污染物名称</w:t>
            </w:r>
          </w:p>
        </w:tc>
        <w:tc>
          <w:tcPr>
            <w:tcW w:w="1559" w:type="dxa"/>
            <w:tcMar>
              <w:left w:w="28" w:type="dxa"/>
              <w:right w:w="28" w:type="dxa"/>
            </w:tcMar>
            <w:vAlign w:val="center"/>
          </w:tcPr>
          <w:p w14:paraId="48A7CE2B">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现有工程</w:t>
            </w:r>
          </w:p>
          <w:p w14:paraId="041A256C">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排放量（固体废物产生量）</w:t>
            </w:r>
            <w:r>
              <w:rPr>
                <w:rFonts w:ascii="Times New Roman" w:hAnsi="Times New Roman" w:eastAsia="黑体" w:cs="Times New Roman"/>
                <w:snapToGrid w:val="0"/>
                <w:color w:val="auto"/>
                <w:spacing w:val="-6"/>
                <w:kern w:val="21"/>
                <w:szCs w:val="21"/>
              </w:rPr>
              <w:fldChar w:fldCharType="begin"/>
            </w:r>
            <w:r>
              <w:rPr>
                <w:rFonts w:ascii="Times New Roman" w:hAnsi="Times New Roman" w:eastAsia="黑体" w:cs="Times New Roman"/>
                <w:snapToGrid w:val="0"/>
                <w:color w:val="auto"/>
                <w:spacing w:val="-6"/>
                <w:kern w:val="21"/>
                <w:szCs w:val="21"/>
              </w:rPr>
              <w:instrText xml:space="preserve"> = 1 \* GB3 \* MERGEFORMAT </w:instrText>
            </w:r>
            <w:r>
              <w:rPr>
                <w:rFonts w:ascii="Times New Roman" w:hAnsi="Times New Roman" w:eastAsia="黑体" w:cs="Times New Roman"/>
                <w:snapToGrid w:val="0"/>
                <w:color w:val="auto"/>
                <w:spacing w:val="-6"/>
                <w:kern w:val="21"/>
                <w:szCs w:val="21"/>
              </w:rPr>
              <w:fldChar w:fldCharType="separate"/>
            </w:r>
            <w:r>
              <w:rPr>
                <w:rFonts w:ascii="黑体" w:hAnsi="黑体" w:eastAsia="黑体" w:cs="Times New Roman"/>
                <w:color w:val="auto"/>
                <w:szCs w:val="21"/>
              </w:rPr>
              <w:t>①</w:t>
            </w:r>
            <w:r>
              <w:rPr>
                <w:rFonts w:ascii="Times New Roman" w:hAnsi="Times New Roman" w:eastAsia="黑体" w:cs="Times New Roman"/>
                <w:snapToGrid w:val="0"/>
                <w:color w:val="auto"/>
                <w:spacing w:val="-6"/>
                <w:kern w:val="21"/>
                <w:szCs w:val="21"/>
              </w:rPr>
              <w:fldChar w:fldCharType="end"/>
            </w:r>
          </w:p>
        </w:tc>
        <w:tc>
          <w:tcPr>
            <w:tcW w:w="1134" w:type="dxa"/>
            <w:tcMar>
              <w:left w:w="28" w:type="dxa"/>
              <w:right w:w="28" w:type="dxa"/>
            </w:tcMar>
            <w:vAlign w:val="center"/>
          </w:tcPr>
          <w:p w14:paraId="7CA8148D">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现有工程</w:t>
            </w:r>
          </w:p>
          <w:p w14:paraId="08273378">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许可排放量</w:t>
            </w:r>
            <w:r>
              <w:rPr>
                <w:rFonts w:ascii="Times New Roman" w:hAnsi="Times New Roman" w:eastAsia="黑体" w:cs="Times New Roman"/>
                <w:snapToGrid w:val="0"/>
                <w:color w:val="auto"/>
                <w:spacing w:val="-6"/>
                <w:kern w:val="21"/>
                <w:szCs w:val="21"/>
              </w:rPr>
              <w:fldChar w:fldCharType="begin"/>
            </w:r>
            <w:r>
              <w:rPr>
                <w:rFonts w:ascii="Times New Roman" w:hAnsi="Times New Roman" w:eastAsia="黑体" w:cs="Times New Roman"/>
                <w:snapToGrid w:val="0"/>
                <w:color w:val="auto"/>
                <w:spacing w:val="-6"/>
                <w:kern w:val="21"/>
                <w:szCs w:val="21"/>
              </w:rPr>
              <w:instrText xml:space="preserve"> = 2 \* GB3 \* MERGEFORMAT </w:instrText>
            </w:r>
            <w:r>
              <w:rPr>
                <w:rFonts w:ascii="Times New Roman" w:hAnsi="Times New Roman" w:eastAsia="黑体" w:cs="Times New Roman"/>
                <w:snapToGrid w:val="0"/>
                <w:color w:val="auto"/>
                <w:spacing w:val="-6"/>
                <w:kern w:val="21"/>
                <w:szCs w:val="21"/>
              </w:rPr>
              <w:fldChar w:fldCharType="separate"/>
            </w:r>
            <w:r>
              <w:rPr>
                <w:rFonts w:ascii="黑体" w:hAnsi="黑体" w:eastAsia="黑体" w:cs="Times New Roman"/>
                <w:snapToGrid w:val="0"/>
                <w:color w:val="auto"/>
                <w:spacing w:val="-6"/>
                <w:kern w:val="21"/>
                <w:szCs w:val="21"/>
              </w:rPr>
              <w:t>②</w:t>
            </w:r>
            <w:r>
              <w:rPr>
                <w:rFonts w:ascii="Times New Roman" w:hAnsi="Times New Roman" w:eastAsia="黑体" w:cs="Times New Roman"/>
                <w:snapToGrid w:val="0"/>
                <w:color w:val="auto"/>
                <w:spacing w:val="-6"/>
                <w:kern w:val="21"/>
                <w:szCs w:val="21"/>
              </w:rPr>
              <w:fldChar w:fldCharType="end"/>
            </w:r>
          </w:p>
        </w:tc>
        <w:tc>
          <w:tcPr>
            <w:tcW w:w="1276" w:type="dxa"/>
            <w:tcMar>
              <w:left w:w="28" w:type="dxa"/>
              <w:right w:w="28" w:type="dxa"/>
            </w:tcMar>
            <w:vAlign w:val="center"/>
          </w:tcPr>
          <w:p w14:paraId="57AF54A3">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在建工程</w:t>
            </w:r>
          </w:p>
          <w:p w14:paraId="682D7E51">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排放量（固体废物产生量）</w:t>
            </w:r>
            <w:r>
              <w:rPr>
                <w:rFonts w:ascii="Times New Roman" w:hAnsi="Times New Roman" w:eastAsia="黑体" w:cs="Times New Roman"/>
                <w:snapToGrid w:val="0"/>
                <w:color w:val="auto"/>
                <w:spacing w:val="-6"/>
                <w:kern w:val="21"/>
                <w:szCs w:val="21"/>
              </w:rPr>
              <w:fldChar w:fldCharType="begin"/>
            </w:r>
            <w:r>
              <w:rPr>
                <w:rFonts w:ascii="Times New Roman" w:hAnsi="Times New Roman" w:eastAsia="黑体" w:cs="Times New Roman"/>
                <w:snapToGrid w:val="0"/>
                <w:color w:val="auto"/>
                <w:spacing w:val="-6"/>
                <w:kern w:val="21"/>
                <w:szCs w:val="21"/>
              </w:rPr>
              <w:instrText xml:space="preserve"> = 3 \* GB3 \* MERGEFORMAT </w:instrText>
            </w:r>
            <w:r>
              <w:rPr>
                <w:rFonts w:ascii="Times New Roman" w:hAnsi="Times New Roman" w:eastAsia="黑体" w:cs="Times New Roman"/>
                <w:snapToGrid w:val="0"/>
                <w:color w:val="auto"/>
                <w:spacing w:val="-6"/>
                <w:kern w:val="21"/>
                <w:szCs w:val="21"/>
              </w:rPr>
              <w:fldChar w:fldCharType="separate"/>
            </w:r>
            <w:r>
              <w:rPr>
                <w:rFonts w:ascii="黑体" w:hAnsi="黑体" w:eastAsia="黑体" w:cs="Times New Roman"/>
                <w:color w:val="auto"/>
                <w:szCs w:val="21"/>
              </w:rPr>
              <w:t>③</w:t>
            </w:r>
            <w:r>
              <w:rPr>
                <w:rFonts w:ascii="Times New Roman" w:hAnsi="Times New Roman" w:eastAsia="黑体" w:cs="Times New Roman"/>
                <w:snapToGrid w:val="0"/>
                <w:color w:val="auto"/>
                <w:spacing w:val="-6"/>
                <w:kern w:val="21"/>
                <w:szCs w:val="21"/>
              </w:rPr>
              <w:fldChar w:fldCharType="end"/>
            </w:r>
          </w:p>
        </w:tc>
        <w:tc>
          <w:tcPr>
            <w:tcW w:w="1701" w:type="dxa"/>
            <w:tcMar>
              <w:left w:w="28" w:type="dxa"/>
              <w:right w:w="28" w:type="dxa"/>
            </w:tcMar>
            <w:vAlign w:val="center"/>
          </w:tcPr>
          <w:p w14:paraId="295998A6">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本项目</w:t>
            </w:r>
          </w:p>
          <w:p w14:paraId="33D7EEBA">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排放量（固体废物产生量）</w:t>
            </w:r>
            <w:r>
              <w:rPr>
                <w:rFonts w:ascii="Times New Roman" w:hAnsi="Times New Roman" w:eastAsia="黑体" w:cs="Times New Roman"/>
                <w:snapToGrid w:val="0"/>
                <w:color w:val="auto"/>
                <w:spacing w:val="-6"/>
                <w:kern w:val="21"/>
                <w:szCs w:val="21"/>
              </w:rPr>
              <w:fldChar w:fldCharType="begin"/>
            </w:r>
            <w:r>
              <w:rPr>
                <w:rFonts w:ascii="Times New Roman" w:hAnsi="Times New Roman" w:eastAsia="黑体" w:cs="Times New Roman"/>
                <w:snapToGrid w:val="0"/>
                <w:color w:val="auto"/>
                <w:spacing w:val="-6"/>
                <w:kern w:val="21"/>
                <w:szCs w:val="21"/>
              </w:rPr>
              <w:instrText xml:space="preserve"> = 4 \* GB3 \* MERGEFORMAT </w:instrText>
            </w:r>
            <w:r>
              <w:rPr>
                <w:rFonts w:ascii="Times New Roman" w:hAnsi="Times New Roman" w:eastAsia="黑体" w:cs="Times New Roman"/>
                <w:snapToGrid w:val="0"/>
                <w:color w:val="auto"/>
                <w:spacing w:val="-6"/>
                <w:kern w:val="21"/>
                <w:szCs w:val="21"/>
              </w:rPr>
              <w:fldChar w:fldCharType="separate"/>
            </w:r>
            <w:r>
              <w:rPr>
                <w:rFonts w:ascii="黑体" w:hAnsi="黑体" w:eastAsia="黑体" w:cs="Times New Roman"/>
                <w:color w:val="auto"/>
                <w:szCs w:val="21"/>
              </w:rPr>
              <w:t>④</w:t>
            </w:r>
            <w:r>
              <w:rPr>
                <w:rFonts w:ascii="Times New Roman" w:hAnsi="Times New Roman" w:eastAsia="黑体" w:cs="Times New Roman"/>
                <w:snapToGrid w:val="0"/>
                <w:color w:val="auto"/>
                <w:spacing w:val="-6"/>
                <w:kern w:val="21"/>
                <w:szCs w:val="21"/>
              </w:rPr>
              <w:fldChar w:fldCharType="end"/>
            </w:r>
          </w:p>
        </w:tc>
        <w:tc>
          <w:tcPr>
            <w:tcW w:w="992" w:type="dxa"/>
            <w:tcMar>
              <w:left w:w="28" w:type="dxa"/>
              <w:right w:w="28" w:type="dxa"/>
            </w:tcMar>
            <w:vAlign w:val="center"/>
          </w:tcPr>
          <w:p w14:paraId="50EB6A31">
            <w:pPr>
              <w:spacing w:line="269" w:lineRule="auto"/>
              <w:jc w:val="center"/>
              <w:rPr>
                <w:rFonts w:ascii="Times New Roman" w:hAnsi="Times New Roman" w:eastAsia="黑体" w:cs="Times New Roman"/>
                <w:snapToGrid w:val="0"/>
                <w:color w:val="auto"/>
                <w:spacing w:val="-16"/>
                <w:kern w:val="21"/>
                <w:szCs w:val="21"/>
              </w:rPr>
            </w:pPr>
            <w:r>
              <w:rPr>
                <w:rFonts w:ascii="Times New Roman" w:hAnsi="黑体" w:eastAsia="黑体" w:cs="Times New Roman"/>
                <w:snapToGrid w:val="0"/>
                <w:color w:val="auto"/>
                <w:spacing w:val="-16"/>
                <w:kern w:val="21"/>
                <w:szCs w:val="21"/>
              </w:rPr>
              <w:t>以新带老削减量（新建项目不填）</w:t>
            </w:r>
            <w:r>
              <w:rPr>
                <w:rFonts w:ascii="Times New Roman" w:hAnsi="Times New Roman" w:eastAsia="黑体" w:cs="Times New Roman"/>
                <w:snapToGrid w:val="0"/>
                <w:color w:val="auto"/>
                <w:spacing w:val="-16"/>
                <w:kern w:val="21"/>
                <w:szCs w:val="21"/>
              </w:rPr>
              <w:fldChar w:fldCharType="begin"/>
            </w:r>
            <w:r>
              <w:rPr>
                <w:rFonts w:ascii="Times New Roman" w:hAnsi="Times New Roman" w:eastAsia="黑体" w:cs="Times New Roman"/>
                <w:snapToGrid w:val="0"/>
                <w:color w:val="auto"/>
                <w:spacing w:val="-16"/>
                <w:kern w:val="21"/>
                <w:szCs w:val="21"/>
              </w:rPr>
              <w:instrText xml:space="preserve"> = 5 \* GB3 \* MERGEFORMAT </w:instrText>
            </w:r>
            <w:r>
              <w:rPr>
                <w:rFonts w:ascii="Times New Roman" w:hAnsi="Times New Roman" w:eastAsia="黑体" w:cs="Times New Roman"/>
                <w:snapToGrid w:val="0"/>
                <w:color w:val="auto"/>
                <w:spacing w:val="-16"/>
                <w:kern w:val="21"/>
                <w:szCs w:val="21"/>
              </w:rPr>
              <w:fldChar w:fldCharType="separate"/>
            </w:r>
            <w:r>
              <w:rPr>
                <w:rFonts w:ascii="黑体" w:hAnsi="黑体" w:eastAsia="黑体" w:cs="Times New Roman"/>
                <w:color w:val="auto"/>
                <w:szCs w:val="21"/>
              </w:rPr>
              <w:t>⑤</w:t>
            </w:r>
            <w:r>
              <w:rPr>
                <w:rFonts w:ascii="Times New Roman" w:hAnsi="Times New Roman" w:eastAsia="黑体" w:cs="Times New Roman"/>
                <w:snapToGrid w:val="0"/>
                <w:color w:val="auto"/>
                <w:spacing w:val="-16"/>
                <w:kern w:val="21"/>
                <w:szCs w:val="21"/>
              </w:rPr>
              <w:fldChar w:fldCharType="end"/>
            </w:r>
          </w:p>
        </w:tc>
        <w:tc>
          <w:tcPr>
            <w:tcW w:w="1418" w:type="dxa"/>
            <w:tcMar>
              <w:left w:w="28" w:type="dxa"/>
              <w:right w:w="28" w:type="dxa"/>
            </w:tcMar>
            <w:vAlign w:val="center"/>
          </w:tcPr>
          <w:p w14:paraId="6642CB88">
            <w:pPr>
              <w:spacing w:line="269" w:lineRule="auto"/>
              <w:jc w:val="center"/>
              <w:rPr>
                <w:rFonts w:ascii="Times New Roman" w:hAnsi="Times New Roman" w:eastAsia="黑体" w:cs="Times New Roman"/>
                <w:snapToGrid w:val="0"/>
                <w:color w:val="auto"/>
                <w:spacing w:val="-16"/>
                <w:kern w:val="21"/>
                <w:szCs w:val="21"/>
              </w:rPr>
            </w:pPr>
            <w:r>
              <w:rPr>
                <w:rFonts w:ascii="Times New Roman" w:hAnsi="黑体" w:eastAsia="黑体" w:cs="Times New Roman"/>
                <w:snapToGrid w:val="0"/>
                <w:color w:val="auto"/>
                <w:spacing w:val="-16"/>
                <w:kern w:val="21"/>
                <w:szCs w:val="21"/>
              </w:rPr>
              <w:t>本项目建成后</w:t>
            </w:r>
          </w:p>
          <w:p w14:paraId="471C90DF">
            <w:pPr>
              <w:spacing w:line="269" w:lineRule="auto"/>
              <w:jc w:val="center"/>
              <w:rPr>
                <w:rFonts w:ascii="Times New Roman" w:hAnsi="Times New Roman" w:eastAsia="黑体" w:cs="Times New Roman"/>
                <w:snapToGrid w:val="0"/>
                <w:color w:val="auto"/>
                <w:spacing w:val="-16"/>
                <w:kern w:val="21"/>
                <w:szCs w:val="21"/>
              </w:rPr>
            </w:pPr>
            <w:r>
              <w:rPr>
                <w:rFonts w:ascii="Times New Roman" w:hAnsi="黑体" w:eastAsia="黑体" w:cs="Times New Roman"/>
                <w:snapToGrid w:val="0"/>
                <w:color w:val="auto"/>
                <w:spacing w:val="-16"/>
                <w:kern w:val="21"/>
                <w:szCs w:val="21"/>
              </w:rPr>
              <w:t>全厂排放量（固体废物产生量）</w:t>
            </w:r>
            <w:r>
              <w:rPr>
                <w:rFonts w:ascii="Times New Roman" w:hAnsi="Times New Roman" w:eastAsia="黑体" w:cs="Times New Roman"/>
                <w:snapToGrid w:val="0"/>
                <w:color w:val="auto"/>
                <w:spacing w:val="-16"/>
                <w:kern w:val="21"/>
                <w:szCs w:val="21"/>
              </w:rPr>
              <w:fldChar w:fldCharType="begin"/>
            </w:r>
            <w:r>
              <w:rPr>
                <w:rFonts w:ascii="Times New Roman" w:hAnsi="Times New Roman" w:eastAsia="黑体" w:cs="Times New Roman"/>
                <w:snapToGrid w:val="0"/>
                <w:color w:val="auto"/>
                <w:spacing w:val="-16"/>
                <w:kern w:val="21"/>
                <w:szCs w:val="21"/>
              </w:rPr>
              <w:instrText xml:space="preserve"> = 6 \* GB3 \* MERGEFORMAT </w:instrText>
            </w:r>
            <w:r>
              <w:rPr>
                <w:rFonts w:ascii="Times New Roman" w:hAnsi="Times New Roman" w:eastAsia="黑体" w:cs="Times New Roman"/>
                <w:snapToGrid w:val="0"/>
                <w:color w:val="auto"/>
                <w:spacing w:val="-16"/>
                <w:kern w:val="21"/>
                <w:szCs w:val="21"/>
              </w:rPr>
              <w:fldChar w:fldCharType="separate"/>
            </w:r>
            <w:r>
              <w:rPr>
                <w:rFonts w:ascii="黑体" w:hAnsi="黑体" w:eastAsia="黑体" w:cs="Times New Roman"/>
                <w:color w:val="auto"/>
                <w:szCs w:val="21"/>
              </w:rPr>
              <w:t>⑥</w:t>
            </w:r>
            <w:r>
              <w:rPr>
                <w:rFonts w:ascii="Times New Roman" w:hAnsi="Times New Roman" w:eastAsia="黑体" w:cs="Times New Roman"/>
                <w:snapToGrid w:val="0"/>
                <w:color w:val="auto"/>
                <w:spacing w:val="-16"/>
                <w:kern w:val="21"/>
                <w:szCs w:val="21"/>
              </w:rPr>
              <w:fldChar w:fldCharType="end"/>
            </w:r>
          </w:p>
        </w:tc>
        <w:tc>
          <w:tcPr>
            <w:tcW w:w="1642" w:type="dxa"/>
            <w:tcMar>
              <w:left w:w="28" w:type="dxa"/>
              <w:right w:w="28" w:type="dxa"/>
            </w:tcMar>
            <w:vAlign w:val="center"/>
          </w:tcPr>
          <w:p w14:paraId="1952453A">
            <w:pPr>
              <w:spacing w:line="269" w:lineRule="auto"/>
              <w:jc w:val="center"/>
              <w:rPr>
                <w:rFonts w:ascii="Times New Roman" w:hAnsi="Times New Roman" w:eastAsia="黑体" w:cs="Times New Roman"/>
                <w:snapToGrid w:val="0"/>
                <w:color w:val="auto"/>
                <w:spacing w:val="-6"/>
                <w:kern w:val="21"/>
                <w:szCs w:val="21"/>
              </w:rPr>
            </w:pPr>
            <w:r>
              <w:rPr>
                <w:rFonts w:ascii="Times New Roman" w:hAnsi="黑体" w:eastAsia="黑体" w:cs="Times New Roman"/>
                <w:snapToGrid w:val="0"/>
                <w:color w:val="auto"/>
                <w:spacing w:val="-6"/>
                <w:kern w:val="21"/>
                <w:szCs w:val="21"/>
              </w:rPr>
              <w:t>变化量</w:t>
            </w:r>
            <w:r>
              <w:rPr>
                <w:rFonts w:ascii="Times New Roman" w:hAnsi="Times New Roman" w:eastAsia="黑体" w:cs="Times New Roman"/>
                <w:snapToGrid w:val="0"/>
                <w:color w:val="auto"/>
                <w:spacing w:val="-6"/>
                <w:kern w:val="21"/>
                <w:szCs w:val="21"/>
              </w:rPr>
              <w:fldChar w:fldCharType="begin"/>
            </w:r>
            <w:r>
              <w:rPr>
                <w:rFonts w:ascii="Times New Roman" w:hAnsi="Times New Roman" w:eastAsia="黑体" w:cs="Times New Roman"/>
                <w:snapToGrid w:val="0"/>
                <w:color w:val="auto"/>
                <w:spacing w:val="-6"/>
                <w:kern w:val="21"/>
                <w:szCs w:val="21"/>
              </w:rPr>
              <w:instrText xml:space="preserve"> = 7 \* GB3 \* MERGEFORMAT </w:instrText>
            </w:r>
            <w:r>
              <w:rPr>
                <w:rFonts w:ascii="Times New Roman" w:hAnsi="Times New Roman" w:eastAsia="黑体" w:cs="Times New Roman"/>
                <w:snapToGrid w:val="0"/>
                <w:color w:val="auto"/>
                <w:spacing w:val="-6"/>
                <w:kern w:val="21"/>
                <w:szCs w:val="21"/>
              </w:rPr>
              <w:fldChar w:fldCharType="separate"/>
            </w:r>
            <w:r>
              <w:rPr>
                <w:rFonts w:ascii="黑体" w:hAnsi="黑体" w:eastAsia="黑体" w:cs="Times New Roman"/>
                <w:color w:val="auto"/>
                <w:szCs w:val="21"/>
              </w:rPr>
              <w:t>⑦</w:t>
            </w:r>
            <w:r>
              <w:rPr>
                <w:rFonts w:ascii="Times New Roman" w:hAnsi="Times New Roman" w:eastAsia="黑体" w:cs="Times New Roman"/>
                <w:snapToGrid w:val="0"/>
                <w:color w:val="auto"/>
                <w:spacing w:val="-6"/>
                <w:kern w:val="21"/>
                <w:szCs w:val="21"/>
              </w:rPr>
              <w:fldChar w:fldCharType="end"/>
            </w:r>
          </w:p>
        </w:tc>
      </w:tr>
      <w:tr w14:paraId="4909C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restart"/>
            <w:vAlign w:val="center"/>
          </w:tcPr>
          <w:p w14:paraId="72B2EE43">
            <w:pPr>
              <w:spacing w:line="269" w:lineRule="auto"/>
              <w:jc w:val="center"/>
              <w:rPr>
                <w:rFonts w:ascii="Times New Roman" w:hAnsi="Times New Roman" w:eastAsia="宋体" w:cs="宋体"/>
                <w:snapToGrid w:val="0"/>
                <w:color w:val="auto"/>
                <w:kern w:val="21"/>
                <w:szCs w:val="21"/>
              </w:rPr>
            </w:pPr>
            <w:r>
              <w:rPr>
                <w:rFonts w:hint="eastAsia" w:ascii="Times New Roman" w:hAnsi="Times New Roman" w:eastAsia="宋体" w:cs="宋体"/>
                <w:snapToGrid w:val="0"/>
                <w:color w:val="auto"/>
                <w:kern w:val="21"/>
                <w:szCs w:val="21"/>
              </w:rPr>
              <w:t>废气</w:t>
            </w:r>
          </w:p>
        </w:tc>
        <w:tc>
          <w:tcPr>
            <w:tcW w:w="1134" w:type="dxa"/>
            <w:vMerge w:val="restart"/>
            <w:vAlign w:val="center"/>
          </w:tcPr>
          <w:p w14:paraId="62024D72">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颗粒物</w:t>
            </w:r>
          </w:p>
        </w:tc>
        <w:tc>
          <w:tcPr>
            <w:tcW w:w="992" w:type="dxa"/>
            <w:vAlign w:val="center"/>
          </w:tcPr>
          <w:p w14:paraId="3CB6DE1D">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有组织</w:t>
            </w:r>
          </w:p>
        </w:tc>
        <w:tc>
          <w:tcPr>
            <w:tcW w:w="1559" w:type="dxa"/>
            <w:vAlign w:val="center"/>
          </w:tcPr>
          <w:p w14:paraId="3453A8CE">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4C5C8603">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68D581D2">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66E19764">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0.05</w:t>
            </w:r>
            <w:r>
              <w:rPr>
                <w:rFonts w:hint="eastAsia" w:ascii="Times New Roman" w:hAnsi="Times New Roman" w:eastAsia="宋体" w:cs="Times New Roman"/>
                <w:color w:val="auto"/>
                <w:szCs w:val="21"/>
                <w:lang w:val="en-US" w:eastAsia="zh-CN"/>
              </w:rPr>
              <w:t>3</w:t>
            </w:r>
            <w:r>
              <w:rPr>
                <w:rFonts w:hint="eastAsia" w:ascii="Times New Roman" w:hAnsi="Times New Roman" w:eastAsia="宋体" w:cs="Times New Roman"/>
                <w:color w:val="auto"/>
                <w:szCs w:val="21"/>
              </w:rPr>
              <w:t>t/a</w:t>
            </w:r>
          </w:p>
        </w:tc>
        <w:tc>
          <w:tcPr>
            <w:tcW w:w="992" w:type="dxa"/>
            <w:vAlign w:val="center"/>
          </w:tcPr>
          <w:p w14:paraId="6FCE6DB8">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4A4A0AD6">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0.05</w:t>
            </w:r>
            <w:r>
              <w:rPr>
                <w:rFonts w:hint="eastAsia" w:ascii="Times New Roman" w:hAnsi="Times New Roman" w:eastAsia="宋体" w:cs="Times New Roman"/>
                <w:color w:val="auto"/>
                <w:szCs w:val="21"/>
                <w:lang w:val="en-US" w:eastAsia="zh-CN"/>
              </w:rPr>
              <w:t>3</w:t>
            </w:r>
            <w:r>
              <w:rPr>
                <w:rFonts w:hint="eastAsia" w:ascii="Times New Roman" w:hAnsi="Times New Roman" w:eastAsia="宋体" w:cs="Times New Roman"/>
                <w:color w:val="auto"/>
                <w:szCs w:val="21"/>
              </w:rPr>
              <w:t>t/a</w:t>
            </w:r>
          </w:p>
        </w:tc>
        <w:tc>
          <w:tcPr>
            <w:tcW w:w="1642" w:type="dxa"/>
            <w:vAlign w:val="center"/>
          </w:tcPr>
          <w:p w14:paraId="4174C35D">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+0.05</w:t>
            </w:r>
            <w:r>
              <w:rPr>
                <w:rFonts w:hint="eastAsia" w:ascii="Times New Roman" w:hAnsi="Times New Roman" w:eastAsia="宋体" w:cs="Times New Roman"/>
                <w:color w:val="auto"/>
                <w:szCs w:val="21"/>
                <w:lang w:val="en-US" w:eastAsia="zh-CN"/>
              </w:rPr>
              <w:t>3</w:t>
            </w:r>
            <w:r>
              <w:rPr>
                <w:rFonts w:hint="eastAsia" w:ascii="Times New Roman" w:hAnsi="Times New Roman" w:eastAsia="宋体" w:cs="Times New Roman"/>
                <w:color w:val="auto"/>
                <w:szCs w:val="21"/>
              </w:rPr>
              <w:t>t/a</w:t>
            </w:r>
          </w:p>
        </w:tc>
      </w:tr>
      <w:tr w14:paraId="2EDC1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53DAE4FC">
            <w:pPr>
              <w:spacing w:line="269" w:lineRule="auto"/>
              <w:jc w:val="center"/>
              <w:rPr>
                <w:rFonts w:ascii="Times New Roman" w:hAnsi="Times New Roman" w:eastAsia="宋体" w:cs="宋体"/>
                <w:snapToGrid w:val="0"/>
                <w:color w:val="auto"/>
                <w:kern w:val="21"/>
                <w:szCs w:val="21"/>
              </w:rPr>
            </w:pPr>
          </w:p>
        </w:tc>
        <w:tc>
          <w:tcPr>
            <w:tcW w:w="1134" w:type="dxa"/>
            <w:vMerge w:val="continue"/>
            <w:vAlign w:val="center"/>
          </w:tcPr>
          <w:p w14:paraId="6653B886">
            <w:pPr>
              <w:spacing w:line="269" w:lineRule="auto"/>
              <w:jc w:val="center"/>
              <w:rPr>
                <w:rFonts w:ascii="Times New Roman" w:hAnsi="Times New Roman" w:eastAsia="宋体" w:cs="Times New Roman"/>
                <w:snapToGrid w:val="0"/>
                <w:color w:val="auto"/>
                <w:kern w:val="21"/>
                <w:szCs w:val="21"/>
              </w:rPr>
            </w:pPr>
          </w:p>
        </w:tc>
        <w:tc>
          <w:tcPr>
            <w:tcW w:w="992" w:type="dxa"/>
            <w:vAlign w:val="center"/>
          </w:tcPr>
          <w:p w14:paraId="0E8DFBEA">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无组织</w:t>
            </w:r>
          </w:p>
        </w:tc>
        <w:tc>
          <w:tcPr>
            <w:tcW w:w="1559" w:type="dxa"/>
            <w:vAlign w:val="center"/>
          </w:tcPr>
          <w:p w14:paraId="4C9CED6B">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7AF10DBD">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497BEAC3">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26E74741">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0.46</w:t>
            </w:r>
            <w:r>
              <w:rPr>
                <w:rFonts w:hint="eastAsia" w:ascii="Times New Roman" w:hAnsi="Times New Roman" w:eastAsia="宋体" w:cs="Times New Roman"/>
                <w:color w:val="auto"/>
                <w:szCs w:val="21"/>
                <w:lang w:val="en-US" w:eastAsia="zh-CN"/>
              </w:rPr>
              <w:t>6</w:t>
            </w:r>
            <w:r>
              <w:rPr>
                <w:rFonts w:hint="eastAsia" w:ascii="Times New Roman" w:hAnsi="Times New Roman" w:eastAsia="宋体" w:cs="Times New Roman"/>
                <w:color w:val="auto"/>
                <w:szCs w:val="21"/>
              </w:rPr>
              <w:t>t/a</w:t>
            </w:r>
          </w:p>
        </w:tc>
        <w:tc>
          <w:tcPr>
            <w:tcW w:w="992" w:type="dxa"/>
            <w:vAlign w:val="center"/>
          </w:tcPr>
          <w:p w14:paraId="4F658F30">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410E42A8">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0.46</w:t>
            </w:r>
            <w:r>
              <w:rPr>
                <w:rFonts w:hint="eastAsia" w:ascii="Times New Roman" w:hAnsi="Times New Roman" w:eastAsia="宋体" w:cs="Times New Roman"/>
                <w:color w:val="auto"/>
                <w:szCs w:val="21"/>
                <w:lang w:val="en-US" w:eastAsia="zh-CN"/>
              </w:rPr>
              <w:t>6</w:t>
            </w:r>
            <w:r>
              <w:rPr>
                <w:rFonts w:hint="eastAsia" w:ascii="Times New Roman" w:hAnsi="Times New Roman" w:eastAsia="宋体" w:cs="Times New Roman"/>
                <w:color w:val="auto"/>
                <w:szCs w:val="21"/>
              </w:rPr>
              <w:t>t/a</w:t>
            </w:r>
          </w:p>
        </w:tc>
        <w:tc>
          <w:tcPr>
            <w:tcW w:w="1642" w:type="dxa"/>
            <w:vAlign w:val="center"/>
          </w:tcPr>
          <w:p w14:paraId="2CFEABA3">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+0.46</w:t>
            </w:r>
            <w:r>
              <w:rPr>
                <w:rFonts w:hint="eastAsia" w:ascii="Times New Roman" w:hAnsi="Times New Roman" w:eastAsia="宋体" w:cs="Times New Roman"/>
                <w:color w:val="auto"/>
                <w:szCs w:val="21"/>
                <w:lang w:val="en-US" w:eastAsia="zh-CN"/>
              </w:rPr>
              <w:t>6</w:t>
            </w:r>
            <w:r>
              <w:rPr>
                <w:rFonts w:hint="eastAsia" w:ascii="Times New Roman" w:hAnsi="Times New Roman" w:eastAsia="宋体" w:cs="Times New Roman"/>
                <w:color w:val="auto"/>
                <w:szCs w:val="21"/>
              </w:rPr>
              <w:t>t/a</w:t>
            </w:r>
          </w:p>
        </w:tc>
      </w:tr>
      <w:tr w14:paraId="2B01CE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0D4A7924">
            <w:pPr>
              <w:spacing w:line="269" w:lineRule="auto"/>
              <w:jc w:val="center"/>
              <w:rPr>
                <w:rFonts w:ascii="Times New Roman" w:hAnsi="Times New Roman" w:eastAsia="宋体" w:cs="宋体"/>
                <w:snapToGrid w:val="0"/>
                <w:color w:val="auto"/>
                <w:kern w:val="21"/>
                <w:szCs w:val="21"/>
              </w:rPr>
            </w:pPr>
          </w:p>
        </w:tc>
        <w:tc>
          <w:tcPr>
            <w:tcW w:w="1134" w:type="dxa"/>
            <w:vMerge w:val="restart"/>
            <w:vAlign w:val="center"/>
          </w:tcPr>
          <w:p w14:paraId="48A41403">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非甲烷总烃</w:t>
            </w:r>
          </w:p>
        </w:tc>
        <w:tc>
          <w:tcPr>
            <w:tcW w:w="992" w:type="dxa"/>
            <w:vAlign w:val="center"/>
          </w:tcPr>
          <w:p w14:paraId="37FD9B37">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有组织</w:t>
            </w:r>
          </w:p>
        </w:tc>
        <w:tc>
          <w:tcPr>
            <w:tcW w:w="1559" w:type="dxa"/>
            <w:vAlign w:val="center"/>
          </w:tcPr>
          <w:p w14:paraId="4048DEA4">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5959E705">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208C4AE7">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69C695BD">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0.2</w:t>
            </w:r>
            <w:r>
              <w:rPr>
                <w:rFonts w:hint="eastAsia" w:ascii="Times New Roman" w:hAnsi="Times New Roman" w:eastAsia="宋体" w:cs="Times New Roman"/>
                <w:color w:val="auto"/>
                <w:szCs w:val="21"/>
                <w:lang w:val="en-US" w:eastAsia="zh-CN"/>
              </w:rPr>
              <w:t>25</w:t>
            </w:r>
            <w:r>
              <w:rPr>
                <w:rFonts w:hint="eastAsia" w:ascii="Times New Roman" w:hAnsi="Times New Roman" w:eastAsia="宋体" w:cs="Times New Roman"/>
                <w:color w:val="auto"/>
                <w:szCs w:val="21"/>
              </w:rPr>
              <w:t>t/a</w:t>
            </w:r>
          </w:p>
        </w:tc>
        <w:tc>
          <w:tcPr>
            <w:tcW w:w="992" w:type="dxa"/>
            <w:vAlign w:val="center"/>
          </w:tcPr>
          <w:p w14:paraId="5C19DBF7">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0533E3C2">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0.2</w:t>
            </w:r>
            <w:r>
              <w:rPr>
                <w:rFonts w:hint="eastAsia" w:ascii="Times New Roman" w:hAnsi="Times New Roman" w:eastAsia="宋体" w:cs="Times New Roman"/>
                <w:color w:val="auto"/>
                <w:szCs w:val="21"/>
                <w:lang w:val="en-US" w:eastAsia="zh-CN"/>
              </w:rPr>
              <w:t>25</w:t>
            </w:r>
            <w:r>
              <w:rPr>
                <w:rFonts w:hint="eastAsia" w:ascii="Times New Roman" w:hAnsi="Times New Roman" w:eastAsia="宋体" w:cs="Times New Roman"/>
                <w:color w:val="auto"/>
                <w:szCs w:val="21"/>
              </w:rPr>
              <w:t>t/a</w:t>
            </w:r>
          </w:p>
        </w:tc>
        <w:tc>
          <w:tcPr>
            <w:tcW w:w="1642" w:type="dxa"/>
            <w:vAlign w:val="center"/>
          </w:tcPr>
          <w:p w14:paraId="70187640">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+0.2</w:t>
            </w:r>
            <w:r>
              <w:rPr>
                <w:rFonts w:hint="eastAsia" w:ascii="Times New Roman" w:hAnsi="Times New Roman" w:eastAsia="宋体" w:cs="Times New Roman"/>
                <w:color w:val="auto"/>
                <w:szCs w:val="21"/>
                <w:lang w:val="en-US" w:eastAsia="zh-CN"/>
              </w:rPr>
              <w:t>25</w:t>
            </w:r>
            <w:r>
              <w:rPr>
                <w:rFonts w:hint="eastAsia" w:ascii="Times New Roman" w:hAnsi="Times New Roman" w:eastAsia="宋体" w:cs="Times New Roman"/>
                <w:color w:val="auto"/>
                <w:szCs w:val="21"/>
              </w:rPr>
              <w:t>t/a</w:t>
            </w:r>
          </w:p>
        </w:tc>
      </w:tr>
      <w:tr w14:paraId="21896B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68ED8BD4">
            <w:pPr>
              <w:spacing w:line="269" w:lineRule="auto"/>
              <w:jc w:val="center"/>
              <w:rPr>
                <w:rFonts w:ascii="Times New Roman" w:hAnsi="Times New Roman" w:eastAsia="宋体" w:cs="宋体"/>
                <w:snapToGrid w:val="0"/>
                <w:color w:val="auto"/>
                <w:kern w:val="21"/>
                <w:szCs w:val="21"/>
              </w:rPr>
            </w:pPr>
          </w:p>
        </w:tc>
        <w:tc>
          <w:tcPr>
            <w:tcW w:w="1134" w:type="dxa"/>
            <w:vMerge w:val="continue"/>
            <w:vAlign w:val="center"/>
          </w:tcPr>
          <w:p w14:paraId="088A836F">
            <w:pPr>
              <w:spacing w:line="269" w:lineRule="auto"/>
              <w:jc w:val="center"/>
              <w:rPr>
                <w:rFonts w:ascii="Times New Roman" w:hAnsi="Times New Roman" w:eastAsia="宋体" w:cs="Times New Roman"/>
                <w:snapToGrid w:val="0"/>
                <w:color w:val="auto"/>
                <w:kern w:val="21"/>
                <w:szCs w:val="21"/>
              </w:rPr>
            </w:pPr>
          </w:p>
        </w:tc>
        <w:tc>
          <w:tcPr>
            <w:tcW w:w="992" w:type="dxa"/>
            <w:vAlign w:val="center"/>
          </w:tcPr>
          <w:p w14:paraId="42F672C1">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无组织</w:t>
            </w:r>
          </w:p>
        </w:tc>
        <w:tc>
          <w:tcPr>
            <w:tcW w:w="1559" w:type="dxa"/>
            <w:vAlign w:val="center"/>
          </w:tcPr>
          <w:p w14:paraId="396956F0">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10BEBE3D">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6CC07C19">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22684149">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0.05</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t/a</w:t>
            </w:r>
          </w:p>
        </w:tc>
        <w:tc>
          <w:tcPr>
            <w:tcW w:w="992" w:type="dxa"/>
            <w:vAlign w:val="center"/>
          </w:tcPr>
          <w:p w14:paraId="67F3019C">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5A4EC942">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0.05</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t/a</w:t>
            </w:r>
          </w:p>
        </w:tc>
        <w:tc>
          <w:tcPr>
            <w:tcW w:w="1642" w:type="dxa"/>
            <w:vAlign w:val="center"/>
          </w:tcPr>
          <w:p w14:paraId="34BA67F4">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+0.05</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t/a</w:t>
            </w:r>
          </w:p>
        </w:tc>
      </w:tr>
      <w:tr w14:paraId="27F2D1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restart"/>
            <w:vAlign w:val="center"/>
          </w:tcPr>
          <w:p w14:paraId="088D29A0">
            <w:pPr>
              <w:spacing w:line="269" w:lineRule="auto"/>
              <w:jc w:val="center"/>
              <w:rPr>
                <w:rFonts w:ascii="Times New Roman" w:hAnsi="Times New Roman" w:eastAsia="宋体" w:cs="宋体"/>
                <w:snapToGrid w:val="0"/>
                <w:color w:val="auto"/>
                <w:kern w:val="21"/>
                <w:szCs w:val="21"/>
              </w:rPr>
            </w:pPr>
            <w:r>
              <w:rPr>
                <w:rFonts w:hint="eastAsia" w:ascii="Times New Roman" w:hAnsi="Times New Roman" w:eastAsia="宋体" w:cs="宋体"/>
                <w:snapToGrid w:val="0"/>
                <w:color w:val="auto"/>
                <w:kern w:val="21"/>
                <w:szCs w:val="21"/>
              </w:rPr>
              <w:t>废水</w:t>
            </w:r>
          </w:p>
        </w:tc>
        <w:tc>
          <w:tcPr>
            <w:tcW w:w="2126" w:type="dxa"/>
            <w:gridSpan w:val="2"/>
            <w:vAlign w:val="center"/>
          </w:tcPr>
          <w:p w14:paraId="557F91CE">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COD</w:t>
            </w:r>
            <w:r>
              <w:rPr>
                <w:rFonts w:hint="eastAsia" w:ascii="Times New Roman" w:hAnsi="Times New Roman" w:eastAsia="宋体" w:cs="Times New Roman"/>
                <w:snapToGrid w:val="0"/>
                <w:color w:val="auto"/>
                <w:kern w:val="21"/>
                <w:szCs w:val="21"/>
                <w:vertAlign w:val="subscript"/>
              </w:rPr>
              <w:t>Cr</w:t>
            </w:r>
          </w:p>
        </w:tc>
        <w:tc>
          <w:tcPr>
            <w:tcW w:w="1559" w:type="dxa"/>
            <w:vAlign w:val="center"/>
          </w:tcPr>
          <w:p w14:paraId="59874821">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58DE6A98">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1D808297">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75FFECDD">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w:t>
            </w:r>
            <w:r>
              <w:rPr>
                <w:rFonts w:hint="eastAsia" w:ascii="Times New Roman" w:hAnsi="Times New Roman" w:eastAsia="宋体" w:cs="Times New Roman"/>
                <w:color w:val="auto"/>
                <w:szCs w:val="21"/>
                <w:lang w:val="en-US" w:eastAsia="zh-CN"/>
              </w:rPr>
              <w:t>230</w:t>
            </w:r>
            <w:r>
              <w:rPr>
                <w:rFonts w:hint="eastAsia" w:ascii="Times New Roman" w:hAnsi="Times New Roman" w:eastAsia="宋体" w:cs="Times New Roman"/>
                <w:color w:val="auto"/>
                <w:szCs w:val="21"/>
              </w:rPr>
              <w:t>t/a</w:t>
            </w:r>
          </w:p>
        </w:tc>
        <w:tc>
          <w:tcPr>
            <w:tcW w:w="992" w:type="dxa"/>
            <w:vAlign w:val="center"/>
          </w:tcPr>
          <w:p w14:paraId="331A1981">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418" w:type="dxa"/>
            <w:vAlign w:val="center"/>
          </w:tcPr>
          <w:p w14:paraId="04C396E9">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w:t>
            </w:r>
            <w:r>
              <w:rPr>
                <w:rFonts w:hint="eastAsia" w:ascii="Times New Roman" w:hAnsi="Times New Roman" w:eastAsia="宋体" w:cs="Times New Roman"/>
                <w:color w:val="auto"/>
                <w:szCs w:val="21"/>
                <w:lang w:val="en-US" w:eastAsia="zh-CN"/>
              </w:rPr>
              <w:t>230</w:t>
            </w:r>
            <w:r>
              <w:rPr>
                <w:rFonts w:hint="eastAsia" w:ascii="Times New Roman" w:hAnsi="Times New Roman" w:eastAsia="宋体" w:cs="Times New Roman"/>
                <w:color w:val="auto"/>
                <w:szCs w:val="21"/>
              </w:rPr>
              <w:t>t/a</w:t>
            </w:r>
          </w:p>
        </w:tc>
        <w:tc>
          <w:tcPr>
            <w:tcW w:w="1642" w:type="dxa"/>
            <w:vAlign w:val="center"/>
          </w:tcPr>
          <w:p w14:paraId="027E9FDE">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w:t>
            </w:r>
            <w:r>
              <w:rPr>
                <w:rFonts w:hint="eastAsia" w:ascii="Times New Roman" w:hAnsi="Times New Roman" w:eastAsia="宋体" w:cs="Times New Roman"/>
                <w:color w:val="auto"/>
                <w:szCs w:val="21"/>
                <w:lang w:val="en-US" w:eastAsia="zh-CN"/>
              </w:rPr>
              <w:t>230</w:t>
            </w:r>
            <w:r>
              <w:rPr>
                <w:rFonts w:hint="eastAsia" w:ascii="Times New Roman" w:hAnsi="Times New Roman" w:eastAsia="宋体" w:cs="Times New Roman"/>
                <w:color w:val="auto"/>
                <w:szCs w:val="21"/>
              </w:rPr>
              <w:t>t/a</w:t>
            </w:r>
          </w:p>
        </w:tc>
      </w:tr>
      <w:tr w14:paraId="5C1884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5D499266">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3E8FADD0">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BOD</w:t>
            </w:r>
            <w:r>
              <w:rPr>
                <w:rFonts w:ascii="Times New Roman" w:hAnsi="Times New Roman" w:eastAsia="宋体" w:cs="Times New Roman"/>
                <w:snapToGrid w:val="0"/>
                <w:color w:val="auto"/>
                <w:kern w:val="21"/>
                <w:szCs w:val="21"/>
                <w:vertAlign w:val="subscript"/>
              </w:rPr>
              <w:t>5</w:t>
            </w:r>
          </w:p>
        </w:tc>
        <w:tc>
          <w:tcPr>
            <w:tcW w:w="1559" w:type="dxa"/>
            <w:vAlign w:val="center"/>
          </w:tcPr>
          <w:p w14:paraId="203C9620">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6B9CD96B">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7FDC297D">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42B4FC67">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w:t>
            </w:r>
            <w:r>
              <w:rPr>
                <w:rFonts w:hint="eastAsia" w:ascii="Times New Roman" w:hAnsi="Times New Roman" w:eastAsia="宋体" w:cs="Times New Roman"/>
                <w:color w:val="auto"/>
                <w:szCs w:val="21"/>
                <w:lang w:val="en-US" w:eastAsia="zh-CN"/>
              </w:rPr>
              <w:t>077</w:t>
            </w:r>
            <w:r>
              <w:rPr>
                <w:rFonts w:hint="eastAsia" w:ascii="Times New Roman" w:hAnsi="Times New Roman" w:eastAsia="宋体" w:cs="Times New Roman"/>
                <w:color w:val="auto"/>
                <w:szCs w:val="21"/>
              </w:rPr>
              <w:t>t/a</w:t>
            </w:r>
          </w:p>
        </w:tc>
        <w:tc>
          <w:tcPr>
            <w:tcW w:w="992" w:type="dxa"/>
            <w:vAlign w:val="center"/>
          </w:tcPr>
          <w:p w14:paraId="26A52FE7">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418" w:type="dxa"/>
            <w:vAlign w:val="center"/>
          </w:tcPr>
          <w:p w14:paraId="31D0955D">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w:t>
            </w:r>
            <w:r>
              <w:rPr>
                <w:rFonts w:hint="eastAsia" w:ascii="Times New Roman" w:hAnsi="Times New Roman" w:eastAsia="宋体" w:cs="Times New Roman"/>
                <w:color w:val="auto"/>
                <w:szCs w:val="21"/>
                <w:lang w:val="en-US" w:eastAsia="zh-CN"/>
              </w:rPr>
              <w:t>077</w:t>
            </w:r>
            <w:r>
              <w:rPr>
                <w:rFonts w:hint="eastAsia" w:ascii="Times New Roman" w:hAnsi="Times New Roman" w:eastAsia="宋体" w:cs="Times New Roman"/>
                <w:color w:val="auto"/>
                <w:szCs w:val="21"/>
              </w:rPr>
              <w:t>t/a</w:t>
            </w:r>
          </w:p>
        </w:tc>
        <w:tc>
          <w:tcPr>
            <w:tcW w:w="1642" w:type="dxa"/>
            <w:vAlign w:val="center"/>
          </w:tcPr>
          <w:p w14:paraId="0D2E1A1A">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w:t>
            </w:r>
            <w:r>
              <w:rPr>
                <w:rFonts w:hint="eastAsia" w:ascii="Times New Roman" w:hAnsi="Times New Roman" w:eastAsia="宋体" w:cs="Times New Roman"/>
                <w:color w:val="auto"/>
                <w:szCs w:val="21"/>
                <w:lang w:val="en-US" w:eastAsia="zh-CN"/>
              </w:rPr>
              <w:t>077</w:t>
            </w:r>
            <w:r>
              <w:rPr>
                <w:rFonts w:hint="eastAsia" w:ascii="Times New Roman" w:hAnsi="Times New Roman" w:eastAsia="宋体" w:cs="Times New Roman"/>
                <w:color w:val="auto"/>
                <w:szCs w:val="21"/>
              </w:rPr>
              <w:t>t/a</w:t>
            </w:r>
          </w:p>
        </w:tc>
      </w:tr>
      <w:tr w14:paraId="4D3EFC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799D0FD1">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131DAFBE">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SS</w:t>
            </w:r>
          </w:p>
        </w:tc>
        <w:tc>
          <w:tcPr>
            <w:tcW w:w="1559" w:type="dxa"/>
            <w:vAlign w:val="center"/>
          </w:tcPr>
          <w:p w14:paraId="335FFFF7">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608B9B48">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00C38F10">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7587A1BC">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0.1</w:t>
            </w:r>
            <w:r>
              <w:rPr>
                <w:rFonts w:hint="eastAsia" w:ascii="Times New Roman" w:hAnsi="Times New Roman" w:eastAsia="宋体" w:cs="Times New Roman"/>
                <w:color w:val="auto"/>
                <w:szCs w:val="21"/>
                <w:lang w:val="en-US" w:eastAsia="zh-CN"/>
              </w:rPr>
              <w:t>15</w:t>
            </w:r>
            <w:r>
              <w:rPr>
                <w:rFonts w:hint="eastAsia" w:ascii="Times New Roman" w:hAnsi="Times New Roman" w:eastAsia="宋体" w:cs="Times New Roman"/>
                <w:color w:val="auto"/>
                <w:szCs w:val="21"/>
              </w:rPr>
              <w:t>t/a</w:t>
            </w:r>
          </w:p>
        </w:tc>
        <w:tc>
          <w:tcPr>
            <w:tcW w:w="992" w:type="dxa"/>
            <w:vAlign w:val="center"/>
          </w:tcPr>
          <w:p w14:paraId="4273EB38">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418" w:type="dxa"/>
            <w:vAlign w:val="center"/>
          </w:tcPr>
          <w:p w14:paraId="7A0779A6">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0.1</w:t>
            </w:r>
            <w:r>
              <w:rPr>
                <w:rFonts w:hint="eastAsia" w:ascii="Times New Roman" w:hAnsi="Times New Roman" w:eastAsia="宋体" w:cs="Times New Roman"/>
                <w:color w:val="auto"/>
                <w:szCs w:val="21"/>
                <w:lang w:val="en-US" w:eastAsia="zh-CN"/>
              </w:rPr>
              <w:t>15</w:t>
            </w:r>
            <w:r>
              <w:rPr>
                <w:rFonts w:hint="eastAsia" w:ascii="Times New Roman" w:hAnsi="Times New Roman" w:eastAsia="宋体" w:cs="Times New Roman"/>
                <w:color w:val="auto"/>
                <w:szCs w:val="21"/>
              </w:rPr>
              <w:t>t/a</w:t>
            </w:r>
          </w:p>
        </w:tc>
        <w:tc>
          <w:tcPr>
            <w:tcW w:w="1642" w:type="dxa"/>
            <w:vAlign w:val="center"/>
          </w:tcPr>
          <w:p w14:paraId="6A8BC667">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+0.1</w:t>
            </w:r>
            <w:r>
              <w:rPr>
                <w:rFonts w:hint="eastAsia" w:ascii="Times New Roman" w:hAnsi="Times New Roman" w:eastAsia="宋体" w:cs="Times New Roman"/>
                <w:color w:val="auto"/>
                <w:szCs w:val="21"/>
                <w:lang w:val="en-US" w:eastAsia="zh-CN"/>
              </w:rPr>
              <w:t>15</w:t>
            </w:r>
            <w:r>
              <w:rPr>
                <w:rFonts w:hint="eastAsia" w:ascii="Times New Roman" w:hAnsi="Times New Roman" w:eastAsia="宋体" w:cs="Times New Roman"/>
                <w:color w:val="auto"/>
                <w:szCs w:val="21"/>
              </w:rPr>
              <w:t>t/a</w:t>
            </w:r>
          </w:p>
        </w:tc>
      </w:tr>
      <w:tr w14:paraId="58F26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0B9BDC74">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5220277D">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NH</w:t>
            </w:r>
            <w:r>
              <w:rPr>
                <w:rFonts w:ascii="Times New Roman" w:hAnsi="Times New Roman" w:eastAsia="宋体" w:cs="Times New Roman"/>
                <w:snapToGrid w:val="0"/>
                <w:color w:val="auto"/>
                <w:kern w:val="21"/>
                <w:szCs w:val="21"/>
                <w:vertAlign w:val="subscript"/>
              </w:rPr>
              <w:t>3</w:t>
            </w:r>
            <w:r>
              <w:rPr>
                <w:rFonts w:ascii="Times New Roman" w:hAnsi="Times New Roman" w:eastAsia="宋体" w:cs="Times New Roman"/>
                <w:snapToGrid w:val="0"/>
                <w:color w:val="auto"/>
                <w:kern w:val="21"/>
                <w:szCs w:val="21"/>
              </w:rPr>
              <w:t>-N</w:t>
            </w:r>
          </w:p>
        </w:tc>
        <w:tc>
          <w:tcPr>
            <w:tcW w:w="1559" w:type="dxa"/>
            <w:vAlign w:val="center"/>
          </w:tcPr>
          <w:p w14:paraId="7DDABA4B">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019AF1B5">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78FEE249">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762296EE">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w:t>
            </w:r>
            <w:r>
              <w:rPr>
                <w:rFonts w:hint="eastAsia" w:ascii="Times New Roman" w:hAnsi="Times New Roman" w:eastAsia="宋体" w:cs="Times New Roman"/>
                <w:color w:val="auto"/>
                <w:szCs w:val="21"/>
                <w:lang w:val="en-US" w:eastAsia="zh-CN"/>
              </w:rPr>
              <w:t>19</w:t>
            </w:r>
            <w:r>
              <w:rPr>
                <w:rFonts w:hint="eastAsia" w:ascii="Times New Roman" w:hAnsi="Times New Roman" w:eastAsia="宋体" w:cs="Times New Roman"/>
                <w:color w:val="auto"/>
                <w:szCs w:val="21"/>
              </w:rPr>
              <w:t>t/a</w:t>
            </w:r>
          </w:p>
        </w:tc>
        <w:tc>
          <w:tcPr>
            <w:tcW w:w="992" w:type="dxa"/>
            <w:vAlign w:val="center"/>
          </w:tcPr>
          <w:p w14:paraId="0A132642">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418" w:type="dxa"/>
            <w:vAlign w:val="center"/>
          </w:tcPr>
          <w:p w14:paraId="5EAD3A06">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w:t>
            </w:r>
            <w:r>
              <w:rPr>
                <w:rFonts w:hint="eastAsia" w:ascii="Times New Roman" w:hAnsi="Times New Roman" w:eastAsia="宋体" w:cs="Times New Roman"/>
                <w:color w:val="auto"/>
                <w:szCs w:val="21"/>
                <w:lang w:val="en-US" w:eastAsia="zh-CN"/>
              </w:rPr>
              <w:t>19</w:t>
            </w:r>
            <w:r>
              <w:rPr>
                <w:rFonts w:hint="eastAsia" w:ascii="Times New Roman" w:hAnsi="Times New Roman" w:eastAsia="宋体" w:cs="Times New Roman"/>
                <w:color w:val="auto"/>
                <w:szCs w:val="21"/>
              </w:rPr>
              <w:t>t/a</w:t>
            </w:r>
          </w:p>
        </w:tc>
        <w:tc>
          <w:tcPr>
            <w:tcW w:w="1642" w:type="dxa"/>
            <w:vAlign w:val="center"/>
          </w:tcPr>
          <w:p w14:paraId="629BD343">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w:t>
            </w:r>
            <w:r>
              <w:rPr>
                <w:rFonts w:hint="eastAsia" w:ascii="Times New Roman" w:hAnsi="Times New Roman" w:eastAsia="宋体" w:cs="Times New Roman"/>
                <w:color w:val="auto"/>
                <w:szCs w:val="21"/>
                <w:lang w:val="en-US" w:eastAsia="zh-CN"/>
              </w:rPr>
              <w:t>19</w:t>
            </w:r>
            <w:r>
              <w:rPr>
                <w:rFonts w:hint="eastAsia" w:ascii="Times New Roman" w:hAnsi="Times New Roman" w:eastAsia="宋体" w:cs="Times New Roman"/>
                <w:color w:val="auto"/>
                <w:szCs w:val="21"/>
              </w:rPr>
              <w:t>t/a</w:t>
            </w:r>
          </w:p>
        </w:tc>
      </w:tr>
      <w:tr w14:paraId="0B8F0F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6C5A4C80">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53205AEB">
            <w:pPr>
              <w:spacing w:line="269" w:lineRule="auto"/>
              <w:jc w:val="center"/>
              <w:rPr>
                <w:rFonts w:hint="eastAsia" w:ascii="Times New Roman" w:hAnsi="Times New Roman" w:eastAsia="宋体" w:cs="Times New Roman"/>
                <w:snapToGrid w:val="0"/>
                <w:color w:val="auto"/>
                <w:kern w:val="21"/>
                <w:szCs w:val="21"/>
                <w:lang w:val="en-US" w:eastAsia="zh-CN"/>
              </w:rPr>
            </w:pPr>
            <w:r>
              <w:rPr>
                <w:rFonts w:hint="eastAsia" w:ascii="Times New Roman" w:hAnsi="Times New Roman" w:eastAsia="宋体" w:cs="Times New Roman"/>
                <w:snapToGrid w:val="0"/>
                <w:color w:val="auto"/>
                <w:kern w:val="21"/>
                <w:szCs w:val="21"/>
                <w:lang w:val="en-US" w:eastAsia="zh-CN"/>
              </w:rPr>
              <w:t>TP</w:t>
            </w:r>
          </w:p>
        </w:tc>
        <w:tc>
          <w:tcPr>
            <w:tcW w:w="1559" w:type="dxa"/>
            <w:vAlign w:val="center"/>
          </w:tcPr>
          <w:p w14:paraId="6943B3AF">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68738130">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276" w:type="dxa"/>
            <w:vAlign w:val="center"/>
          </w:tcPr>
          <w:p w14:paraId="043708A2">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26C2FEA8">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0.006</w:t>
            </w:r>
            <w:r>
              <w:rPr>
                <w:rFonts w:hint="eastAsia" w:ascii="Times New Roman" w:hAnsi="Times New Roman" w:eastAsia="宋体" w:cs="Times New Roman"/>
                <w:color w:val="auto"/>
                <w:szCs w:val="21"/>
              </w:rPr>
              <w:t>t/a</w:t>
            </w:r>
          </w:p>
        </w:tc>
        <w:tc>
          <w:tcPr>
            <w:tcW w:w="992" w:type="dxa"/>
            <w:shd w:val="clear" w:color="auto" w:fill="auto"/>
            <w:vAlign w:val="center"/>
          </w:tcPr>
          <w:p w14:paraId="122B882A">
            <w:pPr>
              <w:spacing w:line="269" w:lineRule="auto"/>
              <w:jc w:val="center"/>
              <w:rPr>
                <w:rFonts w:ascii="Times New Roman" w:hAnsi="Times New Roman" w:eastAsia="宋体" w:cs="Times New Roman"/>
                <w:snapToGrid w:val="0"/>
                <w:color w:val="auto"/>
                <w:kern w:val="21"/>
                <w:sz w:val="21"/>
                <w:szCs w:val="21"/>
                <w:lang w:val="en-US" w:eastAsia="zh-CN" w:bidi="ar-SA"/>
              </w:rPr>
            </w:pPr>
            <w:r>
              <w:rPr>
                <w:rFonts w:ascii="Times New Roman" w:hAnsi="Times New Roman" w:eastAsia="宋体" w:cs="Times New Roman"/>
                <w:snapToGrid w:val="0"/>
                <w:color w:val="auto"/>
                <w:kern w:val="21"/>
                <w:szCs w:val="21"/>
              </w:rPr>
              <w:t>/</w:t>
            </w:r>
          </w:p>
        </w:tc>
        <w:tc>
          <w:tcPr>
            <w:tcW w:w="1418" w:type="dxa"/>
            <w:shd w:val="clear" w:color="auto" w:fill="auto"/>
            <w:vAlign w:val="center"/>
          </w:tcPr>
          <w:p w14:paraId="7054030D">
            <w:pPr>
              <w:jc w:val="center"/>
              <w:rPr>
                <w:rFonts w:hint="eastAsia" w:ascii="Times New Roman" w:hAnsi="Times New Roman" w:eastAsia="宋体" w:cs="Times New Roman"/>
                <w:snapToGrid w:val="0"/>
                <w:color w:val="auto"/>
                <w:kern w:val="21"/>
                <w:sz w:val="21"/>
                <w:szCs w:val="21"/>
                <w:lang w:val="en-US" w:eastAsia="zh-CN" w:bidi="ar-SA"/>
              </w:rPr>
            </w:pPr>
            <w:r>
              <w:rPr>
                <w:rFonts w:hint="eastAsia" w:ascii="Times New Roman" w:hAnsi="Times New Roman" w:eastAsia="宋体" w:cs="Times New Roman"/>
                <w:color w:val="auto"/>
                <w:szCs w:val="21"/>
                <w:lang w:val="en-US" w:eastAsia="zh-CN"/>
              </w:rPr>
              <w:t>0.006</w:t>
            </w:r>
            <w:r>
              <w:rPr>
                <w:rFonts w:hint="eastAsia" w:ascii="Times New Roman" w:hAnsi="Times New Roman" w:eastAsia="宋体" w:cs="Times New Roman"/>
                <w:color w:val="auto"/>
                <w:szCs w:val="21"/>
              </w:rPr>
              <w:t>t/a</w:t>
            </w:r>
          </w:p>
        </w:tc>
        <w:tc>
          <w:tcPr>
            <w:tcW w:w="1642" w:type="dxa"/>
            <w:shd w:val="clear" w:color="auto" w:fill="auto"/>
            <w:vAlign w:val="center"/>
          </w:tcPr>
          <w:p w14:paraId="44B3A0D7">
            <w:pPr>
              <w:jc w:val="center"/>
              <w:rPr>
                <w:rFonts w:hint="eastAsia" w:ascii="Times New Roman" w:hAnsi="Times New Roman" w:eastAsia="宋体" w:cs="Times New Roman"/>
                <w:snapToGrid w:val="0"/>
                <w:color w:val="auto"/>
                <w:kern w:val="21"/>
                <w:sz w:val="21"/>
                <w:szCs w:val="21"/>
                <w:lang w:val="en-US" w:eastAsia="zh-CN" w:bidi="ar-SA"/>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0.006</w:t>
            </w:r>
            <w:r>
              <w:rPr>
                <w:rFonts w:hint="eastAsia" w:ascii="Times New Roman" w:hAnsi="Times New Roman" w:eastAsia="宋体" w:cs="Times New Roman"/>
                <w:color w:val="auto"/>
                <w:szCs w:val="21"/>
              </w:rPr>
              <w:t>t/a</w:t>
            </w:r>
          </w:p>
        </w:tc>
      </w:tr>
      <w:tr w14:paraId="4F2DE8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Align w:val="center"/>
          </w:tcPr>
          <w:p w14:paraId="759FC0D3">
            <w:pPr>
              <w:spacing w:line="269" w:lineRule="auto"/>
              <w:jc w:val="center"/>
              <w:rPr>
                <w:rFonts w:ascii="Times New Roman" w:hAnsi="Times New Roman" w:eastAsia="宋体" w:cs="宋体"/>
                <w:snapToGrid w:val="0"/>
                <w:color w:val="auto"/>
                <w:kern w:val="21"/>
                <w:szCs w:val="21"/>
              </w:rPr>
            </w:pPr>
            <w:r>
              <w:rPr>
                <w:rFonts w:hint="eastAsia" w:ascii="Times New Roman" w:hAnsi="Times New Roman" w:eastAsia="宋体" w:cs="宋体"/>
                <w:snapToGrid w:val="0"/>
                <w:color w:val="auto"/>
                <w:kern w:val="21"/>
                <w:szCs w:val="21"/>
              </w:rPr>
              <w:t>一般工业固体废物</w:t>
            </w:r>
          </w:p>
        </w:tc>
        <w:tc>
          <w:tcPr>
            <w:tcW w:w="2126" w:type="dxa"/>
            <w:gridSpan w:val="2"/>
            <w:vAlign w:val="center"/>
          </w:tcPr>
          <w:p w14:paraId="37360C77">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废羊毛球</w:t>
            </w:r>
          </w:p>
        </w:tc>
        <w:tc>
          <w:tcPr>
            <w:tcW w:w="1559" w:type="dxa"/>
            <w:vAlign w:val="center"/>
          </w:tcPr>
          <w:p w14:paraId="6F034C61">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26827308">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43AC955A">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45524236">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1.5t/a</w:t>
            </w:r>
          </w:p>
        </w:tc>
        <w:tc>
          <w:tcPr>
            <w:tcW w:w="992" w:type="dxa"/>
            <w:vAlign w:val="center"/>
          </w:tcPr>
          <w:p w14:paraId="53DE6A52">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418" w:type="dxa"/>
            <w:vAlign w:val="center"/>
          </w:tcPr>
          <w:p w14:paraId="5983A3B0">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1.5t/a</w:t>
            </w:r>
          </w:p>
        </w:tc>
        <w:tc>
          <w:tcPr>
            <w:tcW w:w="1642" w:type="dxa"/>
            <w:vAlign w:val="center"/>
          </w:tcPr>
          <w:p w14:paraId="64BBF62B">
            <w:pPr>
              <w:spacing w:line="269"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snapToGrid w:val="0"/>
                <w:color w:val="auto"/>
                <w:kern w:val="21"/>
                <w:szCs w:val="21"/>
              </w:rPr>
              <w:t>1.5t/a</w:t>
            </w:r>
          </w:p>
        </w:tc>
      </w:tr>
      <w:tr w14:paraId="1CFEC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Align w:val="center"/>
          </w:tcPr>
          <w:p w14:paraId="55EA684D">
            <w:pPr>
              <w:spacing w:line="269" w:lineRule="auto"/>
              <w:jc w:val="center"/>
              <w:rPr>
                <w:rFonts w:ascii="Times New Roman" w:hAnsi="Times New Roman" w:eastAsia="宋体" w:cs="宋体"/>
                <w:snapToGrid w:val="0"/>
                <w:color w:val="auto"/>
                <w:kern w:val="21"/>
                <w:szCs w:val="21"/>
              </w:rPr>
            </w:pPr>
            <w:r>
              <w:rPr>
                <w:rFonts w:ascii="Times New Roman" w:hAnsi="Times New Roman" w:eastAsia="宋体" w:cs="宋体"/>
                <w:snapToGrid w:val="0"/>
                <w:color w:val="auto"/>
                <w:kern w:val="21"/>
                <w:szCs w:val="21"/>
              </w:rPr>
              <w:t>生活垃圾</w:t>
            </w:r>
          </w:p>
        </w:tc>
        <w:tc>
          <w:tcPr>
            <w:tcW w:w="2126" w:type="dxa"/>
            <w:gridSpan w:val="2"/>
            <w:vAlign w:val="center"/>
          </w:tcPr>
          <w:p w14:paraId="37889E17">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生活垃圾</w:t>
            </w:r>
          </w:p>
        </w:tc>
        <w:tc>
          <w:tcPr>
            <w:tcW w:w="1559" w:type="dxa"/>
            <w:vAlign w:val="center"/>
          </w:tcPr>
          <w:p w14:paraId="4FCD9925">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642E0A25">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2A63AA5F">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41118C29">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9t/a</w:t>
            </w:r>
          </w:p>
        </w:tc>
        <w:tc>
          <w:tcPr>
            <w:tcW w:w="992" w:type="dxa"/>
            <w:vAlign w:val="center"/>
          </w:tcPr>
          <w:p w14:paraId="1D6A01C9">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418" w:type="dxa"/>
            <w:vAlign w:val="center"/>
          </w:tcPr>
          <w:p w14:paraId="56CA59A1">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9t/a</w:t>
            </w:r>
          </w:p>
        </w:tc>
        <w:tc>
          <w:tcPr>
            <w:tcW w:w="1642" w:type="dxa"/>
            <w:vAlign w:val="center"/>
          </w:tcPr>
          <w:p w14:paraId="011927DA">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snapToGrid w:val="0"/>
                <w:color w:val="auto"/>
                <w:kern w:val="21"/>
                <w:szCs w:val="21"/>
              </w:rPr>
              <w:t>9t/a</w:t>
            </w:r>
          </w:p>
        </w:tc>
      </w:tr>
      <w:tr w14:paraId="3457A1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restart"/>
            <w:vAlign w:val="center"/>
          </w:tcPr>
          <w:p w14:paraId="224678A2">
            <w:pPr>
              <w:spacing w:line="269" w:lineRule="auto"/>
              <w:jc w:val="center"/>
              <w:rPr>
                <w:rFonts w:ascii="Times New Roman" w:hAnsi="Times New Roman" w:eastAsia="宋体" w:cs="宋体"/>
                <w:snapToGrid w:val="0"/>
                <w:color w:val="auto"/>
                <w:kern w:val="21"/>
                <w:szCs w:val="21"/>
              </w:rPr>
            </w:pPr>
            <w:r>
              <w:rPr>
                <w:rFonts w:ascii="Times New Roman" w:hAnsi="Times New Roman" w:eastAsia="宋体" w:cs="宋体"/>
                <w:snapToGrid w:val="0"/>
                <w:color w:val="auto"/>
                <w:kern w:val="21"/>
                <w:szCs w:val="21"/>
              </w:rPr>
              <w:t>危险废物</w:t>
            </w:r>
          </w:p>
        </w:tc>
        <w:tc>
          <w:tcPr>
            <w:tcW w:w="2126" w:type="dxa"/>
            <w:gridSpan w:val="2"/>
            <w:vAlign w:val="center"/>
          </w:tcPr>
          <w:p w14:paraId="04EF28E3">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废漆渣</w:t>
            </w:r>
          </w:p>
        </w:tc>
        <w:tc>
          <w:tcPr>
            <w:tcW w:w="1559" w:type="dxa"/>
            <w:vAlign w:val="center"/>
          </w:tcPr>
          <w:p w14:paraId="022294AC">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134" w:type="dxa"/>
            <w:vAlign w:val="center"/>
          </w:tcPr>
          <w:p w14:paraId="793408E8">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053A8AA4">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701" w:type="dxa"/>
            <w:vAlign w:val="center"/>
          </w:tcPr>
          <w:p w14:paraId="14F42418">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1.8</w:t>
            </w:r>
            <w:r>
              <w:rPr>
                <w:rFonts w:hint="eastAsia" w:ascii="Times New Roman" w:hAnsi="Times New Roman" w:eastAsia="宋体" w:cs="Times New Roman"/>
                <w:color w:val="auto"/>
                <w:szCs w:val="21"/>
                <w:lang w:val="en-US" w:eastAsia="zh-CN"/>
              </w:rPr>
              <w:t>63</w:t>
            </w:r>
            <w:r>
              <w:rPr>
                <w:rFonts w:hint="eastAsia" w:ascii="Times New Roman" w:hAnsi="Times New Roman" w:eastAsia="宋体" w:cs="Times New Roman"/>
                <w:color w:val="auto"/>
                <w:szCs w:val="21"/>
              </w:rPr>
              <w:t>t/a</w:t>
            </w:r>
          </w:p>
        </w:tc>
        <w:tc>
          <w:tcPr>
            <w:tcW w:w="992" w:type="dxa"/>
            <w:vAlign w:val="center"/>
          </w:tcPr>
          <w:p w14:paraId="643342BE">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63AAC69D">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1.8</w:t>
            </w:r>
            <w:r>
              <w:rPr>
                <w:rFonts w:hint="eastAsia" w:ascii="Times New Roman" w:hAnsi="Times New Roman" w:eastAsia="宋体" w:cs="Times New Roman"/>
                <w:color w:val="auto"/>
                <w:szCs w:val="21"/>
                <w:lang w:val="en-US" w:eastAsia="zh-CN"/>
              </w:rPr>
              <w:t>63</w:t>
            </w:r>
            <w:r>
              <w:rPr>
                <w:rFonts w:hint="eastAsia" w:ascii="Times New Roman" w:hAnsi="Times New Roman" w:eastAsia="宋体" w:cs="Times New Roman"/>
                <w:color w:val="auto"/>
                <w:szCs w:val="21"/>
              </w:rPr>
              <w:t>t/a</w:t>
            </w:r>
          </w:p>
        </w:tc>
        <w:tc>
          <w:tcPr>
            <w:tcW w:w="1642" w:type="dxa"/>
            <w:vAlign w:val="center"/>
          </w:tcPr>
          <w:p w14:paraId="0CA60477">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+1.8</w:t>
            </w:r>
            <w:r>
              <w:rPr>
                <w:rFonts w:hint="eastAsia" w:ascii="Times New Roman" w:hAnsi="Times New Roman" w:eastAsia="宋体" w:cs="Times New Roman"/>
                <w:color w:val="auto"/>
                <w:szCs w:val="21"/>
                <w:lang w:val="en-US" w:eastAsia="zh-CN"/>
              </w:rPr>
              <w:t>63</w:t>
            </w:r>
            <w:r>
              <w:rPr>
                <w:rFonts w:hint="eastAsia" w:ascii="Times New Roman" w:hAnsi="Times New Roman" w:eastAsia="宋体" w:cs="Times New Roman"/>
                <w:color w:val="auto"/>
                <w:szCs w:val="21"/>
              </w:rPr>
              <w:t>t/a</w:t>
            </w:r>
          </w:p>
        </w:tc>
      </w:tr>
      <w:tr w14:paraId="3128AC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5164AA98">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57D5D4F3">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废</w:t>
            </w:r>
            <w:r>
              <w:rPr>
                <w:rFonts w:hint="eastAsia" w:ascii="Times New Roman" w:hAnsi="Times New Roman" w:eastAsia="宋体" w:cs="Times New Roman"/>
                <w:color w:val="auto"/>
                <w:szCs w:val="21"/>
              </w:rPr>
              <w:t>涂料桶</w:t>
            </w:r>
          </w:p>
        </w:tc>
        <w:tc>
          <w:tcPr>
            <w:tcW w:w="1559" w:type="dxa"/>
            <w:vAlign w:val="center"/>
          </w:tcPr>
          <w:p w14:paraId="393A6D06">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134" w:type="dxa"/>
            <w:vAlign w:val="center"/>
          </w:tcPr>
          <w:p w14:paraId="10F28523">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79EB48BF">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701" w:type="dxa"/>
            <w:vAlign w:val="center"/>
          </w:tcPr>
          <w:p w14:paraId="57DBBC93">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0.011</w:t>
            </w:r>
            <w:r>
              <w:rPr>
                <w:rFonts w:hint="eastAsia" w:ascii="Times New Roman" w:hAnsi="Times New Roman" w:eastAsia="宋体" w:cs="Times New Roman"/>
                <w:color w:val="auto"/>
                <w:szCs w:val="21"/>
              </w:rPr>
              <w:t>t/a</w:t>
            </w:r>
          </w:p>
        </w:tc>
        <w:tc>
          <w:tcPr>
            <w:tcW w:w="992" w:type="dxa"/>
            <w:vAlign w:val="center"/>
          </w:tcPr>
          <w:p w14:paraId="0E31A11D">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75944762">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0.011</w:t>
            </w:r>
            <w:r>
              <w:rPr>
                <w:rFonts w:hint="eastAsia" w:ascii="Times New Roman" w:hAnsi="Times New Roman" w:eastAsia="宋体" w:cs="Times New Roman"/>
                <w:color w:val="auto"/>
                <w:szCs w:val="21"/>
              </w:rPr>
              <w:t>t/a</w:t>
            </w:r>
          </w:p>
        </w:tc>
        <w:tc>
          <w:tcPr>
            <w:tcW w:w="1642" w:type="dxa"/>
            <w:vAlign w:val="center"/>
          </w:tcPr>
          <w:p w14:paraId="2B089D00">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0.011</w:t>
            </w:r>
            <w:r>
              <w:rPr>
                <w:rFonts w:hint="eastAsia" w:ascii="Times New Roman" w:hAnsi="Times New Roman" w:eastAsia="宋体" w:cs="Times New Roman"/>
                <w:color w:val="auto"/>
                <w:szCs w:val="21"/>
              </w:rPr>
              <w:t>t/a</w:t>
            </w:r>
          </w:p>
        </w:tc>
      </w:tr>
      <w:tr w14:paraId="2CA28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7A77202F">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1565309F">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废过滤棉</w:t>
            </w:r>
          </w:p>
        </w:tc>
        <w:tc>
          <w:tcPr>
            <w:tcW w:w="1559" w:type="dxa"/>
            <w:vAlign w:val="center"/>
          </w:tcPr>
          <w:p w14:paraId="08409B32">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134" w:type="dxa"/>
            <w:vAlign w:val="center"/>
          </w:tcPr>
          <w:p w14:paraId="7CE172D6">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45BAB00E">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701" w:type="dxa"/>
            <w:vAlign w:val="center"/>
          </w:tcPr>
          <w:p w14:paraId="4DF43899">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1.87</w:t>
            </w:r>
            <w:r>
              <w:rPr>
                <w:rFonts w:hint="eastAsia" w:ascii="Times New Roman" w:hAnsi="Times New Roman" w:eastAsia="宋体" w:cs="Times New Roman"/>
                <w:color w:val="auto"/>
                <w:szCs w:val="21"/>
              </w:rPr>
              <w:t>t/a</w:t>
            </w:r>
          </w:p>
        </w:tc>
        <w:tc>
          <w:tcPr>
            <w:tcW w:w="992" w:type="dxa"/>
            <w:vAlign w:val="center"/>
          </w:tcPr>
          <w:p w14:paraId="3583F39C">
            <w:pPr>
              <w:spacing w:line="269" w:lineRule="auto"/>
              <w:jc w:val="center"/>
              <w:rPr>
                <w:rFonts w:ascii="Times New Roman" w:hAnsi="Times New Roman" w:eastAsia="宋体" w:cs="Times New Roman"/>
                <w:snapToGrid w:val="0"/>
                <w:color w:val="auto"/>
                <w:kern w:val="21"/>
                <w:szCs w:val="21"/>
              </w:rPr>
            </w:pPr>
            <w:r>
              <w:rPr>
                <w:rFonts w:ascii="Times New Roman" w:hAnsi="Times New Roman" w:eastAsia="宋体" w:cs="Times New Roman"/>
                <w:snapToGrid w:val="0"/>
                <w:color w:val="auto"/>
                <w:kern w:val="21"/>
                <w:szCs w:val="21"/>
              </w:rPr>
              <w:t>/</w:t>
            </w:r>
          </w:p>
        </w:tc>
        <w:tc>
          <w:tcPr>
            <w:tcW w:w="1418" w:type="dxa"/>
            <w:vAlign w:val="center"/>
          </w:tcPr>
          <w:p w14:paraId="6652880C">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1.87</w:t>
            </w:r>
            <w:r>
              <w:rPr>
                <w:rFonts w:hint="eastAsia" w:ascii="Times New Roman" w:hAnsi="Times New Roman" w:eastAsia="宋体" w:cs="Times New Roman"/>
                <w:color w:val="auto"/>
                <w:szCs w:val="21"/>
              </w:rPr>
              <w:t>t/a</w:t>
            </w:r>
          </w:p>
        </w:tc>
        <w:tc>
          <w:tcPr>
            <w:tcW w:w="1642" w:type="dxa"/>
            <w:vAlign w:val="center"/>
          </w:tcPr>
          <w:p w14:paraId="2CC938AB">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1.87</w:t>
            </w:r>
            <w:r>
              <w:rPr>
                <w:rFonts w:hint="eastAsia" w:ascii="Times New Roman" w:hAnsi="Times New Roman" w:eastAsia="宋体" w:cs="Times New Roman"/>
                <w:color w:val="auto"/>
                <w:szCs w:val="21"/>
              </w:rPr>
              <w:t>t/a</w:t>
            </w:r>
          </w:p>
        </w:tc>
      </w:tr>
      <w:tr w14:paraId="0FD55E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62F7FA8B">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2EB16429">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废活性炭</w:t>
            </w:r>
          </w:p>
        </w:tc>
        <w:tc>
          <w:tcPr>
            <w:tcW w:w="1559" w:type="dxa"/>
            <w:vAlign w:val="center"/>
          </w:tcPr>
          <w:p w14:paraId="35CEDEB3">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134" w:type="dxa"/>
            <w:vAlign w:val="center"/>
          </w:tcPr>
          <w:p w14:paraId="7C68AD45">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6AB21C47">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701" w:type="dxa"/>
            <w:vAlign w:val="center"/>
          </w:tcPr>
          <w:p w14:paraId="4D2DF817">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9.565</w:t>
            </w:r>
            <w:r>
              <w:rPr>
                <w:rFonts w:hint="eastAsia" w:ascii="Times New Roman" w:hAnsi="Times New Roman" w:eastAsia="宋体" w:cs="Times New Roman"/>
                <w:color w:val="auto"/>
                <w:szCs w:val="21"/>
              </w:rPr>
              <w:t>t/a</w:t>
            </w:r>
          </w:p>
        </w:tc>
        <w:tc>
          <w:tcPr>
            <w:tcW w:w="992" w:type="dxa"/>
            <w:vAlign w:val="center"/>
          </w:tcPr>
          <w:p w14:paraId="3E76AE35">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4DD1B6CD">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9.56</w:t>
            </w:r>
            <w:r>
              <w:rPr>
                <w:rFonts w:hint="eastAsia" w:ascii="Times New Roman" w:hAnsi="Times New Roman" w:eastAsia="宋体" w:cs="Times New Roman"/>
                <w:color w:val="auto"/>
                <w:szCs w:val="21"/>
              </w:rPr>
              <w:t>5t/a</w:t>
            </w:r>
          </w:p>
        </w:tc>
        <w:tc>
          <w:tcPr>
            <w:tcW w:w="1642" w:type="dxa"/>
            <w:vAlign w:val="center"/>
          </w:tcPr>
          <w:p w14:paraId="4DF81C62">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9.56</w:t>
            </w:r>
            <w:r>
              <w:rPr>
                <w:rFonts w:hint="eastAsia" w:ascii="Times New Roman" w:hAnsi="Times New Roman" w:eastAsia="宋体" w:cs="Times New Roman"/>
                <w:color w:val="auto"/>
                <w:szCs w:val="21"/>
              </w:rPr>
              <w:t>5t/a</w:t>
            </w:r>
          </w:p>
        </w:tc>
      </w:tr>
      <w:tr w14:paraId="194722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0AEE9D23">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73FF9ED9">
            <w:pPr>
              <w:spacing w:line="276"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水帘喷漆定期更换的废液</w:t>
            </w:r>
          </w:p>
        </w:tc>
        <w:tc>
          <w:tcPr>
            <w:tcW w:w="1559" w:type="dxa"/>
            <w:vAlign w:val="center"/>
          </w:tcPr>
          <w:p w14:paraId="136C1652">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134" w:type="dxa"/>
            <w:vAlign w:val="center"/>
          </w:tcPr>
          <w:p w14:paraId="646D9135">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5CE2938C">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701" w:type="dxa"/>
            <w:vAlign w:val="center"/>
          </w:tcPr>
          <w:p w14:paraId="0C6E261E">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12</w:t>
            </w:r>
            <w:r>
              <w:rPr>
                <w:rFonts w:hint="eastAsia" w:ascii="Times New Roman" w:hAnsi="Times New Roman" w:eastAsia="宋体" w:cs="Times New Roman"/>
                <w:color w:val="auto"/>
                <w:szCs w:val="21"/>
              </w:rPr>
              <w:t>t/a</w:t>
            </w:r>
          </w:p>
        </w:tc>
        <w:tc>
          <w:tcPr>
            <w:tcW w:w="992" w:type="dxa"/>
            <w:vAlign w:val="center"/>
          </w:tcPr>
          <w:p w14:paraId="6279731B">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585B52B5">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12</w:t>
            </w:r>
            <w:r>
              <w:rPr>
                <w:rFonts w:hint="eastAsia" w:ascii="Times New Roman" w:hAnsi="Times New Roman" w:eastAsia="宋体" w:cs="Times New Roman"/>
                <w:color w:val="auto"/>
                <w:szCs w:val="21"/>
              </w:rPr>
              <w:t>t/a</w:t>
            </w:r>
          </w:p>
        </w:tc>
        <w:tc>
          <w:tcPr>
            <w:tcW w:w="1642" w:type="dxa"/>
            <w:vAlign w:val="center"/>
          </w:tcPr>
          <w:p w14:paraId="29F9B7AC">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12</w:t>
            </w:r>
            <w:r>
              <w:rPr>
                <w:rFonts w:hint="eastAsia" w:ascii="Times New Roman" w:hAnsi="Times New Roman" w:eastAsia="宋体" w:cs="Times New Roman"/>
                <w:color w:val="auto"/>
                <w:szCs w:val="21"/>
              </w:rPr>
              <w:t>t/a</w:t>
            </w:r>
          </w:p>
        </w:tc>
      </w:tr>
      <w:tr w14:paraId="39C2F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4459CA9D">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250BA40C">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废润滑油</w:t>
            </w:r>
          </w:p>
        </w:tc>
        <w:tc>
          <w:tcPr>
            <w:tcW w:w="1559" w:type="dxa"/>
            <w:vAlign w:val="center"/>
          </w:tcPr>
          <w:p w14:paraId="60E1D9BB">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134" w:type="dxa"/>
            <w:vAlign w:val="center"/>
          </w:tcPr>
          <w:p w14:paraId="35208749">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187BA86A">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701" w:type="dxa"/>
            <w:vAlign w:val="center"/>
          </w:tcPr>
          <w:p w14:paraId="7A69816F">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0.8</w:t>
            </w:r>
            <w:r>
              <w:rPr>
                <w:rFonts w:hint="eastAsia" w:ascii="Times New Roman" w:hAnsi="Times New Roman" w:eastAsia="宋体" w:cs="Times New Roman"/>
                <w:color w:val="auto"/>
                <w:szCs w:val="21"/>
              </w:rPr>
              <w:t>t/a</w:t>
            </w:r>
          </w:p>
        </w:tc>
        <w:tc>
          <w:tcPr>
            <w:tcW w:w="992" w:type="dxa"/>
            <w:vAlign w:val="center"/>
          </w:tcPr>
          <w:p w14:paraId="376D090B">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09DADF61">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0.8</w:t>
            </w:r>
            <w:r>
              <w:rPr>
                <w:rFonts w:hint="eastAsia" w:ascii="Times New Roman" w:hAnsi="Times New Roman" w:eastAsia="宋体" w:cs="Times New Roman"/>
                <w:color w:val="auto"/>
                <w:szCs w:val="21"/>
              </w:rPr>
              <w:t>t/a</w:t>
            </w:r>
          </w:p>
        </w:tc>
        <w:tc>
          <w:tcPr>
            <w:tcW w:w="1642" w:type="dxa"/>
            <w:vAlign w:val="center"/>
          </w:tcPr>
          <w:p w14:paraId="2BCDC83C">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0.8</w:t>
            </w:r>
            <w:r>
              <w:rPr>
                <w:rFonts w:hint="eastAsia" w:ascii="Times New Roman" w:hAnsi="Times New Roman" w:eastAsia="宋体" w:cs="Times New Roman"/>
                <w:color w:val="auto"/>
                <w:szCs w:val="21"/>
              </w:rPr>
              <w:t>t/a</w:t>
            </w:r>
          </w:p>
        </w:tc>
      </w:tr>
      <w:tr w14:paraId="1B592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46" w:type="dxa"/>
            <w:vMerge w:val="continue"/>
            <w:vAlign w:val="center"/>
          </w:tcPr>
          <w:p w14:paraId="5CF53EA2">
            <w:pPr>
              <w:spacing w:line="269" w:lineRule="auto"/>
              <w:jc w:val="center"/>
              <w:rPr>
                <w:rFonts w:ascii="Times New Roman" w:hAnsi="Times New Roman" w:eastAsia="宋体" w:cs="宋体"/>
                <w:snapToGrid w:val="0"/>
                <w:color w:val="auto"/>
                <w:kern w:val="21"/>
                <w:szCs w:val="21"/>
              </w:rPr>
            </w:pPr>
          </w:p>
        </w:tc>
        <w:tc>
          <w:tcPr>
            <w:tcW w:w="2126" w:type="dxa"/>
            <w:gridSpan w:val="2"/>
            <w:vAlign w:val="center"/>
          </w:tcPr>
          <w:p w14:paraId="531E3190">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废润滑油桶</w:t>
            </w:r>
          </w:p>
        </w:tc>
        <w:tc>
          <w:tcPr>
            <w:tcW w:w="1559" w:type="dxa"/>
            <w:vAlign w:val="center"/>
          </w:tcPr>
          <w:p w14:paraId="3C1F5A4E">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134" w:type="dxa"/>
            <w:vAlign w:val="center"/>
          </w:tcPr>
          <w:p w14:paraId="2A1FFA92">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276" w:type="dxa"/>
            <w:vAlign w:val="center"/>
          </w:tcPr>
          <w:p w14:paraId="684A5DB2">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701" w:type="dxa"/>
            <w:vAlign w:val="center"/>
          </w:tcPr>
          <w:p w14:paraId="71EB7BB0">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0.00</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t/a</w:t>
            </w:r>
          </w:p>
        </w:tc>
        <w:tc>
          <w:tcPr>
            <w:tcW w:w="992" w:type="dxa"/>
            <w:vAlign w:val="center"/>
          </w:tcPr>
          <w:p w14:paraId="7BF522A7">
            <w:pPr>
              <w:spacing w:line="269" w:lineRule="auto"/>
              <w:jc w:val="center"/>
              <w:rPr>
                <w:rFonts w:ascii="Times New Roman" w:hAnsi="Times New Roman" w:eastAsia="宋体" w:cs="Times New Roman"/>
                <w:snapToGrid w:val="0"/>
                <w:color w:val="auto"/>
                <w:kern w:val="21"/>
                <w:szCs w:val="21"/>
              </w:rPr>
            </w:pPr>
            <w:r>
              <w:rPr>
                <w:rFonts w:hint="eastAsia" w:ascii="Times New Roman" w:hAnsi="Times New Roman" w:eastAsia="宋体" w:cs="Times New Roman"/>
                <w:snapToGrid w:val="0"/>
                <w:color w:val="auto"/>
                <w:kern w:val="21"/>
                <w:szCs w:val="21"/>
              </w:rPr>
              <w:t>/</w:t>
            </w:r>
          </w:p>
        </w:tc>
        <w:tc>
          <w:tcPr>
            <w:tcW w:w="1418" w:type="dxa"/>
            <w:vAlign w:val="center"/>
          </w:tcPr>
          <w:p w14:paraId="76969CCE">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0.00</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t/a</w:t>
            </w:r>
          </w:p>
        </w:tc>
        <w:tc>
          <w:tcPr>
            <w:tcW w:w="1642" w:type="dxa"/>
            <w:vAlign w:val="center"/>
          </w:tcPr>
          <w:p w14:paraId="3B1B3B2B">
            <w:pPr>
              <w:spacing w:line="276"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+0.00</w:t>
            </w: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t/a</w:t>
            </w:r>
          </w:p>
        </w:tc>
      </w:tr>
    </w:tbl>
    <w:p w14:paraId="65EE6318">
      <w:pPr>
        <w:pStyle w:val="42"/>
        <w:spacing w:beforeLines="80" w:after="31"/>
        <w:jc w:val="left"/>
        <w:rPr>
          <w:rFonts w:ascii="Times New Roman" w:hAnsi="Times New Roman"/>
          <w:snapToGrid w:val="0"/>
          <w:spacing w:val="-6"/>
          <w:kern w:val="21"/>
          <w:szCs w:val="21"/>
        </w:rPr>
      </w:pPr>
      <w:r>
        <w:rPr>
          <w:rFonts w:ascii="Times New Roman" w:hAnsi="Times New Roman"/>
          <w:snapToGrid w:val="0"/>
          <w:color w:val="auto"/>
          <w:kern w:val="21"/>
          <w:szCs w:val="21"/>
        </w:rPr>
        <w:t>注：</w:t>
      </w:r>
      <w:r>
        <w:rPr>
          <w:rFonts w:ascii="Times New Roman" w:hAnsi="Times New Roman"/>
          <w:snapToGrid w:val="0"/>
          <w:color w:val="auto"/>
          <w:spacing w:val="-16"/>
          <w:kern w:val="21"/>
          <w:szCs w:val="21"/>
        </w:rPr>
        <w:fldChar w:fldCharType="begin"/>
      </w:r>
      <w:r>
        <w:rPr>
          <w:rFonts w:ascii="Times New Roman" w:hAnsi="Times New Roman"/>
          <w:snapToGrid w:val="0"/>
          <w:color w:val="auto"/>
          <w:spacing w:val="-16"/>
          <w:kern w:val="21"/>
          <w:szCs w:val="21"/>
        </w:rPr>
        <w:instrText xml:space="preserve"> = 6 \* GB3 \* MERGEFORMAT </w:instrText>
      </w:r>
      <w:r>
        <w:rPr>
          <w:rFonts w:ascii="Times New Roman" w:hAnsi="Times New Roman"/>
          <w:snapToGrid w:val="0"/>
          <w:color w:val="auto"/>
          <w:spacing w:val="-16"/>
          <w:kern w:val="21"/>
          <w:szCs w:val="21"/>
        </w:rPr>
        <w:fldChar w:fldCharType="separate"/>
      </w:r>
      <w:r>
        <w:rPr>
          <w:rFonts w:hint="eastAsia" w:ascii="Times New Roman" w:hAnsi="Times New Roman" w:eastAsia="宋体" w:cs="宋体"/>
          <w:color w:val="auto"/>
          <w:szCs w:val="21"/>
        </w:rPr>
        <w:t>⑥</w:t>
      </w:r>
      <w:r>
        <w:rPr>
          <w:rFonts w:ascii="Times New Roman" w:hAnsi="Times New Roman"/>
          <w:snapToGrid w:val="0"/>
          <w:color w:val="auto"/>
          <w:spacing w:val="-16"/>
          <w:kern w:val="21"/>
          <w:szCs w:val="21"/>
        </w:rPr>
        <w:fldChar w:fldCharType="end"/>
      </w:r>
      <w:r>
        <w:rPr>
          <w:rFonts w:ascii="Times New Roman" w:hAnsi="Times New Roman"/>
          <w:snapToGrid w:val="0"/>
          <w:color w:val="auto"/>
          <w:spacing w:val="-1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1 \* GB3 \* MERGEFORMAT </w:instrText>
      </w:r>
      <w:r>
        <w:rPr>
          <w:rFonts w:ascii="Times New Roman" w:hAnsi="Times New Roman"/>
          <w:snapToGrid w:val="0"/>
          <w:color w:val="auto"/>
          <w:spacing w:val="-6"/>
          <w:kern w:val="21"/>
          <w:szCs w:val="21"/>
        </w:rPr>
        <w:fldChar w:fldCharType="separate"/>
      </w:r>
      <w:r>
        <w:rPr>
          <w:rFonts w:hint="eastAsia" w:ascii="Times New Roman" w:hAnsi="Times New Roman" w:eastAsia="宋体" w:cs="宋体"/>
          <w:color w:val="auto"/>
          <w:szCs w:val="21"/>
        </w:rPr>
        <w:t>①</w:t>
      </w:r>
      <w:r>
        <w:rPr>
          <w:rFonts w:ascii="Times New Roman" w:hAnsi="Times New Roman"/>
          <w:snapToGrid w:val="0"/>
          <w:color w:val="auto"/>
          <w:spacing w:val="-6"/>
          <w:kern w:val="21"/>
          <w:szCs w:val="21"/>
        </w:rPr>
        <w:fldChar w:fldCharType="end"/>
      </w:r>
      <w:r>
        <w:rPr>
          <w:rFonts w:ascii="Times New Roman" w:hAnsi="Times New Roman"/>
          <w:snapToGrid w:val="0"/>
          <w:color w:val="auto"/>
          <w:spacing w:val="-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3 \* GB3 \* MERGEFORMAT </w:instrText>
      </w:r>
      <w:r>
        <w:rPr>
          <w:rFonts w:ascii="Times New Roman" w:hAnsi="Times New Roman"/>
          <w:snapToGrid w:val="0"/>
          <w:color w:val="auto"/>
          <w:spacing w:val="-6"/>
          <w:kern w:val="21"/>
          <w:szCs w:val="21"/>
        </w:rPr>
        <w:fldChar w:fldCharType="separate"/>
      </w:r>
      <w:r>
        <w:rPr>
          <w:rFonts w:hint="eastAsia" w:ascii="Times New Roman" w:hAnsi="Times New Roman" w:eastAsia="宋体" w:cs="宋体"/>
          <w:color w:val="auto"/>
          <w:szCs w:val="21"/>
        </w:rPr>
        <w:t>③</w:t>
      </w:r>
      <w:r>
        <w:rPr>
          <w:rFonts w:ascii="Times New Roman" w:hAnsi="Times New Roman"/>
          <w:snapToGrid w:val="0"/>
          <w:color w:val="auto"/>
          <w:spacing w:val="-6"/>
          <w:kern w:val="21"/>
          <w:szCs w:val="21"/>
        </w:rPr>
        <w:fldChar w:fldCharType="end"/>
      </w:r>
      <w:r>
        <w:rPr>
          <w:rFonts w:ascii="Times New Roman" w:hAnsi="Times New Roman"/>
          <w:snapToGrid w:val="0"/>
          <w:color w:val="auto"/>
          <w:spacing w:val="-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4 \* GB3 \* MERGEFORMAT </w:instrText>
      </w:r>
      <w:r>
        <w:rPr>
          <w:rFonts w:ascii="Times New Roman" w:hAnsi="Times New Roman"/>
          <w:snapToGrid w:val="0"/>
          <w:color w:val="auto"/>
          <w:spacing w:val="-6"/>
          <w:kern w:val="21"/>
          <w:szCs w:val="21"/>
        </w:rPr>
        <w:fldChar w:fldCharType="separate"/>
      </w:r>
      <w:r>
        <w:rPr>
          <w:rFonts w:hint="eastAsia" w:ascii="Times New Roman" w:hAnsi="Times New Roman" w:eastAsia="宋体" w:cs="宋体"/>
          <w:color w:val="auto"/>
          <w:szCs w:val="21"/>
        </w:rPr>
        <w:t>④</w:t>
      </w:r>
      <w:r>
        <w:rPr>
          <w:rFonts w:ascii="Times New Roman" w:hAnsi="Times New Roman"/>
          <w:snapToGrid w:val="0"/>
          <w:color w:val="auto"/>
          <w:spacing w:val="-6"/>
          <w:kern w:val="21"/>
          <w:szCs w:val="21"/>
        </w:rPr>
        <w:fldChar w:fldCharType="end"/>
      </w:r>
      <w:r>
        <w:rPr>
          <w:rFonts w:ascii="Times New Roman" w:hAnsi="Times New Roman"/>
          <w:snapToGrid w:val="0"/>
          <w:color w:val="auto"/>
          <w:spacing w:val="-6"/>
          <w:kern w:val="21"/>
          <w:szCs w:val="21"/>
        </w:rPr>
        <w:t>-</w:t>
      </w:r>
      <w:r>
        <w:rPr>
          <w:rFonts w:ascii="Times New Roman" w:hAnsi="Times New Roman"/>
          <w:snapToGrid w:val="0"/>
          <w:color w:val="auto"/>
          <w:spacing w:val="-16"/>
          <w:kern w:val="21"/>
          <w:szCs w:val="21"/>
        </w:rPr>
        <w:fldChar w:fldCharType="begin"/>
      </w:r>
      <w:r>
        <w:rPr>
          <w:rFonts w:ascii="Times New Roman" w:hAnsi="Times New Roman"/>
          <w:snapToGrid w:val="0"/>
          <w:color w:val="auto"/>
          <w:spacing w:val="-16"/>
          <w:kern w:val="21"/>
          <w:szCs w:val="21"/>
        </w:rPr>
        <w:instrText xml:space="preserve"> = 5 \* GB3 \* MERGEFORMAT </w:instrText>
      </w:r>
      <w:r>
        <w:rPr>
          <w:rFonts w:ascii="Times New Roman" w:hAnsi="Times New Roman"/>
          <w:snapToGrid w:val="0"/>
          <w:color w:val="auto"/>
          <w:spacing w:val="-16"/>
          <w:kern w:val="21"/>
          <w:szCs w:val="21"/>
        </w:rPr>
        <w:fldChar w:fldCharType="separate"/>
      </w:r>
      <w:r>
        <w:rPr>
          <w:rFonts w:hint="eastAsia" w:ascii="Times New Roman" w:hAnsi="Times New Roman" w:eastAsia="宋体" w:cs="宋体"/>
          <w:color w:val="auto"/>
          <w:szCs w:val="21"/>
        </w:rPr>
        <w:t>⑤</w:t>
      </w:r>
      <w:r>
        <w:rPr>
          <w:rFonts w:ascii="Times New Roman" w:hAnsi="Times New Roman"/>
          <w:snapToGrid w:val="0"/>
          <w:color w:val="auto"/>
          <w:spacing w:val="-16"/>
          <w:kern w:val="21"/>
          <w:szCs w:val="21"/>
        </w:rPr>
        <w:fldChar w:fldCharType="end"/>
      </w:r>
      <w:r>
        <w:rPr>
          <w:rFonts w:ascii="Times New Roman" w:hAnsi="Times New Roman"/>
          <w:snapToGrid w:val="0"/>
          <w:color w:val="auto"/>
          <w:spacing w:val="-1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7 \* GB3 \* MERGEFORMAT </w:instrText>
      </w:r>
      <w:r>
        <w:rPr>
          <w:rFonts w:ascii="Times New Roman" w:hAnsi="Times New Roman"/>
          <w:snapToGrid w:val="0"/>
          <w:color w:val="auto"/>
          <w:spacing w:val="-6"/>
          <w:kern w:val="21"/>
          <w:szCs w:val="21"/>
        </w:rPr>
        <w:fldChar w:fldCharType="separate"/>
      </w:r>
      <w:r>
        <w:rPr>
          <w:rFonts w:hint="eastAsia" w:ascii="Times New Roman" w:hAnsi="Times New Roman" w:eastAsia="宋体" w:cs="宋体"/>
          <w:color w:val="auto"/>
          <w:szCs w:val="21"/>
        </w:rPr>
        <w:t>⑦</w:t>
      </w:r>
      <w:r>
        <w:rPr>
          <w:rFonts w:ascii="Times New Roman" w:hAnsi="Times New Roman"/>
          <w:snapToGrid w:val="0"/>
          <w:color w:val="auto"/>
          <w:spacing w:val="-6"/>
          <w:kern w:val="21"/>
          <w:szCs w:val="21"/>
        </w:rPr>
        <w:fldChar w:fldCharType="end"/>
      </w:r>
      <w:r>
        <w:rPr>
          <w:rFonts w:ascii="Times New Roman" w:hAnsi="Times New Roman"/>
          <w:snapToGrid w:val="0"/>
          <w:color w:val="auto"/>
          <w:spacing w:val="-6"/>
          <w:kern w:val="21"/>
          <w:szCs w:val="21"/>
        </w:rPr>
        <w:t>=</w:t>
      </w:r>
      <w:r>
        <w:rPr>
          <w:rFonts w:ascii="Times New Roman" w:hAnsi="Times New Roman"/>
          <w:snapToGrid w:val="0"/>
          <w:color w:val="auto"/>
          <w:spacing w:val="-16"/>
          <w:kern w:val="21"/>
          <w:szCs w:val="21"/>
        </w:rPr>
        <w:fldChar w:fldCharType="begin"/>
      </w:r>
      <w:r>
        <w:rPr>
          <w:rFonts w:ascii="Times New Roman" w:hAnsi="Times New Roman"/>
          <w:snapToGrid w:val="0"/>
          <w:color w:val="auto"/>
          <w:spacing w:val="-16"/>
          <w:kern w:val="21"/>
          <w:szCs w:val="21"/>
        </w:rPr>
        <w:instrText xml:space="preserve"> = 6 \* GB3 \* MERGEFORMAT </w:instrText>
      </w:r>
      <w:r>
        <w:rPr>
          <w:rFonts w:ascii="Times New Roman" w:hAnsi="Times New Roman"/>
          <w:snapToGrid w:val="0"/>
          <w:color w:val="auto"/>
          <w:spacing w:val="-16"/>
          <w:kern w:val="21"/>
          <w:szCs w:val="21"/>
        </w:rPr>
        <w:fldChar w:fldCharType="separate"/>
      </w:r>
      <w:r>
        <w:rPr>
          <w:rFonts w:hint="eastAsia" w:ascii="Times New Roman" w:hAnsi="Times New Roman" w:eastAsia="宋体" w:cs="宋体"/>
          <w:color w:val="auto"/>
          <w:szCs w:val="21"/>
        </w:rPr>
        <w:t>⑥</w:t>
      </w:r>
      <w:r>
        <w:rPr>
          <w:rFonts w:ascii="Times New Roman" w:hAnsi="Times New Roman"/>
          <w:snapToGrid w:val="0"/>
          <w:color w:val="auto"/>
          <w:spacing w:val="-16"/>
          <w:kern w:val="21"/>
          <w:szCs w:val="21"/>
        </w:rPr>
        <w:fldChar w:fldCharType="end"/>
      </w:r>
      <w:r>
        <w:rPr>
          <w:rFonts w:ascii="Times New Roman" w:hAnsi="Times New Roman"/>
          <w:snapToGrid w:val="0"/>
          <w:color w:val="auto"/>
          <w:spacing w:val="-1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1 \* GB3 \* MERGEFORMAT </w:instrText>
      </w:r>
      <w:r>
        <w:rPr>
          <w:rFonts w:ascii="Times New Roman" w:hAnsi="Times New Roman"/>
          <w:snapToGrid w:val="0"/>
          <w:color w:val="auto"/>
          <w:spacing w:val="-6"/>
          <w:kern w:val="21"/>
          <w:szCs w:val="21"/>
        </w:rPr>
        <w:fldChar w:fldCharType="separate"/>
      </w:r>
      <w:r>
        <w:rPr>
          <w:rFonts w:hint="eastAsia" w:ascii="Times New Roman" w:hAnsi="Times New Roman" w:eastAsia="宋体" w:cs="宋体"/>
          <w:color w:val="auto"/>
          <w:szCs w:val="21"/>
        </w:rPr>
        <w:t>①</w:t>
      </w:r>
      <w:r>
        <w:rPr>
          <w:rFonts w:ascii="Times New Roman" w:hAnsi="Times New Roman"/>
          <w:snapToGrid w:val="0"/>
          <w:color w:val="auto"/>
          <w:spacing w:val="-6"/>
          <w:kern w:val="21"/>
          <w:szCs w:val="21"/>
        </w:rPr>
        <w:fldChar w:fldCharType="end"/>
      </w:r>
    </w:p>
    <w:sectPr>
      <w:pgSz w:w="16838" w:h="11906" w:orient="landscape"/>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ËÎÌå">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992891"/>
    </w:sdtPr>
    <w:sdtContent>
      <w:p w14:paraId="2578B569">
        <w:pPr>
          <w:pStyle w:val="9"/>
          <w:jc w:val="cente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1</w:t>
        </w:r>
        <w:r>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0755985"/>
    </w:sdtPr>
    <w:sdtContent>
      <w:p w14:paraId="21F832DB">
        <w:pPr>
          <w:pStyle w:val="9"/>
          <w:jc w:val="cente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28</w:t>
        </w:r>
        <w:r>
          <w:rPr>
            <w:rFonts w:ascii="Times New Roman" w:hAnsi="Times New Roman" w:cs="Times New Roman"/>
            <w:sz w:val="20"/>
            <w:szCs w:val="20"/>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A2BF2">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C6B6E">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A656F">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1CD5E"/>
    <w:multiLevelType w:val="singleLevel"/>
    <w:tmpl w:val="C591CD5E"/>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4NjhmYzM4MDM5OWE3OTM0YjU1NzIxMWIwYTBiN2MifQ=="/>
  </w:docVars>
  <w:rsids>
    <w:rsidRoot w:val="00172A27"/>
    <w:rsid w:val="0000037A"/>
    <w:rsid w:val="000005F6"/>
    <w:rsid w:val="000007E8"/>
    <w:rsid w:val="00000ABA"/>
    <w:rsid w:val="00000C30"/>
    <w:rsid w:val="00000CE2"/>
    <w:rsid w:val="00000EEC"/>
    <w:rsid w:val="00000F9B"/>
    <w:rsid w:val="00001264"/>
    <w:rsid w:val="000014BF"/>
    <w:rsid w:val="00001565"/>
    <w:rsid w:val="000016D7"/>
    <w:rsid w:val="0000192D"/>
    <w:rsid w:val="000021DF"/>
    <w:rsid w:val="000021F4"/>
    <w:rsid w:val="00002350"/>
    <w:rsid w:val="00002425"/>
    <w:rsid w:val="000024B5"/>
    <w:rsid w:val="0000286A"/>
    <w:rsid w:val="00002EA1"/>
    <w:rsid w:val="00003341"/>
    <w:rsid w:val="000034ED"/>
    <w:rsid w:val="00003D35"/>
    <w:rsid w:val="00003E73"/>
    <w:rsid w:val="000042C1"/>
    <w:rsid w:val="000042F5"/>
    <w:rsid w:val="00004371"/>
    <w:rsid w:val="00004AFC"/>
    <w:rsid w:val="00004C0B"/>
    <w:rsid w:val="0000520F"/>
    <w:rsid w:val="0000532A"/>
    <w:rsid w:val="00005613"/>
    <w:rsid w:val="0000641C"/>
    <w:rsid w:val="00006695"/>
    <w:rsid w:val="00006879"/>
    <w:rsid w:val="000068EB"/>
    <w:rsid w:val="0000691F"/>
    <w:rsid w:val="00006A7B"/>
    <w:rsid w:val="00006D0B"/>
    <w:rsid w:val="00006F6C"/>
    <w:rsid w:val="000074DF"/>
    <w:rsid w:val="00007CAE"/>
    <w:rsid w:val="0001005D"/>
    <w:rsid w:val="00010349"/>
    <w:rsid w:val="000105F4"/>
    <w:rsid w:val="00010F7C"/>
    <w:rsid w:val="00011501"/>
    <w:rsid w:val="00011C11"/>
    <w:rsid w:val="00011D8C"/>
    <w:rsid w:val="00012083"/>
    <w:rsid w:val="00012197"/>
    <w:rsid w:val="00012418"/>
    <w:rsid w:val="0001301A"/>
    <w:rsid w:val="0001370C"/>
    <w:rsid w:val="00013C81"/>
    <w:rsid w:val="00014427"/>
    <w:rsid w:val="000150C6"/>
    <w:rsid w:val="00015113"/>
    <w:rsid w:val="000154C0"/>
    <w:rsid w:val="00015646"/>
    <w:rsid w:val="000161FD"/>
    <w:rsid w:val="00016271"/>
    <w:rsid w:val="0001636E"/>
    <w:rsid w:val="000166BE"/>
    <w:rsid w:val="00016874"/>
    <w:rsid w:val="00016A0C"/>
    <w:rsid w:val="00016D43"/>
    <w:rsid w:val="00016F81"/>
    <w:rsid w:val="00017140"/>
    <w:rsid w:val="000173FC"/>
    <w:rsid w:val="00017795"/>
    <w:rsid w:val="00020530"/>
    <w:rsid w:val="00020863"/>
    <w:rsid w:val="00020940"/>
    <w:rsid w:val="0002096C"/>
    <w:rsid w:val="00020B14"/>
    <w:rsid w:val="000212C1"/>
    <w:rsid w:val="0002170D"/>
    <w:rsid w:val="000217AA"/>
    <w:rsid w:val="00021C5B"/>
    <w:rsid w:val="00021CB0"/>
    <w:rsid w:val="000221FC"/>
    <w:rsid w:val="00023326"/>
    <w:rsid w:val="0002373B"/>
    <w:rsid w:val="00023865"/>
    <w:rsid w:val="00023C0C"/>
    <w:rsid w:val="00024B40"/>
    <w:rsid w:val="00025253"/>
    <w:rsid w:val="00025709"/>
    <w:rsid w:val="000258A1"/>
    <w:rsid w:val="00025C39"/>
    <w:rsid w:val="00025E46"/>
    <w:rsid w:val="00026200"/>
    <w:rsid w:val="00026345"/>
    <w:rsid w:val="00026506"/>
    <w:rsid w:val="000267B1"/>
    <w:rsid w:val="000267BB"/>
    <w:rsid w:val="00026D29"/>
    <w:rsid w:val="00026E45"/>
    <w:rsid w:val="00026F6B"/>
    <w:rsid w:val="0002708E"/>
    <w:rsid w:val="0002723D"/>
    <w:rsid w:val="0002730A"/>
    <w:rsid w:val="00027345"/>
    <w:rsid w:val="000277C9"/>
    <w:rsid w:val="00027B0F"/>
    <w:rsid w:val="00027C1E"/>
    <w:rsid w:val="00030180"/>
    <w:rsid w:val="00030268"/>
    <w:rsid w:val="000306A8"/>
    <w:rsid w:val="000307AD"/>
    <w:rsid w:val="00030D9E"/>
    <w:rsid w:val="00030E8B"/>
    <w:rsid w:val="00030F9E"/>
    <w:rsid w:val="00031321"/>
    <w:rsid w:val="00031D85"/>
    <w:rsid w:val="00031F01"/>
    <w:rsid w:val="00032107"/>
    <w:rsid w:val="000322BF"/>
    <w:rsid w:val="00032429"/>
    <w:rsid w:val="00032827"/>
    <w:rsid w:val="000329DC"/>
    <w:rsid w:val="00032FE6"/>
    <w:rsid w:val="0003318F"/>
    <w:rsid w:val="00033279"/>
    <w:rsid w:val="000333C1"/>
    <w:rsid w:val="00033A1E"/>
    <w:rsid w:val="00033B8C"/>
    <w:rsid w:val="00033D2D"/>
    <w:rsid w:val="0003403E"/>
    <w:rsid w:val="00034091"/>
    <w:rsid w:val="00034A5B"/>
    <w:rsid w:val="00034C12"/>
    <w:rsid w:val="00036469"/>
    <w:rsid w:val="00036A1F"/>
    <w:rsid w:val="00036D78"/>
    <w:rsid w:val="00036DA6"/>
    <w:rsid w:val="00036F08"/>
    <w:rsid w:val="00037064"/>
    <w:rsid w:val="0003709D"/>
    <w:rsid w:val="00037901"/>
    <w:rsid w:val="00037979"/>
    <w:rsid w:val="0004041B"/>
    <w:rsid w:val="00040461"/>
    <w:rsid w:val="0004048D"/>
    <w:rsid w:val="000411B3"/>
    <w:rsid w:val="00041B9E"/>
    <w:rsid w:val="00041CAF"/>
    <w:rsid w:val="000420EE"/>
    <w:rsid w:val="00042462"/>
    <w:rsid w:val="0004274F"/>
    <w:rsid w:val="00042A8B"/>
    <w:rsid w:val="00042BA3"/>
    <w:rsid w:val="00042C54"/>
    <w:rsid w:val="00043028"/>
    <w:rsid w:val="0004316B"/>
    <w:rsid w:val="000431B3"/>
    <w:rsid w:val="000439E1"/>
    <w:rsid w:val="00043AB4"/>
    <w:rsid w:val="00044405"/>
    <w:rsid w:val="00044546"/>
    <w:rsid w:val="00044645"/>
    <w:rsid w:val="00044E38"/>
    <w:rsid w:val="00044E9C"/>
    <w:rsid w:val="00045204"/>
    <w:rsid w:val="000453B0"/>
    <w:rsid w:val="00045959"/>
    <w:rsid w:val="00045AD1"/>
    <w:rsid w:val="000460E1"/>
    <w:rsid w:val="00046107"/>
    <w:rsid w:val="000461F9"/>
    <w:rsid w:val="000464E5"/>
    <w:rsid w:val="00046E9A"/>
    <w:rsid w:val="0004747B"/>
    <w:rsid w:val="000475B9"/>
    <w:rsid w:val="00047D2C"/>
    <w:rsid w:val="00047DA8"/>
    <w:rsid w:val="00047E46"/>
    <w:rsid w:val="000501C5"/>
    <w:rsid w:val="000501F0"/>
    <w:rsid w:val="0005097D"/>
    <w:rsid w:val="00050B0B"/>
    <w:rsid w:val="00050C9E"/>
    <w:rsid w:val="00050D18"/>
    <w:rsid w:val="00050D74"/>
    <w:rsid w:val="00050EB7"/>
    <w:rsid w:val="00051373"/>
    <w:rsid w:val="00051DCF"/>
    <w:rsid w:val="00052436"/>
    <w:rsid w:val="00052CB3"/>
    <w:rsid w:val="00052FC8"/>
    <w:rsid w:val="000538C8"/>
    <w:rsid w:val="00053B80"/>
    <w:rsid w:val="00053F84"/>
    <w:rsid w:val="000540E0"/>
    <w:rsid w:val="00054283"/>
    <w:rsid w:val="00055112"/>
    <w:rsid w:val="0005512C"/>
    <w:rsid w:val="00055154"/>
    <w:rsid w:val="00055292"/>
    <w:rsid w:val="00055BC8"/>
    <w:rsid w:val="00055D7E"/>
    <w:rsid w:val="00056366"/>
    <w:rsid w:val="00056476"/>
    <w:rsid w:val="00056CEF"/>
    <w:rsid w:val="00057B0E"/>
    <w:rsid w:val="00057E43"/>
    <w:rsid w:val="00060719"/>
    <w:rsid w:val="000609BD"/>
    <w:rsid w:val="00060F2F"/>
    <w:rsid w:val="00061317"/>
    <w:rsid w:val="000613A2"/>
    <w:rsid w:val="000616CB"/>
    <w:rsid w:val="000616D5"/>
    <w:rsid w:val="000618C1"/>
    <w:rsid w:val="0006200A"/>
    <w:rsid w:val="0006211C"/>
    <w:rsid w:val="000624C8"/>
    <w:rsid w:val="00062536"/>
    <w:rsid w:val="0006293D"/>
    <w:rsid w:val="00062FB3"/>
    <w:rsid w:val="00063A34"/>
    <w:rsid w:val="00064039"/>
    <w:rsid w:val="00064260"/>
    <w:rsid w:val="00064492"/>
    <w:rsid w:val="00064702"/>
    <w:rsid w:val="0006472A"/>
    <w:rsid w:val="000648A7"/>
    <w:rsid w:val="00064919"/>
    <w:rsid w:val="000649F2"/>
    <w:rsid w:val="00064AA0"/>
    <w:rsid w:val="00064E99"/>
    <w:rsid w:val="0006512F"/>
    <w:rsid w:val="00065151"/>
    <w:rsid w:val="000657B7"/>
    <w:rsid w:val="00065E3B"/>
    <w:rsid w:val="00066174"/>
    <w:rsid w:val="000669E3"/>
    <w:rsid w:val="00066AA4"/>
    <w:rsid w:val="00067009"/>
    <w:rsid w:val="00067875"/>
    <w:rsid w:val="000706FD"/>
    <w:rsid w:val="000709A9"/>
    <w:rsid w:val="00070BFD"/>
    <w:rsid w:val="000713E3"/>
    <w:rsid w:val="000713F0"/>
    <w:rsid w:val="00071621"/>
    <w:rsid w:val="0007186C"/>
    <w:rsid w:val="00071C60"/>
    <w:rsid w:val="00071D61"/>
    <w:rsid w:val="00072010"/>
    <w:rsid w:val="0007219A"/>
    <w:rsid w:val="00072513"/>
    <w:rsid w:val="00072E00"/>
    <w:rsid w:val="000735A7"/>
    <w:rsid w:val="0007370C"/>
    <w:rsid w:val="0007478C"/>
    <w:rsid w:val="000754EE"/>
    <w:rsid w:val="00075CCA"/>
    <w:rsid w:val="00076248"/>
    <w:rsid w:val="00077581"/>
    <w:rsid w:val="00077643"/>
    <w:rsid w:val="00077654"/>
    <w:rsid w:val="00077F08"/>
    <w:rsid w:val="00080045"/>
    <w:rsid w:val="00080652"/>
    <w:rsid w:val="00080AF8"/>
    <w:rsid w:val="000810C1"/>
    <w:rsid w:val="000810C3"/>
    <w:rsid w:val="00081AAE"/>
    <w:rsid w:val="00081AEF"/>
    <w:rsid w:val="00081E6A"/>
    <w:rsid w:val="00081EAE"/>
    <w:rsid w:val="0008207A"/>
    <w:rsid w:val="00082B26"/>
    <w:rsid w:val="00082E52"/>
    <w:rsid w:val="00083D30"/>
    <w:rsid w:val="00083F5E"/>
    <w:rsid w:val="00084248"/>
    <w:rsid w:val="000844DA"/>
    <w:rsid w:val="000847AC"/>
    <w:rsid w:val="00084913"/>
    <w:rsid w:val="000852F0"/>
    <w:rsid w:val="000856BF"/>
    <w:rsid w:val="00085BF4"/>
    <w:rsid w:val="00085EF5"/>
    <w:rsid w:val="00085F08"/>
    <w:rsid w:val="000861C1"/>
    <w:rsid w:val="000864DF"/>
    <w:rsid w:val="0008775C"/>
    <w:rsid w:val="00090457"/>
    <w:rsid w:val="00091088"/>
    <w:rsid w:val="0009131B"/>
    <w:rsid w:val="00091332"/>
    <w:rsid w:val="0009160F"/>
    <w:rsid w:val="0009215D"/>
    <w:rsid w:val="000923D7"/>
    <w:rsid w:val="00092401"/>
    <w:rsid w:val="00092704"/>
    <w:rsid w:val="00094238"/>
    <w:rsid w:val="000951E7"/>
    <w:rsid w:val="00095296"/>
    <w:rsid w:val="00095364"/>
    <w:rsid w:val="00095BC1"/>
    <w:rsid w:val="00095BE9"/>
    <w:rsid w:val="00095DBD"/>
    <w:rsid w:val="0009607E"/>
    <w:rsid w:val="000961B7"/>
    <w:rsid w:val="0009650F"/>
    <w:rsid w:val="0009655A"/>
    <w:rsid w:val="00096CB6"/>
    <w:rsid w:val="00097204"/>
    <w:rsid w:val="000974B3"/>
    <w:rsid w:val="000979C0"/>
    <w:rsid w:val="00097DF3"/>
    <w:rsid w:val="000A06F3"/>
    <w:rsid w:val="000A0A69"/>
    <w:rsid w:val="000A0F75"/>
    <w:rsid w:val="000A1116"/>
    <w:rsid w:val="000A1374"/>
    <w:rsid w:val="000A1A8A"/>
    <w:rsid w:val="000A1E29"/>
    <w:rsid w:val="000A227F"/>
    <w:rsid w:val="000A2611"/>
    <w:rsid w:val="000A2728"/>
    <w:rsid w:val="000A2F52"/>
    <w:rsid w:val="000A3659"/>
    <w:rsid w:val="000A37C9"/>
    <w:rsid w:val="000A3F2F"/>
    <w:rsid w:val="000A3FD5"/>
    <w:rsid w:val="000A4265"/>
    <w:rsid w:val="000A440A"/>
    <w:rsid w:val="000A527A"/>
    <w:rsid w:val="000A53B3"/>
    <w:rsid w:val="000A5651"/>
    <w:rsid w:val="000A59F1"/>
    <w:rsid w:val="000A5A03"/>
    <w:rsid w:val="000A5DCA"/>
    <w:rsid w:val="000A6556"/>
    <w:rsid w:val="000A698F"/>
    <w:rsid w:val="000A6A36"/>
    <w:rsid w:val="000A6AD0"/>
    <w:rsid w:val="000A7583"/>
    <w:rsid w:val="000A7625"/>
    <w:rsid w:val="000A773E"/>
    <w:rsid w:val="000A78DE"/>
    <w:rsid w:val="000A7A23"/>
    <w:rsid w:val="000A7D98"/>
    <w:rsid w:val="000B038F"/>
    <w:rsid w:val="000B09D8"/>
    <w:rsid w:val="000B0A12"/>
    <w:rsid w:val="000B0C22"/>
    <w:rsid w:val="000B0E40"/>
    <w:rsid w:val="000B181D"/>
    <w:rsid w:val="000B1EDA"/>
    <w:rsid w:val="000B1F55"/>
    <w:rsid w:val="000B2068"/>
    <w:rsid w:val="000B2095"/>
    <w:rsid w:val="000B21C0"/>
    <w:rsid w:val="000B2888"/>
    <w:rsid w:val="000B2B18"/>
    <w:rsid w:val="000B31ED"/>
    <w:rsid w:val="000B351E"/>
    <w:rsid w:val="000B377C"/>
    <w:rsid w:val="000B43C9"/>
    <w:rsid w:val="000B4403"/>
    <w:rsid w:val="000B4917"/>
    <w:rsid w:val="000B4A05"/>
    <w:rsid w:val="000B5137"/>
    <w:rsid w:val="000B5445"/>
    <w:rsid w:val="000B6252"/>
    <w:rsid w:val="000B62B8"/>
    <w:rsid w:val="000B6D8B"/>
    <w:rsid w:val="000B6F05"/>
    <w:rsid w:val="000B7279"/>
    <w:rsid w:val="000B790E"/>
    <w:rsid w:val="000B7B77"/>
    <w:rsid w:val="000B7CC9"/>
    <w:rsid w:val="000C0139"/>
    <w:rsid w:val="000C0583"/>
    <w:rsid w:val="000C0AD0"/>
    <w:rsid w:val="000C10EC"/>
    <w:rsid w:val="000C1167"/>
    <w:rsid w:val="000C1A40"/>
    <w:rsid w:val="000C1BEE"/>
    <w:rsid w:val="000C3287"/>
    <w:rsid w:val="000C3401"/>
    <w:rsid w:val="000C34B5"/>
    <w:rsid w:val="000C3B6E"/>
    <w:rsid w:val="000C3EE1"/>
    <w:rsid w:val="000C4B4E"/>
    <w:rsid w:val="000C4EA5"/>
    <w:rsid w:val="000C4F5E"/>
    <w:rsid w:val="000C57B2"/>
    <w:rsid w:val="000C599B"/>
    <w:rsid w:val="000C5A4C"/>
    <w:rsid w:val="000C6343"/>
    <w:rsid w:val="000C650B"/>
    <w:rsid w:val="000C653F"/>
    <w:rsid w:val="000C6732"/>
    <w:rsid w:val="000C6AA0"/>
    <w:rsid w:val="000C6B69"/>
    <w:rsid w:val="000C6C1F"/>
    <w:rsid w:val="000C71D0"/>
    <w:rsid w:val="000C746F"/>
    <w:rsid w:val="000C77E8"/>
    <w:rsid w:val="000C7919"/>
    <w:rsid w:val="000C7A8E"/>
    <w:rsid w:val="000C7AAD"/>
    <w:rsid w:val="000D03ED"/>
    <w:rsid w:val="000D046B"/>
    <w:rsid w:val="000D0C4E"/>
    <w:rsid w:val="000D0F67"/>
    <w:rsid w:val="000D1559"/>
    <w:rsid w:val="000D1AA4"/>
    <w:rsid w:val="000D1B07"/>
    <w:rsid w:val="000D1BD4"/>
    <w:rsid w:val="000D20EE"/>
    <w:rsid w:val="000D2107"/>
    <w:rsid w:val="000D2111"/>
    <w:rsid w:val="000D2206"/>
    <w:rsid w:val="000D2290"/>
    <w:rsid w:val="000D26E9"/>
    <w:rsid w:val="000D27D0"/>
    <w:rsid w:val="000D2F04"/>
    <w:rsid w:val="000D33AA"/>
    <w:rsid w:val="000D3D4E"/>
    <w:rsid w:val="000D6343"/>
    <w:rsid w:val="000D6698"/>
    <w:rsid w:val="000D73DD"/>
    <w:rsid w:val="000D748B"/>
    <w:rsid w:val="000D7D3B"/>
    <w:rsid w:val="000D7D4A"/>
    <w:rsid w:val="000E0A21"/>
    <w:rsid w:val="000E0DAE"/>
    <w:rsid w:val="000E0E00"/>
    <w:rsid w:val="000E1547"/>
    <w:rsid w:val="000E1DA9"/>
    <w:rsid w:val="000E1F31"/>
    <w:rsid w:val="000E2258"/>
    <w:rsid w:val="000E2365"/>
    <w:rsid w:val="000E256C"/>
    <w:rsid w:val="000E2FBB"/>
    <w:rsid w:val="000E36E6"/>
    <w:rsid w:val="000E3AD7"/>
    <w:rsid w:val="000E3E26"/>
    <w:rsid w:val="000E3EA5"/>
    <w:rsid w:val="000E3EE4"/>
    <w:rsid w:val="000E3F59"/>
    <w:rsid w:val="000E4BE4"/>
    <w:rsid w:val="000E4F5F"/>
    <w:rsid w:val="000E4FD2"/>
    <w:rsid w:val="000E5747"/>
    <w:rsid w:val="000E5916"/>
    <w:rsid w:val="000E6A2D"/>
    <w:rsid w:val="000E6A33"/>
    <w:rsid w:val="000E73DE"/>
    <w:rsid w:val="000E7C60"/>
    <w:rsid w:val="000F0339"/>
    <w:rsid w:val="000F0EA0"/>
    <w:rsid w:val="000F102B"/>
    <w:rsid w:val="000F19F1"/>
    <w:rsid w:val="000F1B99"/>
    <w:rsid w:val="000F2231"/>
    <w:rsid w:val="000F2423"/>
    <w:rsid w:val="000F348C"/>
    <w:rsid w:val="000F4B31"/>
    <w:rsid w:val="000F4F1F"/>
    <w:rsid w:val="000F51B4"/>
    <w:rsid w:val="000F5469"/>
    <w:rsid w:val="000F54C0"/>
    <w:rsid w:val="000F57FE"/>
    <w:rsid w:val="000F60F4"/>
    <w:rsid w:val="000F6111"/>
    <w:rsid w:val="000F6447"/>
    <w:rsid w:val="000F6BA9"/>
    <w:rsid w:val="000F6C2D"/>
    <w:rsid w:val="000F6C35"/>
    <w:rsid w:val="000F710C"/>
    <w:rsid w:val="000F77F3"/>
    <w:rsid w:val="000F78A0"/>
    <w:rsid w:val="000F7EE9"/>
    <w:rsid w:val="001006F6"/>
    <w:rsid w:val="00100A5D"/>
    <w:rsid w:val="00100B23"/>
    <w:rsid w:val="00100DBE"/>
    <w:rsid w:val="00100EB1"/>
    <w:rsid w:val="00100EDF"/>
    <w:rsid w:val="001018EC"/>
    <w:rsid w:val="00102275"/>
    <w:rsid w:val="00103603"/>
    <w:rsid w:val="00103FB7"/>
    <w:rsid w:val="0010426F"/>
    <w:rsid w:val="00104BBB"/>
    <w:rsid w:val="0010524E"/>
    <w:rsid w:val="0010592A"/>
    <w:rsid w:val="00106304"/>
    <w:rsid w:val="00107015"/>
    <w:rsid w:val="001070AF"/>
    <w:rsid w:val="001070B7"/>
    <w:rsid w:val="001074BE"/>
    <w:rsid w:val="00107594"/>
    <w:rsid w:val="00107C02"/>
    <w:rsid w:val="00110523"/>
    <w:rsid w:val="00110A49"/>
    <w:rsid w:val="00110F73"/>
    <w:rsid w:val="00111507"/>
    <w:rsid w:val="00111628"/>
    <w:rsid w:val="00111909"/>
    <w:rsid w:val="0011199E"/>
    <w:rsid w:val="001120D8"/>
    <w:rsid w:val="0011270F"/>
    <w:rsid w:val="00112975"/>
    <w:rsid w:val="00112CAF"/>
    <w:rsid w:val="00112FDD"/>
    <w:rsid w:val="00113308"/>
    <w:rsid w:val="00113346"/>
    <w:rsid w:val="001136D7"/>
    <w:rsid w:val="00114397"/>
    <w:rsid w:val="001145D7"/>
    <w:rsid w:val="00114866"/>
    <w:rsid w:val="0011488D"/>
    <w:rsid w:val="0011504B"/>
    <w:rsid w:val="00115620"/>
    <w:rsid w:val="00115D5E"/>
    <w:rsid w:val="00115DEE"/>
    <w:rsid w:val="00116F1F"/>
    <w:rsid w:val="001173A3"/>
    <w:rsid w:val="0011753D"/>
    <w:rsid w:val="0011772A"/>
    <w:rsid w:val="00117B7B"/>
    <w:rsid w:val="00117DD7"/>
    <w:rsid w:val="0012010C"/>
    <w:rsid w:val="00120449"/>
    <w:rsid w:val="00120468"/>
    <w:rsid w:val="001205DE"/>
    <w:rsid w:val="00120C0A"/>
    <w:rsid w:val="00120CB9"/>
    <w:rsid w:val="00121028"/>
    <w:rsid w:val="00121463"/>
    <w:rsid w:val="00121579"/>
    <w:rsid w:val="00121857"/>
    <w:rsid w:val="00121941"/>
    <w:rsid w:val="00121D08"/>
    <w:rsid w:val="00121D48"/>
    <w:rsid w:val="00121D5F"/>
    <w:rsid w:val="00122284"/>
    <w:rsid w:val="00122588"/>
    <w:rsid w:val="00122707"/>
    <w:rsid w:val="0012277E"/>
    <w:rsid w:val="00122836"/>
    <w:rsid w:val="00123277"/>
    <w:rsid w:val="001233A4"/>
    <w:rsid w:val="001233C3"/>
    <w:rsid w:val="0012384F"/>
    <w:rsid w:val="00123EF5"/>
    <w:rsid w:val="001240DC"/>
    <w:rsid w:val="00124435"/>
    <w:rsid w:val="00124451"/>
    <w:rsid w:val="0012463B"/>
    <w:rsid w:val="00124953"/>
    <w:rsid w:val="00124C5E"/>
    <w:rsid w:val="00125175"/>
    <w:rsid w:val="00125365"/>
    <w:rsid w:val="0012547A"/>
    <w:rsid w:val="00125A53"/>
    <w:rsid w:val="00125F36"/>
    <w:rsid w:val="0012640B"/>
    <w:rsid w:val="001265CE"/>
    <w:rsid w:val="00126A2E"/>
    <w:rsid w:val="00126B8D"/>
    <w:rsid w:val="00127058"/>
    <w:rsid w:val="0012722D"/>
    <w:rsid w:val="0012767B"/>
    <w:rsid w:val="00127AC6"/>
    <w:rsid w:val="00127DB4"/>
    <w:rsid w:val="00130617"/>
    <w:rsid w:val="00130644"/>
    <w:rsid w:val="0013125C"/>
    <w:rsid w:val="001320E9"/>
    <w:rsid w:val="001322A1"/>
    <w:rsid w:val="0013296E"/>
    <w:rsid w:val="00132E41"/>
    <w:rsid w:val="00132E53"/>
    <w:rsid w:val="0013300F"/>
    <w:rsid w:val="0013318B"/>
    <w:rsid w:val="001338ED"/>
    <w:rsid w:val="0013411C"/>
    <w:rsid w:val="00134827"/>
    <w:rsid w:val="00134D60"/>
    <w:rsid w:val="00134FB3"/>
    <w:rsid w:val="00135109"/>
    <w:rsid w:val="00135500"/>
    <w:rsid w:val="00135855"/>
    <w:rsid w:val="0013645D"/>
    <w:rsid w:val="001366EF"/>
    <w:rsid w:val="00136730"/>
    <w:rsid w:val="00136E51"/>
    <w:rsid w:val="00136FAB"/>
    <w:rsid w:val="00137303"/>
    <w:rsid w:val="001373CA"/>
    <w:rsid w:val="00137777"/>
    <w:rsid w:val="001378C4"/>
    <w:rsid w:val="00140066"/>
    <w:rsid w:val="00140170"/>
    <w:rsid w:val="001401E7"/>
    <w:rsid w:val="00140E92"/>
    <w:rsid w:val="00141050"/>
    <w:rsid w:val="00141AAA"/>
    <w:rsid w:val="00141EC2"/>
    <w:rsid w:val="0014211F"/>
    <w:rsid w:val="0014234A"/>
    <w:rsid w:val="0014271C"/>
    <w:rsid w:val="00142AAC"/>
    <w:rsid w:val="00142C46"/>
    <w:rsid w:val="00143A00"/>
    <w:rsid w:val="00143CDB"/>
    <w:rsid w:val="00144BF1"/>
    <w:rsid w:val="00144BF3"/>
    <w:rsid w:val="00144F78"/>
    <w:rsid w:val="00145325"/>
    <w:rsid w:val="00146068"/>
    <w:rsid w:val="0014616A"/>
    <w:rsid w:val="0014648A"/>
    <w:rsid w:val="00146910"/>
    <w:rsid w:val="00146F3B"/>
    <w:rsid w:val="00147D42"/>
    <w:rsid w:val="00147DD6"/>
    <w:rsid w:val="00150188"/>
    <w:rsid w:val="00150281"/>
    <w:rsid w:val="001505DB"/>
    <w:rsid w:val="001506C7"/>
    <w:rsid w:val="001511A2"/>
    <w:rsid w:val="00151535"/>
    <w:rsid w:val="00151E9D"/>
    <w:rsid w:val="00152006"/>
    <w:rsid w:val="00152110"/>
    <w:rsid w:val="001522A4"/>
    <w:rsid w:val="00152832"/>
    <w:rsid w:val="00152AFF"/>
    <w:rsid w:val="00152F3A"/>
    <w:rsid w:val="00153465"/>
    <w:rsid w:val="001538F8"/>
    <w:rsid w:val="00153B8F"/>
    <w:rsid w:val="00153CE4"/>
    <w:rsid w:val="00153FEE"/>
    <w:rsid w:val="00154139"/>
    <w:rsid w:val="0015548C"/>
    <w:rsid w:val="001557E5"/>
    <w:rsid w:val="001557FC"/>
    <w:rsid w:val="00155B28"/>
    <w:rsid w:val="0015605B"/>
    <w:rsid w:val="00156423"/>
    <w:rsid w:val="00156565"/>
    <w:rsid w:val="00156D2C"/>
    <w:rsid w:val="0015729D"/>
    <w:rsid w:val="00157526"/>
    <w:rsid w:val="001576E0"/>
    <w:rsid w:val="00157C34"/>
    <w:rsid w:val="00160B93"/>
    <w:rsid w:val="001612F8"/>
    <w:rsid w:val="00161DA0"/>
    <w:rsid w:val="00162324"/>
    <w:rsid w:val="0016236F"/>
    <w:rsid w:val="00163591"/>
    <w:rsid w:val="001637E4"/>
    <w:rsid w:val="001638A1"/>
    <w:rsid w:val="00163A88"/>
    <w:rsid w:val="00163DB7"/>
    <w:rsid w:val="001644F9"/>
    <w:rsid w:val="001645F1"/>
    <w:rsid w:val="0016516C"/>
    <w:rsid w:val="00165478"/>
    <w:rsid w:val="001656CB"/>
    <w:rsid w:val="00165AEC"/>
    <w:rsid w:val="00165C0D"/>
    <w:rsid w:val="00165D57"/>
    <w:rsid w:val="00165F24"/>
    <w:rsid w:val="001660EA"/>
    <w:rsid w:val="00166135"/>
    <w:rsid w:val="00166F50"/>
    <w:rsid w:val="00167370"/>
    <w:rsid w:val="001676BB"/>
    <w:rsid w:val="001676D6"/>
    <w:rsid w:val="00167BA5"/>
    <w:rsid w:val="00167CA5"/>
    <w:rsid w:val="00167EA9"/>
    <w:rsid w:val="00167EC1"/>
    <w:rsid w:val="00167F3B"/>
    <w:rsid w:val="00170508"/>
    <w:rsid w:val="0017087D"/>
    <w:rsid w:val="001708A4"/>
    <w:rsid w:val="00170C39"/>
    <w:rsid w:val="00170C3B"/>
    <w:rsid w:val="00170ECE"/>
    <w:rsid w:val="00171A96"/>
    <w:rsid w:val="00171B03"/>
    <w:rsid w:val="00171F87"/>
    <w:rsid w:val="001729E3"/>
    <w:rsid w:val="00172A27"/>
    <w:rsid w:val="00172B0F"/>
    <w:rsid w:val="00172F9E"/>
    <w:rsid w:val="001731D7"/>
    <w:rsid w:val="00173F53"/>
    <w:rsid w:val="00173FD8"/>
    <w:rsid w:val="001746D7"/>
    <w:rsid w:val="001747D1"/>
    <w:rsid w:val="0017480E"/>
    <w:rsid w:val="001750D7"/>
    <w:rsid w:val="001755D9"/>
    <w:rsid w:val="001756FA"/>
    <w:rsid w:val="00176012"/>
    <w:rsid w:val="001760D9"/>
    <w:rsid w:val="00176274"/>
    <w:rsid w:val="0017668E"/>
    <w:rsid w:val="00176DE0"/>
    <w:rsid w:val="00177005"/>
    <w:rsid w:val="0017700B"/>
    <w:rsid w:val="0017729E"/>
    <w:rsid w:val="001776B1"/>
    <w:rsid w:val="00177834"/>
    <w:rsid w:val="001778DE"/>
    <w:rsid w:val="00177E6E"/>
    <w:rsid w:val="00177F20"/>
    <w:rsid w:val="001800A0"/>
    <w:rsid w:val="001801B0"/>
    <w:rsid w:val="001801B5"/>
    <w:rsid w:val="0018057F"/>
    <w:rsid w:val="00181326"/>
    <w:rsid w:val="001824A0"/>
    <w:rsid w:val="00182AF4"/>
    <w:rsid w:val="0018311E"/>
    <w:rsid w:val="00183347"/>
    <w:rsid w:val="001834F0"/>
    <w:rsid w:val="001836ED"/>
    <w:rsid w:val="00183B8B"/>
    <w:rsid w:val="00183DC5"/>
    <w:rsid w:val="00183F35"/>
    <w:rsid w:val="00184344"/>
    <w:rsid w:val="0018516C"/>
    <w:rsid w:val="00185355"/>
    <w:rsid w:val="0018575C"/>
    <w:rsid w:val="0018629F"/>
    <w:rsid w:val="0018741F"/>
    <w:rsid w:val="00187B45"/>
    <w:rsid w:val="00190385"/>
    <w:rsid w:val="00190A2F"/>
    <w:rsid w:val="00190BD3"/>
    <w:rsid w:val="00190CF8"/>
    <w:rsid w:val="001918B5"/>
    <w:rsid w:val="00191B90"/>
    <w:rsid w:val="00191BAE"/>
    <w:rsid w:val="00191C95"/>
    <w:rsid w:val="001920B7"/>
    <w:rsid w:val="00192434"/>
    <w:rsid w:val="001929F4"/>
    <w:rsid w:val="00192B2B"/>
    <w:rsid w:val="001938F4"/>
    <w:rsid w:val="00193C25"/>
    <w:rsid w:val="00194AF0"/>
    <w:rsid w:val="00194D1E"/>
    <w:rsid w:val="00194F8A"/>
    <w:rsid w:val="001953B0"/>
    <w:rsid w:val="00195966"/>
    <w:rsid w:val="001959A7"/>
    <w:rsid w:val="001966E3"/>
    <w:rsid w:val="001967B2"/>
    <w:rsid w:val="0019693B"/>
    <w:rsid w:val="00196C77"/>
    <w:rsid w:val="00196E6A"/>
    <w:rsid w:val="00197B07"/>
    <w:rsid w:val="00197E22"/>
    <w:rsid w:val="001A090E"/>
    <w:rsid w:val="001A103E"/>
    <w:rsid w:val="001A11AA"/>
    <w:rsid w:val="001A1631"/>
    <w:rsid w:val="001A1C1F"/>
    <w:rsid w:val="001A1D0A"/>
    <w:rsid w:val="001A2C32"/>
    <w:rsid w:val="001A2D03"/>
    <w:rsid w:val="001A3185"/>
    <w:rsid w:val="001A323E"/>
    <w:rsid w:val="001A3514"/>
    <w:rsid w:val="001A38D1"/>
    <w:rsid w:val="001A3DFF"/>
    <w:rsid w:val="001A436B"/>
    <w:rsid w:val="001A4B97"/>
    <w:rsid w:val="001A4DF9"/>
    <w:rsid w:val="001A4FD1"/>
    <w:rsid w:val="001A56E7"/>
    <w:rsid w:val="001A598A"/>
    <w:rsid w:val="001A5A1C"/>
    <w:rsid w:val="001A609F"/>
    <w:rsid w:val="001A6E0C"/>
    <w:rsid w:val="001A788A"/>
    <w:rsid w:val="001A7F6A"/>
    <w:rsid w:val="001B0151"/>
    <w:rsid w:val="001B033C"/>
    <w:rsid w:val="001B04E2"/>
    <w:rsid w:val="001B0824"/>
    <w:rsid w:val="001B0BC9"/>
    <w:rsid w:val="001B0D7B"/>
    <w:rsid w:val="001B12D3"/>
    <w:rsid w:val="001B17ED"/>
    <w:rsid w:val="001B1D1E"/>
    <w:rsid w:val="001B1E6B"/>
    <w:rsid w:val="001B2185"/>
    <w:rsid w:val="001B2368"/>
    <w:rsid w:val="001B2AA2"/>
    <w:rsid w:val="001B2BE1"/>
    <w:rsid w:val="001B2D41"/>
    <w:rsid w:val="001B31A2"/>
    <w:rsid w:val="001B33AD"/>
    <w:rsid w:val="001B3BF2"/>
    <w:rsid w:val="001B4036"/>
    <w:rsid w:val="001B45B1"/>
    <w:rsid w:val="001B55C9"/>
    <w:rsid w:val="001B58E5"/>
    <w:rsid w:val="001B596F"/>
    <w:rsid w:val="001B5A76"/>
    <w:rsid w:val="001B5D8F"/>
    <w:rsid w:val="001B5E28"/>
    <w:rsid w:val="001B607E"/>
    <w:rsid w:val="001B6F2B"/>
    <w:rsid w:val="001B6F3D"/>
    <w:rsid w:val="001B6FF3"/>
    <w:rsid w:val="001B7068"/>
    <w:rsid w:val="001B73D3"/>
    <w:rsid w:val="001B7730"/>
    <w:rsid w:val="001B7AD5"/>
    <w:rsid w:val="001B7AF0"/>
    <w:rsid w:val="001B7BB2"/>
    <w:rsid w:val="001C0073"/>
    <w:rsid w:val="001C058C"/>
    <w:rsid w:val="001C0E71"/>
    <w:rsid w:val="001C1481"/>
    <w:rsid w:val="001C1589"/>
    <w:rsid w:val="001C17A2"/>
    <w:rsid w:val="001C19E4"/>
    <w:rsid w:val="001C1E70"/>
    <w:rsid w:val="001C237E"/>
    <w:rsid w:val="001C2D65"/>
    <w:rsid w:val="001C2DE5"/>
    <w:rsid w:val="001C31D4"/>
    <w:rsid w:val="001C32C1"/>
    <w:rsid w:val="001C3AB4"/>
    <w:rsid w:val="001C4A4C"/>
    <w:rsid w:val="001C4CD9"/>
    <w:rsid w:val="001C4D1D"/>
    <w:rsid w:val="001C4F3C"/>
    <w:rsid w:val="001C500B"/>
    <w:rsid w:val="001C50F6"/>
    <w:rsid w:val="001C51D4"/>
    <w:rsid w:val="001C5419"/>
    <w:rsid w:val="001C5D48"/>
    <w:rsid w:val="001C5EFD"/>
    <w:rsid w:val="001C6093"/>
    <w:rsid w:val="001C6203"/>
    <w:rsid w:val="001C63DF"/>
    <w:rsid w:val="001C64F6"/>
    <w:rsid w:val="001C6762"/>
    <w:rsid w:val="001C6B6C"/>
    <w:rsid w:val="001C6D0C"/>
    <w:rsid w:val="001C6F07"/>
    <w:rsid w:val="001C6F3C"/>
    <w:rsid w:val="001C6F8E"/>
    <w:rsid w:val="001C6FDB"/>
    <w:rsid w:val="001C70E9"/>
    <w:rsid w:val="001C7110"/>
    <w:rsid w:val="001C799C"/>
    <w:rsid w:val="001C7D0D"/>
    <w:rsid w:val="001D0062"/>
    <w:rsid w:val="001D006A"/>
    <w:rsid w:val="001D0258"/>
    <w:rsid w:val="001D02AB"/>
    <w:rsid w:val="001D0727"/>
    <w:rsid w:val="001D0E4D"/>
    <w:rsid w:val="001D1A22"/>
    <w:rsid w:val="001D1A89"/>
    <w:rsid w:val="001D1B38"/>
    <w:rsid w:val="001D237E"/>
    <w:rsid w:val="001D23D2"/>
    <w:rsid w:val="001D25FE"/>
    <w:rsid w:val="001D33AC"/>
    <w:rsid w:val="001D33AE"/>
    <w:rsid w:val="001D3A5B"/>
    <w:rsid w:val="001D3A98"/>
    <w:rsid w:val="001D3BAC"/>
    <w:rsid w:val="001D44F1"/>
    <w:rsid w:val="001D48FD"/>
    <w:rsid w:val="001D5023"/>
    <w:rsid w:val="001D6095"/>
    <w:rsid w:val="001D62FB"/>
    <w:rsid w:val="001D69B3"/>
    <w:rsid w:val="001D6D1D"/>
    <w:rsid w:val="001D7B84"/>
    <w:rsid w:val="001E0252"/>
    <w:rsid w:val="001E0962"/>
    <w:rsid w:val="001E0AD3"/>
    <w:rsid w:val="001E0D99"/>
    <w:rsid w:val="001E104D"/>
    <w:rsid w:val="001E154B"/>
    <w:rsid w:val="001E1C0B"/>
    <w:rsid w:val="001E1C8C"/>
    <w:rsid w:val="001E1D60"/>
    <w:rsid w:val="001E1F43"/>
    <w:rsid w:val="001E2E68"/>
    <w:rsid w:val="001E31D9"/>
    <w:rsid w:val="001E3478"/>
    <w:rsid w:val="001E35A3"/>
    <w:rsid w:val="001E3B0D"/>
    <w:rsid w:val="001E3CA7"/>
    <w:rsid w:val="001E3D4A"/>
    <w:rsid w:val="001E403B"/>
    <w:rsid w:val="001E57DB"/>
    <w:rsid w:val="001E593C"/>
    <w:rsid w:val="001E6192"/>
    <w:rsid w:val="001E625A"/>
    <w:rsid w:val="001E6678"/>
    <w:rsid w:val="001E6846"/>
    <w:rsid w:val="001E7300"/>
    <w:rsid w:val="001E768A"/>
    <w:rsid w:val="001F094F"/>
    <w:rsid w:val="001F0A57"/>
    <w:rsid w:val="001F0B23"/>
    <w:rsid w:val="001F0FB2"/>
    <w:rsid w:val="001F1D01"/>
    <w:rsid w:val="001F2344"/>
    <w:rsid w:val="001F23FD"/>
    <w:rsid w:val="001F2712"/>
    <w:rsid w:val="001F2C80"/>
    <w:rsid w:val="001F33E3"/>
    <w:rsid w:val="001F369A"/>
    <w:rsid w:val="001F3EB4"/>
    <w:rsid w:val="001F40E6"/>
    <w:rsid w:val="001F40F7"/>
    <w:rsid w:val="001F4231"/>
    <w:rsid w:val="001F4430"/>
    <w:rsid w:val="001F5587"/>
    <w:rsid w:val="001F5691"/>
    <w:rsid w:val="001F5A01"/>
    <w:rsid w:val="001F5C73"/>
    <w:rsid w:val="001F67A0"/>
    <w:rsid w:val="001F67EE"/>
    <w:rsid w:val="001F6F34"/>
    <w:rsid w:val="001F6F98"/>
    <w:rsid w:val="001F71BC"/>
    <w:rsid w:val="001F77FF"/>
    <w:rsid w:val="001F7840"/>
    <w:rsid w:val="001F7ADD"/>
    <w:rsid w:val="001F7BD2"/>
    <w:rsid w:val="001F7DB9"/>
    <w:rsid w:val="00200168"/>
    <w:rsid w:val="002001DA"/>
    <w:rsid w:val="0020030F"/>
    <w:rsid w:val="00200C0F"/>
    <w:rsid w:val="00200FFA"/>
    <w:rsid w:val="00201B0D"/>
    <w:rsid w:val="00201DA3"/>
    <w:rsid w:val="00201E49"/>
    <w:rsid w:val="0020208A"/>
    <w:rsid w:val="002021AD"/>
    <w:rsid w:val="0020252D"/>
    <w:rsid w:val="00202DF0"/>
    <w:rsid w:val="0020368F"/>
    <w:rsid w:val="00203839"/>
    <w:rsid w:val="00203ACD"/>
    <w:rsid w:val="00203BA9"/>
    <w:rsid w:val="00203C6F"/>
    <w:rsid w:val="00203CE4"/>
    <w:rsid w:val="00203F5C"/>
    <w:rsid w:val="002043A5"/>
    <w:rsid w:val="00204448"/>
    <w:rsid w:val="002044AE"/>
    <w:rsid w:val="002046A3"/>
    <w:rsid w:val="0020482B"/>
    <w:rsid w:val="00204ED3"/>
    <w:rsid w:val="00205553"/>
    <w:rsid w:val="002055AA"/>
    <w:rsid w:val="00205D0B"/>
    <w:rsid w:val="00206086"/>
    <w:rsid w:val="00206942"/>
    <w:rsid w:val="002069C5"/>
    <w:rsid w:val="002070A4"/>
    <w:rsid w:val="002078AC"/>
    <w:rsid w:val="0020790F"/>
    <w:rsid w:val="00207B40"/>
    <w:rsid w:val="00207E63"/>
    <w:rsid w:val="00207ED8"/>
    <w:rsid w:val="00210039"/>
    <w:rsid w:val="002104BB"/>
    <w:rsid w:val="00210E55"/>
    <w:rsid w:val="00211104"/>
    <w:rsid w:val="002113A4"/>
    <w:rsid w:val="002115F8"/>
    <w:rsid w:val="0021167D"/>
    <w:rsid w:val="002117D3"/>
    <w:rsid w:val="00211A14"/>
    <w:rsid w:val="00211CF3"/>
    <w:rsid w:val="002124FD"/>
    <w:rsid w:val="00212E4C"/>
    <w:rsid w:val="002140E7"/>
    <w:rsid w:val="00214332"/>
    <w:rsid w:val="002143CD"/>
    <w:rsid w:val="0021468C"/>
    <w:rsid w:val="00215215"/>
    <w:rsid w:val="002155BF"/>
    <w:rsid w:val="00215EAD"/>
    <w:rsid w:val="00215ED2"/>
    <w:rsid w:val="002162E1"/>
    <w:rsid w:val="00216546"/>
    <w:rsid w:val="00216D4F"/>
    <w:rsid w:val="00217483"/>
    <w:rsid w:val="00220284"/>
    <w:rsid w:val="00220D1B"/>
    <w:rsid w:val="00220EF1"/>
    <w:rsid w:val="002210D5"/>
    <w:rsid w:val="00221DF0"/>
    <w:rsid w:val="00222644"/>
    <w:rsid w:val="0022286F"/>
    <w:rsid w:val="0022332E"/>
    <w:rsid w:val="00223EC5"/>
    <w:rsid w:val="0022402A"/>
    <w:rsid w:val="00224126"/>
    <w:rsid w:val="002245D4"/>
    <w:rsid w:val="00224687"/>
    <w:rsid w:val="002248CB"/>
    <w:rsid w:val="00224E6F"/>
    <w:rsid w:val="00225983"/>
    <w:rsid w:val="00225CD5"/>
    <w:rsid w:val="00226924"/>
    <w:rsid w:val="00226C61"/>
    <w:rsid w:val="00227598"/>
    <w:rsid w:val="00227D91"/>
    <w:rsid w:val="0023053F"/>
    <w:rsid w:val="00230AF1"/>
    <w:rsid w:val="00230BBB"/>
    <w:rsid w:val="00230C1E"/>
    <w:rsid w:val="00230C4E"/>
    <w:rsid w:val="00231B40"/>
    <w:rsid w:val="00231F87"/>
    <w:rsid w:val="00232210"/>
    <w:rsid w:val="00232391"/>
    <w:rsid w:val="00232B0C"/>
    <w:rsid w:val="00232B80"/>
    <w:rsid w:val="00232EAC"/>
    <w:rsid w:val="00233516"/>
    <w:rsid w:val="00233978"/>
    <w:rsid w:val="0023453B"/>
    <w:rsid w:val="00235322"/>
    <w:rsid w:val="002354E3"/>
    <w:rsid w:val="002358C5"/>
    <w:rsid w:val="002363AA"/>
    <w:rsid w:val="00236716"/>
    <w:rsid w:val="0023722C"/>
    <w:rsid w:val="00237362"/>
    <w:rsid w:val="00237570"/>
    <w:rsid w:val="002378E2"/>
    <w:rsid w:val="0023799F"/>
    <w:rsid w:val="00237AFC"/>
    <w:rsid w:val="00237CD4"/>
    <w:rsid w:val="00237F54"/>
    <w:rsid w:val="0024006F"/>
    <w:rsid w:val="00240367"/>
    <w:rsid w:val="0024037B"/>
    <w:rsid w:val="00240828"/>
    <w:rsid w:val="00240A21"/>
    <w:rsid w:val="00240CAD"/>
    <w:rsid w:val="00240FDC"/>
    <w:rsid w:val="00241371"/>
    <w:rsid w:val="002419F8"/>
    <w:rsid w:val="00241B6B"/>
    <w:rsid w:val="00241F6A"/>
    <w:rsid w:val="002424D1"/>
    <w:rsid w:val="0024318C"/>
    <w:rsid w:val="002437D2"/>
    <w:rsid w:val="00243A1F"/>
    <w:rsid w:val="0024411B"/>
    <w:rsid w:val="002443B3"/>
    <w:rsid w:val="0024476C"/>
    <w:rsid w:val="00245084"/>
    <w:rsid w:val="00245FA0"/>
    <w:rsid w:val="0024609A"/>
    <w:rsid w:val="00246626"/>
    <w:rsid w:val="00246B39"/>
    <w:rsid w:val="00247082"/>
    <w:rsid w:val="002479CB"/>
    <w:rsid w:val="00247AC2"/>
    <w:rsid w:val="00247BD9"/>
    <w:rsid w:val="00247BED"/>
    <w:rsid w:val="00247D9A"/>
    <w:rsid w:val="00250523"/>
    <w:rsid w:val="002505EB"/>
    <w:rsid w:val="00250858"/>
    <w:rsid w:val="0025097E"/>
    <w:rsid w:val="002509F5"/>
    <w:rsid w:val="00250D8F"/>
    <w:rsid w:val="00250E1A"/>
    <w:rsid w:val="00250E20"/>
    <w:rsid w:val="002518AE"/>
    <w:rsid w:val="00251962"/>
    <w:rsid w:val="0025260F"/>
    <w:rsid w:val="00252B66"/>
    <w:rsid w:val="002532BF"/>
    <w:rsid w:val="00254145"/>
    <w:rsid w:val="0025422A"/>
    <w:rsid w:val="0025450A"/>
    <w:rsid w:val="002554B0"/>
    <w:rsid w:val="00255632"/>
    <w:rsid w:val="002559B1"/>
    <w:rsid w:val="00255A32"/>
    <w:rsid w:val="00255B28"/>
    <w:rsid w:val="00255B6A"/>
    <w:rsid w:val="00255B8C"/>
    <w:rsid w:val="00255EDD"/>
    <w:rsid w:val="00255F2B"/>
    <w:rsid w:val="0025655F"/>
    <w:rsid w:val="00256BEC"/>
    <w:rsid w:val="002577A5"/>
    <w:rsid w:val="00257BDC"/>
    <w:rsid w:val="00257FB4"/>
    <w:rsid w:val="00260500"/>
    <w:rsid w:val="00260BBC"/>
    <w:rsid w:val="00260F94"/>
    <w:rsid w:val="002611F5"/>
    <w:rsid w:val="002617BF"/>
    <w:rsid w:val="00262328"/>
    <w:rsid w:val="0026244D"/>
    <w:rsid w:val="00262919"/>
    <w:rsid w:val="00262D5E"/>
    <w:rsid w:val="00263510"/>
    <w:rsid w:val="00263589"/>
    <w:rsid w:val="002637A2"/>
    <w:rsid w:val="00263BBC"/>
    <w:rsid w:val="00263CEE"/>
    <w:rsid w:val="00264047"/>
    <w:rsid w:val="0026441A"/>
    <w:rsid w:val="00264733"/>
    <w:rsid w:val="00264D66"/>
    <w:rsid w:val="00264D82"/>
    <w:rsid w:val="0026553A"/>
    <w:rsid w:val="00265DA2"/>
    <w:rsid w:val="00266722"/>
    <w:rsid w:val="002667A5"/>
    <w:rsid w:val="00266C04"/>
    <w:rsid w:val="00266D0A"/>
    <w:rsid w:val="00266E9D"/>
    <w:rsid w:val="002672AD"/>
    <w:rsid w:val="002676F3"/>
    <w:rsid w:val="00267772"/>
    <w:rsid w:val="00267AC3"/>
    <w:rsid w:val="00267C7E"/>
    <w:rsid w:val="00267D4B"/>
    <w:rsid w:val="0027045F"/>
    <w:rsid w:val="002704AE"/>
    <w:rsid w:val="00270518"/>
    <w:rsid w:val="00270788"/>
    <w:rsid w:val="00270932"/>
    <w:rsid w:val="00270BEB"/>
    <w:rsid w:val="00270E1B"/>
    <w:rsid w:val="00271177"/>
    <w:rsid w:val="002714C7"/>
    <w:rsid w:val="002718DC"/>
    <w:rsid w:val="00271D75"/>
    <w:rsid w:val="002723AD"/>
    <w:rsid w:val="0027295A"/>
    <w:rsid w:val="00273591"/>
    <w:rsid w:val="0027381D"/>
    <w:rsid w:val="00273AD7"/>
    <w:rsid w:val="00273BBB"/>
    <w:rsid w:val="00273F0F"/>
    <w:rsid w:val="00274379"/>
    <w:rsid w:val="00274412"/>
    <w:rsid w:val="00274CA4"/>
    <w:rsid w:val="00274CCB"/>
    <w:rsid w:val="0027595D"/>
    <w:rsid w:val="00275B48"/>
    <w:rsid w:val="00276D05"/>
    <w:rsid w:val="00276F20"/>
    <w:rsid w:val="00277187"/>
    <w:rsid w:val="00277C86"/>
    <w:rsid w:val="002801EF"/>
    <w:rsid w:val="0028084D"/>
    <w:rsid w:val="00280C1C"/>
    <w:rsid w:val="0028116A"/>
    <w:rsid w:val="00281B96"/>
    <w:rsid w:val="002824E9"/>
    <w:rsid w:val="002839C9"/>
    <w:rsid w:val="00284003"/>
    <w:rsid w:val="002844A8"/>
    <w:rsid w:val="00284D15"/>
    <w:rsid w:val="002850D5"/>
    <w:rsid w:val="002850FB"/>
    <w:rsid w:val="00285787"/>
    <w:rsid w:val="00286DC5"/>
    <w:rsid w:val="00286E30"/>
    <w:rsid w:val="002873CB"/>
    <w:rsid w:val="00287BCE"/>
    <w:rsid w:val="00287CEF"/>
    <w:rsid w:val="00287FD9"/>
    <w:rsid w:val="002904FF"/>
    <w:rsid w:val="0029079A"/>
    <w:rsid w:val="00290912"/>
    <w:rsid w:val="00290C43"/>
    <w:rsid w:val="002911E1"/>
    <w:rsid w:val="002913EC"/>
    <w:rsid w:val="00291D2B"/>
    <w:rsid w:val="00292216"/>
    <w:rsid w:val="00292252"/>
    <w:rsid w:val="0029252B"/>
    <w:rsid w:val="002926D7"/>
    <w:rsid w:val="0029285A"/>
    <w:rsid w:val="002928A1"/>
    <w:rsid w:val="00292EF5"/>
    <w:rsid w:val="00292F58"/>
    <w:rsid w:val="00292FCB"/>
    <w:rsid w:val="002930F7"/>
    <w:rsid w:val="0029368D"/>
    <w:rsid w:val="00293941"/>
    <w:rsid w:val="00293B82"/>
    <w:rsid w:val="00293BC9"/>
    <w:rsid w:val="00293F6B"/>
    <w:rsid w:val="0029467C"/>
    <w:rsid w:val="00294D20"/>
    <w:rsid w:val="00294DC0"/>
    <w:rsid w:val="00294FBB"/>
    <w:rsid w:val="00295374"/>
    <w:rsid w:val="00295A23"/>
    <w:rsid w:val="00296502"/>
    <w:rsid w:val="002965A8"/>
    <w:rsid w:val="00296AD1"/>
    <w:rsid w:val="0029773A"/>
    <w:rsid w:val="00297986"/>
    <w:rsid w:val="00297D2D"/>
    <w:rsid w:val="00297EEA"/>
    <w:rsid w:val="00297EF5"/>
    <w:rsid w:val="00297F2C"/>
    <w:rsid w:val="002A02FC"/>
    <w:rsid w:val="002A0B2E"/>
    <w:rsid w:val="002A0BD0"/>
    <w:rsid w:val="002A1CF0"/>
    <w:rsid w:val="002A26A0"/>
    <w:rsid w:val="002A3047"/>
    <w:rsid w:val="002A31EE"/>
    <w:rsid w:val="002A3284"/>
    <w:rsid w:val="002A37D0"/>
    <w:rsid w:val="002A465A"/>
    <w:rsid w:val="002A4A61"/>
    <w:rsid w:val="002A4B9E"/>
    <w:rsid w:val="002A4D43"/>
    <w:rsid w:val="002A4DA0"/>
    <w:rsid w:val="002A5454"/>
    <w:rsid w:val="002A54FF"/>
    <w:rsid w:val="002A5503"/>
    <w:rsid w:val="002A59AA"/>
    <w:rsid w:val="002A5B04"/>
    <w:rsid w:val="002A5BC2"/>
    <w:rsid w:val="002A5DE2"/>
    <w:rsid w:val="002A625A"/>
    <w:rsid w:val="002A62EB"/>
    <w:rsid w:val="002A6FD5"/>
    <w:rsid w:val="002A729C"/>
    <w:rsid w:val="002B03BD"/>
    <w:rsid w:val="002B0681"/>
    <w:rsid w:val="002B07EC"/>
    <w:rsid w:val="002B0D63"/>
    <w:rsid w:val="002B0F15"/>
    <w:rsid w:val="002B1740"/>
    <w:rsid w:val="002B195A"/>
    <w:rsid w:val="002B25E3"/>
    <w:rsid w:val="002B27F2"/>
    <w:rsid w:val="002B2A41"/>
    <w:rsid w:val="002B2BC6"/>
    <w:rsid w:val="002B2CD4"/>
    <w:rsid w:val="002B2D3C"/>
    <w:rsid w:val="002B2D71"/>
    <w:rsid w:val="002B2EC0"/>
    <w:rsid w:val="002B3094"/>
    <w:rsid w:val="002B329B"/>
    <w:rsid w:val="002B3364"/>
    <w:rsid w:val="002B3524"/>
    <w:rsid w:val="002B3726"/>
    <w:rsid w:val="002B4B77"/>
    <w:rsid w:val="002B4D94"/>
    <w:rsid w:val="002B4E98"/>
    <w:rsid w:val="002B5507"/>
    <w:rsid w:val="002B5663"/>
    <w:rsid w:val="002B6260"/>
    <w:rsid w:val="002B6551"/>
    <w:rsid w:val="002B6CEA"/>
    <w:rsid w:val="002B6FC5"/>
    <w:rsid w:val="002B734E"/>
    <w:rsid w:val="002B73BE"/>
    <w:rsid w:val="002B744F"/>
    <w:rsid w:val="002B7467"/>
    <w:rsid w:val="002B799B"/>
    <w:rsid w:val="002B7D3A"/>
    <w:rsid w:val="002C0B22"/>
    <w:rsid w:val="002C0BAE"/>
    <w:rsid w:val="002C1157"/>
    <w:rsid w:val="002C1201"/>
    <w:rsid w:val="002C12CA"/>
    <w:rsid w:val="002C1463"/>
    <w:rsid w:val="002C16C7"/>
    <w:rsid w:val="002C1753"/>
    <w:rsid w:val="002C18D1"/>
    <w:rsid w:val="002C1957"/>
    <w:rsid w:val="002C1A23"/>
    <w:rsid w:val="002C1D1D"/>
    <w:rsid w:val="002C1E2D"/>
    <w:rsid w:val="002C2457"/>
    <w:rsid w:val="002C2790"/>
    <w:rsid w:val="002C28A6"/>
    <w:rsid w:val="002C2C13"/>
    <w:rsid w:val="002C3708"/>
    <w:rsid w:val="002C37E9"/>
    <w:rsid w:val="002C3C06"/>
    <w:rsid w:val="002C3D4F"/>
    <w:rsid w:val="002C48F3"/>
    <w:rsid w:val="002C4BD6"/>
    <w:rsid w:val="002C5244"/>
    <w:rsid w:val="002C53B5"/>
    <w:rsid w:val="002C54C7"/>
    <w:rsid w:val="002C58A5"/>
    <w:rsid w:val="002C6020"/>
    <w:rsid w:val="002C639E"/>
    <w:rsid w:val="002C66AE"/>
    <w:rsid w:val="002C68FD"/>
    <w:rsid w:val="002C71DE"/>
    <w:rsid w:val="002C759D"/>
    <w:rsid w:val="002C7742"/>
    <w:rsid w:val="002C783D"/>
    <w:rsid w:val="002C7E8D"/>
    <w:rsid w:val="002C7F33"/>
    <w:rsid w:val="002C7FBA"/>
    <w:rsid w:val="002C7FDC"/>
    <w:rsid w:val="002D0777"/>
    <w:rsid w:val="002D18C5"/>
    <w:rsid w:val="002D1B07"/>
    <w:rsid w:val="002D2211"/>
    <w:rsid w:val="002D2266"/>
    <w:rsid w:val="002D248B"/>
    <w:rsid w:val="002D253C"/>
    <w:rsid w:val="002D26A7"/>
    <w:rsid w:val="002D288B"/>
    <w:rsid w:val="002D2A8B"/>
    <w:rsid w:val="002D309B"/>
    <w:rsid w:val="002D34AA"/>
    <w:rsid w:val="002D3506"/>
    <w:rsid w:val="002D35D8"/>
    <w:rsid w:val="002D3BD0"/>
    <w:rsid w:val="002D3FD4"/>
    <w:rsid w:val="002D43F9"/>
    <w:rsid w:val="002D5237"/>
    <w:rsid w:val="002D55D1"/>
    <w:rsid w:val="002D578A"/>
    <w:rsid w:val="002D5B51"/>
    <w:rsid w:val="002D63EB"/>
    <w:rsid w:val="002D6A59"/>
    <w:rsid w:val="002D7599"/>
    <w:rsid w:val="002D7776"/>
    <w:rsid w:val="002D78C4"/>
    <w:rsid w:val="002D7EB3"/>
    <w:rsid w:val="002D7FB3"/>
    <w:rsid w:val="002E038A"/>
    <w:rsid w:val="002E04DF"/>
    <w:rsid w:val="002E069B"/>
    <w:rsid w:val="002E0B84"/>
    <w:rsid w:val="002E0C25"/>
    <w:rsid w:val="002E1925"/>
    <w:rsid w:val="002E1A46"/>
    <w:rsid w:val="002E1AA5"/>
    <w:rsid w:val="002E2388"/>
    <w:rsid w:val="002E2BC8"/>
    <w:rsid w:val="002E2C11"/>
    <w:rsid w:val="002E36BE"/>
    <w:rsid w:val="002E38E2"/>
    <w:rsid w:val="002E3BF2"/>
    <w:rsid w:val="002E40F6"/>
    <w:rsid w:val="002E4428"/>
    <w:rsid w:val="002E4498"/>
    <w:rsid w:val="002E454F"/>
    <w:rsid w:val="002E4903"/>
    <w:rsid w:val="002E4DFF"/>
    <w:rsid w:val="002E545C"/>
    <w:rsid w:val="002E5CDB"/>
    <w:rsid w:val="002E617C"/>
    <w:rsid w:val="002E68C7"/>
    <w:rsid w:val="002E6DA4"/>
    <w:rsid w:val="002E6E74"/>
    <w:rsid w:val="002E74A3"/>
    <w:rsid w:val="002E74D3"/>
    <w:rsid w:val="002E79EF"/>
    <w:rsid w:val="002E7CCE"/>
    <w:rsid w:val="002E7D06"/>
    <w:rsid w:val="002E7DE2"/>
    <w:rsid w:val="002E7F5A"/>
    <w:rsid w:val="002F00D1"/>
    <w:rsid w:val="002F03D4"/>
    <w:rsid w:val="002F042B"/>
    <w:rsid w:val="002F0432"/>
    <w:rsid w:val="002F099B"/>
    <w:rsid w:val="002F099E"/>
    <w:rsid w:val="002F0D91"/>
    <w:rsid w:val="002F11E3"/>
    <w:rsid w:val="002F123E"/>
    <w:rsid w:val="002F1371"/>
    <w:rsid w:val="002F172B"/>
    <w:rsid w:val="002F191C"/>
    <w:rsid w:val="002F1973"/>
    <w:rsid w:val="002F1981"/>
    <w:rsid w:val="002F1AA1"/>
    <w:rsid w:val="002F1B19"/>
    <w:rsid w:val="002F1D5A"/>
    <w:rsid w:val="002F1E8C"/>
    <w:rsid w:val="002F23FE"/>
    <w:rsid w:val="002F2553"/>
    <w:rsid w:val="002F2690"/>
    <w:rsid w:val="002F28B2"/>
    <w:rsid w:val="002F2C2A"/>
    <w:rsid w:val="002F442D"/>
    <w:rsid w:val="002F44DD"/>
    <w:rsid w:val="002F4746"/>
    <w:rsid w:val="002F4A43"/>
    <w:rsid w:val="002F4AAE"/>
    <w:rsid w:val="002F4B81"/>
    <w:rsid w:val="002F4EE4"/>
    <w:rsid w:val="002F515E"/>
    <w:rsid w:val="002F533E"/>
    <w:rsid w:val="002F5409"/>
    <w:rsid w:val="002F5AC8"/>
    <w:rsid w:val="002F5BA6"/>
    <w:rsid w:val="002F6610"/>
    <w:rsid w:val="002F66E2"/>
    <w:rsid w:val="002F6810"/>
    <w:rsid w:val="002F6F44"/>
    <w:rsid w:val="002F6FF8"/>
    <w:rsid w:val="002F7076"/>
    <w:rsid w:val="002F7C34"/>
    <w:rsid w:val="002F7CB3"/>
    <w:rsid w:val="00300599"/>
    <w:rsid w:val="00301E93"/>
    <w:rsid w:val="00301EC6"/>
    <w:rsid w:val="00302B74"/>
    <w:rsid w:val="00302D11"/>
    <w:rsid w:val="00303367"/>
    <w:rsid w:val="003039BA"/>
    <w:rsid w:val="00303C65"/>
    <w:rsid w:val="0030402F"/>
    <w:rsid w:val="003045D4"/>
    <w:rsid w:val="0030483E"/>
    <w:rsid w:val="00304A2A"/>
    <w:rsid w:val="00304AD7"/>
    <w:rsid w:val="003050F4"/>
    <w:rsid w:val="0030562E"/>
    <w:rsid w:val="00305670"/>
    <w:rsid w:val="003058F8"/>
    <w:rsid w:val="00305E6D"/>
    <w:rsid w:val="00305EEA"/>
    <w:rsid w:val="00307437"/>
    <w:rsid w:val="0030786B"/>
    <w:rsid w:val="0031013D"/>
    <w:rsid w:val="003104F8"/>
    <w:rsid w:val="0031058A"/>
    <w:rsid w:val="003105AC"/>
    <w:rsid w:val="0031061D"/>
    <w:rsid w:val="00310BAF"/>
    <w:rsid w:val="00310D8F"/>
    <w:rsid w:val="003110E3"/>
    <w:rsid w:val="0031120B"/>
    <w:rsid w:val="0031121D"/>
    <w:rsid w:val="00311734"/>
    <w:rsid w:val="00312E55"/>
    <w:rsid w:val="00312E9F"/>
    <w:rsid w:val="003137D9"/>
    <w:rsid w:val="00313B65"/>
    <w:rsid w:val="00313C4A"/>
    <w:rsid w:val="0031419E"/>
    <w:rsid w:val="00314982"/>
    <w:rsid w:val="0031549F"/>
    <w:rsid w:val="003155B5"/>
    <w:rsid w:val="00315835"/>
    <w:rsid w:val="00315B2D"/>
    <w:rsid w:val="00316A04"/>
    <w:rsid w:val="00316E8B"/>
    <w:rsid w:val="00316F6D"/>
    <w:rsid w:val="003170DC"/>
    <w:rsid w:val="0031750D"/>
    <w:rsid w:val="00317589"/>
    <w:rsid w:val="00317649"/>
    <w:rsid w:val="0031796C"/>
    <w:rsid w:val="003200C7"/>
    <w:rsid w:val="00320122"/>
    <w:rsid w:val="0032027B"/>
    <w:rsid w:val="00320280"/>
    <w:rsid w:val="003203E8"/>
    <w:rsid w:val="00320638"/>
    <w:rsid w:val="0032070D"/>
    <w:rsid w:val="00320AE3"/>
    <w:rsid w:val="00320B88"/>
    <w:rsid w:val="00320BCE"/>
    <w:rsid w:val="00321002"/>
    <w:rsid w:val="003212EA"/>
    <w:rsid w:val="003213C6"/>
    <w:rsid w:val="003215DD"/>
    <w:rsid w:val="0032161B"/>
    <w:rsid w:val="0032162F"/>
    <w:rsid w:val="00321B8E"/>
    <w:rsid w:val="00322436"/>
    <w:rsid w:val="003225DD"/>
    <w:rsid w:val="00322B15"/>
    <w:rsid w:val="00322D9D"/>
    <w:rsid w:val="00323458"/>
    <w:rsid w:val="00323A6D"/>
    <w:rsid w:val="00323A90"/>
    <w:rsid w:val="00323B12"/>
    <w:rsid w:val="00324083"/>
    <w:rsid w:val="00324415"/>
    <w:rsid w:val="0032446A"/>
    <w:rsid w:val="003248FA"/>
    <w:rsid w:val="00325031"/>
    <w:rsid w:val="00325854"/>
    <w:rsid w:val="0032589A"/>
    <w:rsid w:val="00325B70"/>
    <w:rsid w:val="00325D92"/>
    <w:rsid w:val="00325E43"/>
    <w:rsid w:val="00326021"/>
    <w:rsid w:val="0032645C"/>
    <w:rsid w:val="003264A0"/>
    <w:rsid w:val="003268AE"/>
    <w:rsid w:val="003269BA"/>
    <w:rsid w:val="00326B09"/>
    <w:rsid w:val="00326DF2"/>
    <w:rsid w:val="00326FB0"/>
    <w:rsid w:val="003276CE"/>
    <w:rsid w:val="003279BF"/>
    <w:rsid w:val="003300FB"/>
    <w:rsid w:val="00330513"/>
    <w:rsid w:val="0033071B"/>
    <w:rsid w:val="00330C9A"/>
    <w:rsid w:val="00330CC0"/>
    <w:rsid w:val="003310E1"/>
    <w:rsid w:val="00331D15"/>
    <w:rsid w:val="00332582"/>
    <w:rsid w:val="00332610"/>
    <w:rsid w:val="00332752"/>
    <w:rsid w:val="00332E0C"/>
    <w:rsid w:val="00333001"/>
    <w:rsid w:val="003338D8"/>
    <w:rsid w:val="00333BFD"/>
    <w:rsid w:val="00333E4C"/>
    <w:rsid w:val="00334D49"/>
    <w:rsid w:val="00335432"/>
    <w:rsid w:val="003359E8"/>
    <w:rsid w:val="00335C96"/>
    <w:rsid w:val="00335EB3"/>
    <w:rsid w:val="0033671A"/>
    <w:rsid w:val="00336ED7"/>
    <w:rsid w:val="003378F0"/>
    <w:rsid w:val="00337A8B"/>
    <w:rsid w:val="00337E1A"/>
    <w:rsid w:val="00337F86"/>
    <w:rsid w:val="003400AC"/>
    <w:rsid w:val="0034025F"/>
    <w:rsid w:val="00340495"/>
    <w:rsid w:val="00340662"/>
    <w:rsid w:val="00340894"/>
    <w:rsid w:val="00340CCF"/>
    <w:rsid w:val="00341337"/>
    <w:rsid w:val="0034192B"/>
    <w:rsid w:val="00341974"/>
    <w:rsid w:val="00341DF7"/>
    <w:rsid w:val="0034265E"/>
    <w:rsid w:val="00342881"/>
    <w:rsid w:val="003429A6"/>
    <w:rsid w:val="00342BCE"/>
    <w:rsid w:val="00342F08"/>
    <w:rsid w:val="00343086"/>
    <w:rsid w:val="00343114"/>
    <w:rsid w:val="003433C6"/>
    <w:rsid w:val="003436CD"/>
    <w:rsid w:val="00343CBF"/>
    <w:rsid w:val="00344BD2"/>
    <w:rsid w:val="00344BFC"/>
    <w:rsid w:val="00344C71"/>
    <w:rsid w:val="00345015"/>
    <w:rsid w:val="00345129"/>
    <w:rsid w:val="003453B8"/>
    <w:rsid w:val="003459AB"/>
    <w:rsid w:val="0034618C"/>
    <w:rsid w:val="00346953"/>
    <w:rsid w:val="0034713A"/>
    <w:rsid w:val="003476E2"/>
    <w:rsid w:val="00347E06"/>
    <w:rsid w:val="0035013A"/>
    <w:rsid w:val="00350B1C"/>
    <w:rsid w:val="00350C42"/>
    <w:rsid w:val="00350F95"/>
    <w:rsid w:val="0035190B"/>
    <w:rsid w:val="00351949"/>
    <w:rsid w:val="003519F4"/>
    <w:rsid w:val="00351E35"/>
    <w:rsid w:val="003520D6"/>
    <w:rsid w:val="003520F2"/>
    <w:rsid w:val="00352627"/>
    <w:rsid w:val="00352ED8"/>
    <w:rsid w:val="00353F64"/>
    <w:rsid w:val="00354229"/>
    <w:rsid w:val="00354503"/>
    <w:rsid w:val="00354F72"/>
    <w:rsid w:val="00355C97"/>
    <w:rsid w:val="00355D87"/>
    <w:rsid w:val="0035624A"/>
    <w:rsid w:val="00356914"/>
    <w:rsid w:val="00356C95"/>
    <w:rsid w:val="00357280"/>
    <w:rsid w:val="0035744D"/>
    <w:rsid w:val="003576F4"/>
    <w:rsid w:val="0036036A"/>
    <w:rsid w:val="003608A5"/>
    <w:rsid w:val="00360EC6"/>
    <w:rsid w:val="00361306"/>
    <w:rsid w:val="00361C39"/>
    <w:rsid w:val="00362759"/>
    <w:rsid w:val="00362C55"/>
    <w:rsid w:val="00362C7B"/>
    <w:rsid w:val="0036338F"/>
    <w:rsid w:val="00363CAD"/>
    <w:rsid w:val="00364237"/>
    <w:rsid w:val="003644BB"/>
    <w:rsid w:val="0036489F"/>
    <w:rsid w:val="00364C4D"/>
    <w:rsid w:val="00364DD3"/>
    <w:rsid w:val="00364E2F"/>
    <w:rsid w:val="003650AC"/>
    <w:rsid w:val="00365461"/>
    <w:rsid w:val="00365944"/>
    <w:rsid w:val="00365BE0"/>
    <w:rsid w:val="00366A45"/>
    <w:rsid w:val="00366BDB"/>
    <w:rsid w:val="00367674"/>
    <w:rsid w:val="00367FE6"/>
    <w:rsid w:val="00370195"/>
    <w:rsid w:val="0037050C"/>
    <w:rsid w:val="00370750"/>
    <w:rsid w:val="00370753"/>
    <w:rsid w:val="00370907"/>
    <w:rsid w:val="003709B1"/>
    <w:rsid w:val="003709BA"/>
    <w:rsid w:val="0037123D"/>
    <w:rsid w:val="00371385"/>
    <w:rsid w:val="003715DF"/>
    <w:rsid w:val="00371A7A"/>
    <w:rsid w:val="0037223B"/>
    <w:rsid w:val="00372448"/>
    <w:rsid w:val="003724D8"/>
    <w:rsid w:val="00373776"/>
    <w:rsid w:val="00373F52"/>
    <w:rsid w:val="0037423F"/>
    <w:rsid w:val="003744C0"/>
    <w:rsid w:val="00374C34"/>
    <w:rsid w:val="00374EFC"/>
    <w:rsid w:val="003751C8"/>
    <w:rsid w:val="00375260"/>
    <w:rsid w:val="00375349"/>
    <w:rsid w:val="0037579A"/>
    <w:rsid w:val="00375883"/>
    <w:rsid w:val="00375D11"/>
    <w:rsid w:val="003767A4"/>
    <w:rsid w:val="003768DD"/>
    <w:rsid w:val="00376C9A"/>
    <w:rsid w:val="00376E0E"/>
    <w:rsid w:val="003773D6"/>
    <w:rsid w:val="003774DE"/>
    <w:rsid w:val="003775C7"/>
    <w:rsid w:val="00377D2A"/>
    <w:rsid w:val="00377E57"/>
    <w:rsid w:val="003801DA"/>
    <w:rsid w:val="00380223"/>
    <w:rsid w:val="003809BA"/>
    <w:rsid w:val="00380A84"/>
    <w:rsid w:val="00381324"/>
    <w:rsid w:val="0038184E"/>
    <w:rsid w:val="003823E9"/>
    <w:rsid w:val="0038287C"/>
    <w:rsid w:val="00382E3A"/>
    <w:rsid w:val="0038324F"/>
    <w:rsid w:val="00383FE0"/>
    <w:rsid w:val="00384556"/>
    <w:rsid w:val="00384B5C"/>
    <w:rsid w:val="00384E7F"/>
    <w:rsid w:val="00385107"/>
    <w:rsid w:val="00385231"/>
    <w:rsid w:val="00385766"/>
    <w:rsid w:val="00385AAC"/>
    <w:rsid w:val="00385BDB"/>
    <w:rsid w:val="00385D21"/>
    <w:rsid w:val="00386F12"/>
    <w:rsid w:val="0038729F"/>
    <w:rsid w:val="00387313"/>
    <w:rsid w:val="00387A82"/>
    <w:rsid w:val="00390355"/>
    <w:rsid w:val="00390456"/>
    <w:rsid w:val="003907B6"/>
    <w:rsid w:val="00390B4A"/>
    <w:rsid w:val="00390C99"/>
    <w:rsid w:val="00391251"/>
    <w:rsid w:val="00391506"/>
    <w:rsid w:val="00391C94"/>
    <w:rsid w:val="00391CA1"/>
    <w:rsid w:val="00391CDE"/>
    <w:rsid w:val="00392018"/>
    <w:rsid w:val="003920EA"/>
    <w:rsid w:val="00392449"/>
    <w:rsid w:val="00392648"/>
    <w:rsid w:val="00392666"/>
    <w:rsid w:val="0039292A"/>
    <w:rsid w:val="00392B55"/>
    <w:rsid w:val="00392B6C"/>
    <w:rsid w:val="00392DF3"/>
    <w:rsid w:val="00393240"/>
    <w:rsid w:val="00393409"/>
    <w:rsid w:val="003935E0"/>
    <w:rsid w:val="00393862"/>
    <w:rsid w:val="00393A0C"/>
    <w:rsid w:val="003942DA"/>
    <w:rsid w:val="00394B8C"/>
    <w:rsid w:val="00394CDE"/>
    <w:rsid w:val="00394E69"/>
    <w:rsid w:val="003950DA"/>
    <w:rsid w:val="00395251"/>
    <w:rsid w:val="00395678"/>
    <w:rsid w:val="00395CCD"/>
    <w:rsid w:val="00395E81"/>
    <w:rsid w:val="00396514"/>
    <w:rsid w:val="00396ADA"/>
    <w:rsid w:val="0039774C"/>
    <w:rsid w:val="003977FD"/>
    <w:rsid w:val="00397AD5"/>
    <w:rsid w:val="00397DAE"/>
    <w:rsid w:val="003A051C"/>
    <w:rsid w:val="003A0DD2"/>
    <w:rsid w:val="003A10A2"/>
    <w:rsid w:val="003A1174"/>
    <w:rsid w:val="003A1697"/>
    <w:rsid w:val="003A1732"/>
    <w:rsid w:val="003A1CFE"/>
    <w:rsid w:val="003A1EC3"/>
    <w:rsid w:val="003A23F1"/>
    <w:rsid w:val="003A2ED1"/>
    <w:rsid w:val="003A2F45"/>
    <w:rsid w:val="003A310C"/>
    <w:rsid w:val="003A31F2"/>
    <w:rsid w:val="003A323B"/>
    <w:rsid w:val="003A3391"/>
    <w:rsid w:val="003A3621"/>
    <w:rsid w:val="003A3F77"/>
    <w:rsid w:val="003A4101"/>
    <w:rsid w:val="003A441F"/>
    <w:rsid w:val="003A443F"/>
    <w:rsid w:val="003A4751"/>
    <w:rsid w:val="003A4967"/>
    <w:rsid w:val="003A49BD"/>
    <w:rsid w:val="003A4A11"/>
    <w:rsid w:val="003A4A61"/>
    <w:rsid w:val="003A5061"/>
    <w:rsid w:val="003A5985"/>
    <w:rsid w:val="003A5D46"/>
    <w:rsid w:val="003A5EFC"/>
    <w:rsid w:val="003A5FB8"/>
    <w:rsid w:val="003A65A0"/>
    <w:rsid w:val="003A677E"/>
    <w:rsid w:val="003A682B"/>
    <w:rsid w:val="003A6A51"/>
    <w:rsid w:val="003A6BC7"/>
    <w:rsid w:val="003A6E72"/>
    <w:rsid w:val="003A7392"/>
    <w:rsid w:val="003A74DD"/>
    <w:rsid w:val="003A7695"/>
    <w:rsid w:val="003A77EB"/>
    <w:rsid w:val="003A7D65"/>
    <w:rsid w:val="003A7F89"/>
    <w:rsid w:val="003B0EB3"/>
    <w:rsid w:val="003B105A"/>
    <w:rsid w:val="003B150E"/>
    <w:rsid w:val="003B1780"/>
    <w:rsid w:val="003B181B"/>
    <w:rsid w:val="003B1E88"/>
    <w:rsid w:val="003B26B2"/>
    <w:rsid w:val="003B2CDA"/>
    <w:rsid w:val="003B2D2D"/>
    <w:rsid w:val="003B324A"/>
    <w:rsid w:val="003B384A"/>
    <w:rsid w:val="003B514D"/>
    <w:rsid w:val="003B527C"/>
    <w:rsid w:val="003B57A9"/>
    <w:rsid w:val="003B583D"/>
    <w:rsid w:val="003B5955"/>
    <w:rsid w:val="003B5976"/>
    <w:rsid w:val="003B65AA"/>
    <w:rsid w:val="003B69B3"/>
    <w:rsid w:val="003B6EB6"/>
    <w:rsid w:val="003B761A"/>
    <w:rsid w:val="003B79E3"/>
    <w:rsid w:val="003B7B9E"/>
    <w:rsid w:val="003B7C99"/>
    <w:rsid w:val="003C01C7"/>
    <w:rsid w:val="003C0356"/>
    <w:rsid w:val="003C0639"/>
    <w:rsid w:val="003C0CFD"/>
    <w:rsid w:val="003C0E0E"/>
    <w:rsid w:val="003C0E10"/>
    <w:rsid w:val="003C11A5"/>
    <w:rsid w:val="003C153C"/>
    <w:rsid w:val="003C1F63"/>
    <w:rsid w:val="003C27B1"/>
    <w:rsid w:val="003C27E7"/>
    <w:rsid w:val="003C2E61"/>
    <w:rsid w:val="003C33B0"/>
    <w:rsid w:val="003C355C"/>
    <w:rsid w:val="003C35C4"/>
    <w:rsid w:val="003C3E8E"/>
    <w:rsid w:val="003C3F41"/>
    <w:rsid w:val="003C40C7"/>
    <w:rsid w:val="003C44E4"/>
    <w:rsid w:val="003C481C"/>
    <w:rsid w:val="003C498F"/>
    <w:rsid w:val="003C4F56"/>
    <w:rsid w:val="003C5207"/>
    <w:rsid w:val="003C613F"/>
    <w:rsid w:val="003C629B"/>
    <w:rsid w:val="003C6767"/>
    <w:rsid w:val="003C6E0C"/>
    <w:rsid w:val="003C6F37"/>
    <w:rsid w:val="003C7116"/>
    <w:rsid w:val="003C714B"/>
    <w:rsid w:val="003C7551"/>
    <w:rsid w:val="003D098A"/>
    <w:rsid w:val="003D1309"/>
    <w:rsid w:val="003D161D"/>
    <w:rsid w:val="003D194E"/>
    <w:rsid w:val="003D1B34"/>
    <w:rsid w:val="003D1C79"/>
    <w:rsid w:val="003D1D61"/>
    <w:rsid w:val="003D1E2F"/>
    <w:rsid w:val="003D296F"/>
    <w:rsid w:val="003D2FF8"/>
    <w:rsid w:val="003D3208"/>
    <w:rsid w:val="003D3586"/>
    <w:rsid w:val="003D36A8"/>
    <w:rsid w:val="003D4BD0"/>
    <w:rsid w:val="003D4CFA"/>
    <w:rsid w:val="003D4DEE"/>
    <w:rsid w:val="003D517F"/>
    <w:rsid w:val="003D5714"/>
    <w:rsid w:val="003D59FF"/>
    <w:rsid w:val="003D5A72"/>
    <w:rsid w:val="003D5F3F"/>
    <w:rsid w:val="003D6333"/>
    <w:rsid w:val="003D63F4"/>
    <w:rsid w:val="003D6C0E"/>
    <w:rsid w:val="003D6C11"/>
    <w:rsid w:val="003D6FE5"/>
    <w:rsid w:val="003D7228"/>
    <w:rsid w:val="003D7610"/>
    <w:rsid w:val="003D79D7"/>
    <w:rsid w:val="003D7C2F"/>
    <w:rsid w:val="003D7E48"/>
    <w:rsid w:val="003D7FBF"/>
    <w:rsid w:val="003E01DC"/>
    <w:rsid w:val="003E05B5"/>
    <w:rsid w:val="003E0875"/>
    <w:rsid w:val="003E0FFC"/>
    <w:rsid w:val="003E15E2"/>
    <w:rsid w:val="003E1AFF"/>
    <w:rsid w:val="003E1EB2"/>
    <w:rsid w:val="003E2090"/>
    <w:rsid w:val="003E28C6"/>
    <w:rsid w:val="003E2C2D"/>
    <w:rsid w:val="003E2EB0"/>
    <w:rsid w:val="003E3323"/>
    <w:rsid w:val="003E3A4E"/>
    <w:rsid w:val="003E3D38"/>
    <w:rsid w:val="003E3E4D"/>
    <w:rsid w:val="003E3EF7"/>
    <w:rsid w:val="003E41B4"/>
    <w:rsid w:val="003E4583"/>
    <w:rsid w:val="003E4696"/>
    <w:rsid w:val="003E46D1"/>
    <w:rsid w:val="003E4777"/>
    <w:rsid w:val="003E4A1D"/>
    <w:rsid w:val="003E4E60"/>
    <w:rsid w:val="003E4FBB"/>
    <w:rsid w:val="003E5F76"/>
    <w:rsid w:val="003E5FCD"/>
    <w:rsid w:val="003E7201"/>
    <w:rsid w:val="003E7263"/>
    <w:rsid w:val="003E7E5B"/>
    <w:rsid w:val="003F0739"/>
    <w:rsid w:val="003F0B65"/>
    <w:rsid w:val="003F0C09"/>
    <w:rsid w:val="003F1303"/>
    <w:rsid w:val="003F1867"/>
    <w:rsid w:val="003F205F"/>
    <w:rsid w:val="003F2201"/>
    <w:rsid w:val="003F266E"/>
    <w:rsid w:val="003F2779"/>
    <w:rsid w:val="003F2AF7"/>
    <w:rsid w:val="003F3111"/>
    <w:rsid w:val="003F31DF"/>
    <w:rsid w:val="003F322E"/>
    <w:rsid w:val="003F38BE"/>
    <w:rsid w:val="003F3F8B"/>
    <w:rsid w:val="003F4111"/>
    <w:rsid w:val="003F4229"/>
    <w:rsid w:val="003F4956"/>
    <w:rsid w:val="003F5092"/>
    <w:rsid w:val="003F54B8"/>
    <w:rsid w:val="003F5832"/>
    <w:rsid w:val="003F618C"/>
    <w:rsid w:val="003F6B22"/>
    <w:rsid w:val="003F6F6C"/>
    <w:rsid w:val="003F73F5"/>
    <w:rsid w:val="0040036B"/>
    <w:rsid w:val="00400811"/>
    <w:rsid w:val="00400EE8"/>
    <w:rsid w:val="004011FE"/>
    <w:rsid w:val="00401521"/>
    <w:rsid w:val="004019DC"/>
    <w:rsid w:val="00401F61"/>
    <w:rsid w:val="00402516"/>
    <w:rsid w:val="00402B80"/>
    <w:rsid w:val="00402E7E"/>
    <w:rsid w:val="00403006"/>
    <w:rsid w:val="00403C89"/>
    <w:rsid w:val="00403C9D"/>
    <w:rsid w:val="00403D25"/>
    <w:rsid w:val="00403E72"/>
    <w:rsid w:val="00404913"/>
    <w:rsid w:val="00404A09"/>
    <w:rsid w:val="00404E9B"/>
    <w:rsid w:val="00405C13"/>
    <w:rsid w:val="00405F42"/>
    <w:rsid w:val="00406027"/>
    <w:rsid w:val="00406107"/>
    <w:rsid w:val="00406EE3"/>
    <w:rsid w:val="00406F16"/>
    <w:rsid w:val="00406F93"/>
    <w:rsid w:val="00407190"/>
    <w:rsid w:val="00407A9C"/>
    <w:rsid w:val="00407B53"/>
    <w:rsid w:val="004104A3"/>
    <w:rsid w:val="004104B4"/>
    <w:rsid w:val="00410884"/>
    <w:rsid w:val="00410ED1"/>
    <w:rsid w:val="00411040"/>
    <w:rsid w:val="00411069"/>
    <w:rsid w:val="0041143E"/>
    <w:rsid w:val="00411886"/>
    <w:rsid w:val="00411A06"/>
    <w:rsid w:val="004123D6"/>
    <w:rsid w:val="004126DB"/>
    <w:rsid w:val="00413079"/>
    <w:rsid w:val="004136BB"/>
    <w:rsid w:val="00413908"/>
    <w:rsid w:val="00413A13"/>
    <w:rsid w:val="00414808"/>
    <w:rsid w:val="00414898"/>
    <w:rsid w:val="00414FE8"/>
    <w:rsid w:val="00414FED"/>
    <w:rsid w:val="0041522F"/>
    <w:rsid w:val="0041578A"/>
    <w:rsid w:val="00415B84"/>
    <w:rsid w:val="00415ECE"/>
    <w:rsid w:val="00416392"/>
    <w:rsid w:val="00417143"/>
    <w:rsid w:val="004171D0"/>
    <w:rsid w:val="0041768F"/>
    <w:rsid w:val="00417E24"/>
    <w:rsid w:val="00420476"/>
    <w:rsid w:val="00420ED4"/>
    <w:rsid w:val="00421AE7"/>
    <w:rsid w:val="00421BA5"/>
    <w:rsid w:val="00421C3F"/>
    <w:rsid w:val="00422316"/>
    <w:rsid w:val="004229ED"/>
    <w:rsid w:val="00422B5D"/>
    <w:rsid w:val="00423275"/>
    <w:rsid w:val="00423D04"/>
    <w:rsid w:val="00423E96"/>
    <w:rsid w:val="00423FA7"/>
    <w:rsid w:val="004247BF"/>
    <w:rsid w:val="004249D7"/>
    <w:rsid w:val="00424EBE"/>
    <w:rsid w:val="00425801"/>
    <w:rsid w:val="00425EE6"/>
    <w:rsid w:val="00425F22"/>
    <w:rsid w:val="00426031"/>
    <w:rsid w:val="004260C1"/>
    <w:rsid w:val="0042621E"/>
    <w:rsid w:val="004264A7"/>
    <w:rsid w:val="00426E02"/>
    <w:rsid w:val="00427044"/>
    <w:rsid w:val="0042720E"/>
    <w:rsid w:val="00427603"/>
    <w:rsid w:val="00427869"/>
    <w:rsid w:val="004300C9"/>
    <w:rsid w:val="004301FF"/>
    <w:rsid w:val="0043079D"/>
    <w:rsid w:val="00430A5F"/>
    <w:rsid w:val="00430F26"/>
    <w:rsid w:val="004313C6"/>
    <w:rsid w:val="004317FB"/>
    <w:rsid w:val="0043189A"/>
    <w:rsid w:val="00431DA9"/>
    <w:rsid w:val="00432CAD"/>
    <w:rsid w:val="0043303B"/>
    <w:rsid w:val="004331A6"/>
    <w:rsid w:val="00433596"/>
    <w:rsid w:val="00433736"/>
    <w:rsid w:val="0043384E"/>
    <w:rsid w:val="00433E32"/>
    <w:rsid w:val="0043495A"/>
    <w:rsid w:val="004351FE"/>
    <w:rsid w:val="004352AF"/>
    <w:rsid w:val="004356BB"/>
    <w:rsid w:val="00435A19"/>
    <w:rsid w:val="00436741"/>
    <w:rsid w:val="004374EC"/>
    <w:rsid w:val="0043782D"/>
    <w:rsid w:val="00437AA4"/>
    <w:rsid w:val="00437CA2"/>
    <w:rsid w:val="00437E9D"/>
    <w:rsid w:val="004401B0"/>
    <w:rsid w:val="00440C2F"/>
    <w:rsid w:val="00441136"/>
    <w:rsid w:val="00441B40"/>
    <w:rsid w:val="00441C91"/>
    <w:rsid w:val="00441EE0"/>
    <w:rsid w:val="00441F21"/>
    <w:rsid w:val="0044220F"/>
    <w:rsid w:val="004424F4"/>
    <w:rsid w:val="00442B1A"/>
    <w:rsid w:val="004432B3"/>
    <w:rsid w:val="004432DF"/>
    <w:rsid w:val="004437C3"/>
    <w:rsid w:val="004439AE"/>
    <w:rsid w:val="00443D0D"/>
    <w:rsid w:val="00444270"/>
    <w:rsid w:val="00445240"/>
    <w:rsid w:val="0044529D"/>
    <w:rsid w:val="004459BD"/>
    <w:rsid w:val="00445ADD"/>
    <w:rsid w:val="00445BD0"/>
    <w:rsid w:val="00446182"/>
    <w:rsid w:val="00446711"/>
    <w:rsid w:val="0044682B"/>
    <w:rsid w:val="00446B7F"/>
    <w:rsid w:val="00446F37"/>
    <w:rsid w:val="00446F8A"/>
    <w:rsid w:val="004500EE"/>
    <w:rsid w:val="00450C94"/>
    <w:rsid w:val="00450E17"/>
    <w:rsid w:val="0045106E"/>
    <w:rsid w:val="0045115A"/>
    <w:rsid w:val="0045179F"/>
    <w:rsid w:val="00451B2E"/>
    <w:rsid w:val="0045233D"/>
    <w:rsid w:val="00452A40"/>
    <w:rsid w:val="00452BE7"/>
    <w:rsid w:val="00452FAB"/>
    <w:rsid w:val="00453397"/>
    <w:rsid w:val="00453429"/>
    <w:rsid w:val="0045348C"/>
    <w:rsid w:val="004535C0"/>
    <w:rsid w:val="00453B00"/>
    <w:rsid w:val="00453B83"/>
    <w:rsid w:val="0045448F"/>
    <w:rsid w:val="00454A31"/>
    <w:rsid w:val="00454A3F"/>
    <w:rsid w:val="004555C9"/>
    <w:rsid w:val="00455A58"/>
    <w:rsid w:val="00455BB3"/>
    <w:rsid w:val="00455E11"/>
    <w:rsid w:val="00455ECC"/>
    <w:rsid w:val="00456445"/>
    <w:rsid w:val="00456645"/>
    <w:rsid w:val="004567FA"/>
    <w:rsid w:val="00456C79"/>
    <w:rsid w:val="00456D31"/>
    <w:rsid w:val="00456DF4"/>
    <w:rsid w:val="004571D6"/>
    <w:rsid w:val="00457694"/>
    <w:rsid w:val="0045780B"/>
    <w:rsid w:val="004579E0"/>
    <w:rsid w:val="00457A35"/>
    <w:rsid w:val="00457AC2"/>
    <w:rsid w:val="00457B3D"/>
    <w:rsid w:val="00457E93"/>
    <w:rsid w:val="00457FCD"/>
    <w:rsid w:val="0046024A"/>
    <w:rsid w:val="004603B3"/>
    <w:rsid w:val="00460542"/>
    <w:rsid w:val="0046084B"/>
    <w:rsid w:val="00460BA6"/>
    <w:rsid w:val="00460BDC"/>
    <w:rsid w:val="00460BE7"/>
    <w:rsid w:val="00460F28"/>
    <w:rsid w:val="00461C2A"/>
    <w:rsid w:val="00461D3A"/>
    <w:rsid w:val="00462582"/>
    <w:rsid w:val="004626D9"/>
    <w:rsid w:val="00462973"/>
    <w:rsid w:val="00462C36"/>
    <w:rsid w:val="0046389D"/>
    <w:rsid w:val="00464154"/>
    <w:rsid w:val="004648AB"/>
    <w:rsid w:val="004648CC"/>
    <w:rsid w:val="00464EAE"/>
    <w:rsid w:val="00464FE2"/>
    <w:rsid w:val="0046566C"/>
    <w:rsid w:val="00465DB2"/>
    <w:rsid w:val="0046679D"/>
    <w:rsid w:val="00466B13"/>
    <w:rsid w:val="004674E9"/>
    <w:rsid w:val="0046761F"/>
    <w:rsid w:val="00467B4E"/>
    <w:rsid w:val="00467D1F"/>
    <w:rsid w:val="00467E77"/>
    <w:rsid w:val="0047112A"/>
    <w:rsid w:val="00471156"/>
    <w:rsid w:val="00471213"/>
    <w:rsid w:val="00471861"/>
    <w:rsid w:val="00471B0D"/>
    <w:rsid w:val="00471EF0"/>
    <w:rsid w:val="00471FC7"/>
    <w:rsid w:val="004721C6"/>
    <w:rsid w:val="00472277"/>
    <w:rsid w:val="004722B7"/>
    <w:rsid w:val="004727C5"/>
    <w:rsid w:val="004728F0"/>
    <w:rsid w:val="0047320A"/>
    <w:rsid w:val="0047329F"/>
    <w:rsid w:val="00473999"/>
    <w:rsid w:val="00473BCB"/>
    <w:rsid w:val="00473C7A"/>
    <w:rsid w:val="00473CD3"/>
    <w:rsid w:val="00474053"/>
    <w:rsid w:val="00474E8F"/>
    <w:rsid w:val="004750B9"/>
    <w:rsid w:val="00475264"/>
    <w:rsid w:val="004756D7"/>
    <w:rsid w:val="00475844"/>
    <w:rsid w:val="00475877"/>
    <w:rsid w:val="00475907"/>
    <w:rsid w:val="00475A9D"/>
    <w:rsid w:val="00475C60"/>
    <w:rsid w:val="00475D3E"/>
    <w:rsid w:val="0047660A"/>
    <w:rsid w:val="00476AC3"/>
    <w:rsid w:val="00476EF7"/>
    <w:rsid w:val="00477213"/>
    <w:rsid w:val="00477225"/>
    <w:rsid w:val="0047774F"/>
    <w:rsid w:val="004778B3"/>
    <w:rsid w:val="004779B0"/>
    <w:rsid w:val="00477A26"/>
    <w:rsid w:val="00480105"/>
    <w:rsid w:val="00480C09"/>
    <w:rsid w:val="00481C30"/>
    <w:rsid w:val="00481EF7"/>
    <w:rsid w:val="00481F67"/>
    <w:rsid w:val="00482A13"/>
    <w:rsid w:val="00482C2D"/>
    <w:rsid w:val="00483052"/>
    <w:rsid w:val="00484441"/>
    <w:rsid w:val="004845EB"/>
    <w:rsid w:val="004847C4"/>
    <w:rsid w:val="004848CE"/>
    <w:rsid w:val="0048499D"/>
    <w:rsid w:val="0048554C"/>
    <w:rsid w:val="00485C7A"/>
    <w:rsid w:val="00485F67"/>
    <w:rsid w:val="00486071"/>
    <w:rsid w:val="00486154"/>
    <w:rsid w:val="0048618B"/>
    <w:rsid w:val="004864F7"/>
    <w:rsid w:val="0048682D"/>
    <w:rsid w:val="00486C54"/>
    <w:rsid w:val="00486F26"/>
    <w:rsid w:val="00486FE7"/>
    <w:rsid w:val="00487C26"/>
    <w:rsid w:val="00487E3B"/>
    <w:rsid w:val="0049061C"/>
    <w:rsid w:val="0049119D"/>
    <w:rsid w:val="004914E6"/>
    <w:rsid w:val="00491EB8"/>
    <w:rsid w:val="004923BF"/>
    <w:rsid w:val="0049265A"/>
    <w:rsid w:val="00492A5F"/>
    <w:rsid w:val="0049326F"/>
    <w:rsid w:val="004933B8"/>
    <w:rsid w:val="00493B50"/>
    <w:rsid w:val="00493E2B"/>
    <w:rsid w:val="00493F9F"/>
    <w:rsid w:val="00494518"/>
    <w:rsid w:val="00494905"/>
    <w:rsid w:val="00494C6F"/>
    <w:rsid w:val="00494E46"/>
    <w:rsid w:val="00495593"/>
    <w:rsid w:val="00495A3D"/>
    <w:rsid w:val="00495B9F"/>
    <w:rsid w:val="00495E28"/>
    <w:rsid w:val="00496650"/>
    <w:rsid w:val="004966B2"/>
    <w:rsid w:val="004967AE"/>
    <w:rsid w:val="004970F1"/>
    <w:rsid w:val="0049765E"/>
    <w:rsid w:val="00497A06"/>
    <w:rsid w:val="00497AB1"/>
    <w:rsid w:val="00497BA7"/>
    <w:rsid w:val="004A01B3"/>
    <w:rsid w:val="004A02C2"/>
    <w:rsid w:val="004A1730"/>
    <w:rsid w:val="004A1939"/>
    <w:rsid w:val="004A197B"/>
    <w:rsid w:val="004A1A77"/>
    <w:rsid w:val="004A1FBE"/>
    <w:rsid w:val="004A203C"/>
    <w:rsid w:val="004A262F"/>
    <w:rsid w:val="004A286A"/>
    <w:rsid w:val="004A2D74"/>
    <w:rsid w:val="004A3390"/>
    <w:rsid w:val="004A39AF"/>
    <w:rsid w:val="004A3DDF"/>
    <w:rsid w:val="004A4121"/>
    <w:rsid w:val="004A4163"/>
    <w:rsid w:val="004A470C"/>
    <w:rsid w:val="004A51EB"/>
    <w:rsid w:val="004A532E"/>
    <w:rsid w:val="004A5BDC"/>
    <w:rsid w:val="004A61BF"/>
    <w:rsid w:val="004A6466"/>
    <w:rsid w:val="004A7463"/>
    <w:rsid w:val="004B044E"/>
    <w:rsid w:val="004B052C"/>
    <w:rsid w:val="004B0761"/>
    <w:rsid w:val="004B08A1"/>
    <w:rsid w:val="004B0C04"/>
    <w:rsid w:val="004B0DAA"/>
    <w:rsid w:val="004B0EA6"/>
    <w:rsid w:val="004B0EBC"/>
    <w:rsid w:val="004B0FA2"/>
    <w:rsid w:val="004B1445"/>
    <w:rsid w:val="004B1D5E"/>
    <w:rsid w:val="004B1D94"/>
    <w:rsid w:val="004B209B"/>
    <w:rsid w:val="004B27DA"/>
    <w:rsid w:val="004B28CC"/>
    <w:rsid w:val="004B355C"/>
    <w:rsid w:val="004B4078"/>
    <w:rsid w:val="004B4296"/>
    <w:rsid w:val="004B4472"/>
    <w:rsid w:val="004B4476"/>
    <w:rsid w:val="004B4A26"/>
    <w:rsid w:val="004B4E25"/>
    <w:rsid w:val="004B5425"/>
    <w:rsid w:val="004B554D"/>
    <w:rsid w:val="004B56E8"/>
    <w:rsid w:val="004B595A"/>
    <w:rsid w:val="004B5DE1"/>
    <w:rsid w:val="004B6AD1"/>
    <w:rsid w:val="004B6BA5"/>
    <w:rsid w:val="004B6CD7"/>
    <w:rsid w:val="004B6EB7"/>
    <w:rsid w:val="004B73A3"/>
    <w:rsid w:val="004C050C"/>
    <w:rsid w:val="004C0EEB"/>
    <w:rsid w:val="004C1BDC"/>
    <w:rsid w:val="004C1C4E"/>
    <w:rsid w:val="004C1E45"/>
    <w:rsid w:val="004C218C"/>
    <w:rsid w:val="004C2445"/>
    <w:rsid w:val="004C2660"/>
    <w:rsid w:val="004C2B3D"/>
    <w:rsid w:val="004C377D"/>
    <w:rsid w:val="004C3B2F"/>
    <w:rsid w:val="004C3BAC"/>
    <w:rsid w:val="004C3D00"/>
    <w:rsid w:val="004C3DD9"/>
    <w:rsid w:val="004C4031"/>
    <w:rsid w:val="004C50DB"/>
    <w:rsid w:val="004C5C5A"/>
    <w:rsid w:val="004C676A"/>
    <w:rsid w:val="004C6D7B"/>
    <w:rsid w:val="004C7E77"/>
    <w:rsid w:val="004D026B"/>
    <w:rsid w:val="004D04A4"/>
    <w:rsid w:val="004D078F"/>
    <w:rsid w:val="004D0848"/>
    <w:rsid w:val="004D0C71"/>
    <w:rsid w:val="004D0E7E"/>
    <w:rsid w:val="004D14F4"/>
    <w:rsid w:val="004D156D"/>
    <w:rsid w:val="004D1694"/>
    <w:rsid w:val="004D17EA"/>
    <w:rsid w:val="004D1E88"/>
    <w:rsid w:val="004D2D2F"/>
    <w:rsid w:val="004D2E47"/>
    <w:rsid w:val="004D2E5B"/>
    <w:rsid w:val="004D302D"/>
    <w:rsid w:val="004D3AB9"/>
    <w:rsid w:val="004D3E9F"/>
    <w:rsid w:val="004D4AC1"/>
    <w:rsid w:val="004D58B0"/>
    <w:rsid w:val="004D59F8"/>
    <w:rsid w:val="004D5E80"/>
    <w:rsid w:val="004D60D8"/>
    <w:rsid w:val="004D623A"/>
    <w:rsid w:val="004D628E"/>
    <w:rsid w:val="004D6685"/>
    <w:rsid w:val="004D69B7"/>
    <w:rsid w:val="004D70B2"/>
    <w:rsid w:val="004D73CA"/>
    <w:rsid w:val="004E013A"/>
    <w:rsid w:val="004E05A6"/>
    <w:rsid w:val="004E0CB8"/>
    <w:rsid w:val="004E1170"/>
    <w:rsid w:val="004E1D94"/>
    <w:rsid w:val="004E2003"/>
    <w:rsid w:val="004E2196"/>
    <w:rsid w:val="004E2A13"/>
    <w:rsid w:val="004E2CE3"/>
    <w:rsid w:val="004E2E4B"/>
    <w:rsid w:val="004E337E"/>
    <w:rsid w:val="004E341D"/>
    <w:rsid w:val="004E392C"/>
    <w:rsid w:val="004E3AED"/>
    <w:rsid w:val="004E3BAB"/>
    <w:rsid w:val="004E3C78"/>
    <w:rsid w:val="004E4A76"/>
    <w:rsid w:val="004E4DAB"/>
    <w:rsid w:val="004E59DF"/>
    <w:rsid w:val="004E5C67"/>
    <w:rsid w:val="004E5C6A"/>
    <w:rsid w:val="004E5FFE"/>
    <w:rsid w:val="004E665D"/>
    <w:rsid w:val="004E67D5"/>
    <w:rsid w:val="004E6C87"/>
    <w:rsid w:val="004E6DBB"/>
    <w:rsid w:val="004E764C"/>
    <w:rsid w:val="004E7987"/>
    <w:rsid w:val="004E7A4A"/>
    <w:rsid w:val="004E7B4E"/>
    <w:rsid w:val="004E7ED2"/>
    <w:rsid w:val="004E7FE1"/>
    <w:rsid w:val="004F001B"/>
    <w:rsid w:val="004F079E"/>
    <w:rsid w:val="004F0E55"/>
    <w:rsid w:val="004F1745"/>
    <w:rsid w:val="004F17FE"/>
    <w:rsid w:val="004F19C8"/>
    <w:rsid w:val="004F1BA0"/>
    <w:rsid w:val="004F207B"/>
    <w:rsid w:val="004F23FD"/>
    <w:rsid w:val="004F2506"/>
    <w:rsid w:val="004F25F5"/>
    <w:rsid w:val="004F272A"/>
    <w:rsid w:val="004F2AD1"/>
    <w:rsid w:val="004F340D"/>
    <w:rsid w:val="004F350A"/>
    <w:rsid w:val="004F3F86"/>
    <w:rsid w:val="004F4E08"/>
    <w:rsid w:val="004F4F3E"/>
    <w:rsid w:val="004F56EE"/>
    <w:rsid w:val="004F5819"/>
    <w:rsid w:val="004F5AF3"/>
    <w:rsid w:val="004F610B"/>
    <w:rsid w:val="004F68F1"/>
    <w:rsid w:val="004F6BEA"/>
    <w:rsid w:val="00500362"/>
    <w:rsid w:val="00500C8B"/>
    <w:rsid w:val="00500D80"/>
    <w:rsid w:val="00501097"/>
    <w:rsid w:val="005015FA"/>
    <w:rsid w:val="00501FB7"/>
    <w:rsid w:val="00501FC4"/>
    <w:rsid w:val="00502013"/>
    <w:rsid w:val="00502AD8"/>
    <w:rsid w:val="005034C7"/>
    <w:rsid w:val="00503571"/>
    <w:rsid w:val="00503B4F"/>
    <w:rsid w:val="00503CD9"/>
    <w:rsid w:val="0050443B"/>
    <w:rsid w:val="00504AF0"/>
    <w:rsid w:val="00504CDD"/>
    <w:rsid w:val="0050522F"/>
    <w:rsid w:val="00505257"/>
    <w:rsid w:val="0050532C"/>
    <w:rsid w:val="005058A8"/>
    <w:rsid w:val="00505C75"/>
    <w:rsid w:val="00505F49"/>
    <w:rsid w:val="005062F6"/>
    <w:rsid w:val="00506713"/>
    <w:rsid w:val="00506E95"/>
    <w:rsid w:val="005071B9"/>
    <w:rsid w:val="00507A71"/>
    <w:rsid w:val="00507E30"/>
    <w:rsid w:val="00507FF8"/>
    <w:rsid w:val="0051019D"/>
    <w:rsid w:val="005106F6"/>
    <w:rsid w:val="00510736"/>
    <w:rsid w:val="005114A0"/>
    <w:rsid w:val="00511D72"/>
    <w:rsid w:val="00512899"/>
    <w:rsid w:val="00512B3F"/>
    <w:rsid w:val="00512BD1"/>
    <w:rsid w:val="0051304C"/>
    <w:rsid w:val="00513101"/>
    <w:rsid w:val="00513105"/>
    <w:rsid w:val="005141B6"/>
    <w:rsid w:val="0051426A"/>
    <w:rsid w:val="005144F4"/>
    <w:rsid w:val="00514E3B"/>
    <w:rsid w:val="005156DB"/>
    <w:rsid w:val="0051587D"/>
    <w:rsid w:val="00515886"/>
    <w:rsid w:val="00515E75"/>
    <w:rsid w:val="0051665F"/>
    <w:rsid w:val="00516B84"/>
    <w:rsid w:val="00516BEC"/>
    <w:rsid w:val="00516C4C"/>
    <w:rsid w:val="0051735F"/>
    <w:rsid w:val="00517669"/>
    <w:rsid w:val="0052026C"/>
    <w:rsid w:val="00520602"/>
    <w:rsid w:val="005206DD"/>
    <w:rsid w:val="005207AB"/>
    <w:rsid w:val="0052089B"/>
    <w:rsid w:val="0052121A"/>
    <w:rsid w:val="0052225C"/>
    <w:rsid w:val="00522326"/>
    <w:rsid w:val="00522E47"/>
    <w:rsid w:val="00523468"/>
    <w:rsid w:val="005237CE"/>
    <w:rsid w:val="00523C8D"/>
    <w:rsid w:val="00524330"/>
    <w:rsid w:val="0052470D"/>
    <w:rsid w:val="00524CA1"/>
    <w:rsid w:val="00524EFD"/>
    <w:rsid w:val="005251B8"/>
    <w:rsid w:val="00525682"/>
    <w:rsid w:val="00525BD2"/>
    <w:rsid w:val="00525E37"/>
    <w:rsid w:val="00525F70"/>
    <w:rsid w:val="00526FBC"/>
    <w:rsid w:val="00527285"/>
    <w:rsid w:val="00527B36"/>
    <w:rsid w:val="00527D42"/>
    <w:rsid w:val="00527D4D"/>
    <w:rsid w:val="00530589"/>
    <w:rsid w:val="005309D4"/>
    <w:rsid w:val="00530B65"/>
    <w:rsid w:val="005311BC"/>
    <w:rsid w:val="00531419"/>
    <w:rsid w:val="00531947"/>
    <w:rsid w:val="00531999"/>
    <w:rsid w:val="00531BD3"/>
    <w:rsid w:val="00532102"/>
    <w:rsid w:val="00532483"/>
    <w:rsid w:val="005329A1"/>
    <w:rsid w:val="00532A77"/>
    <w:rsid w:val="00532E83"/>
    <w:rsid w:val="00533B31"/>
    <w:rsid w:val="00534F9A"/>
    <w:rsid w:val="0053513E"/>
    <w:rsid w:val="005353AE"/>
    <w:rsid w:val="005357D7"/>
    <w:rsid w:val="005357EA"/>
    <w:rsid w:val="00535CF1"/>
    <w:rsid w:val="00535F2F"/>
    <w:rsid w:val="005366BF"/>
    <w:rsid w:val="00536F5D"/>
    <w:rsid w:val="00536FD0"/>
    <w:rsid w:val="005379AF"/>
    <w:rsid w:val="00537A0C"/>
    <w:rsid w:val="00537B10"/>
    <w:rsid w:val="0054012C"/>
    <w:rsid w:val="00540338"/>
    <w:rsid w:val="005409D8"/>
    <w:rsid w:val="00540D5B"/>
    <w:rsid w:val="00540DA3"/>
    <w:rsid w:val="00541426"/>
    <w:rsid w:val="00541600"/>
    <w:rsid w:val="00541FFF"/>
    <w:rsid w:val="00542313"/>
    <w:rsid w:val="005423BE"/>
    <w:rsid w:val="00542CE3"/>
    <w:rsid w:val="005432B3"/>
    <w:rsid w:val="0054343B"/>
    <w:rsid w:val="005434F7"/>
    <w:rsid w:val="00543981"/>
    <w:rsid w:val="00543AC9"/>
    <w:rsid w:val="005447FE"/>
    <w:rsid w:val="00544D46"/>
    <w:rsid w:val="00544E40"/>
    <w:rsid w:val="0054587E"/>
    <w:rsid w:val="00545D2A"/>
    <w:rsid w:val="00545DA2"/>
    <w:rsid w:val="0054647F"/>
    <w:rsid w:val="00546BA8"/>
    <w:rsid w:val="00546D75"/>
    <w:rsid w:val="0054716C"/>
    <w:rsid w:val="005477B1"/>
    <w:rsid w:val="0055002F"/>
    <w:rsid w:val="00550030"/>
    <w:rsid w:val="0055046B"/>
    <w:rsid w:val="0055055D"/>
    <w:rsid w:val="00550BD9"/>
    <w:rsid w:val="00551249"/>
    <w:rsid w:val="005513F0"/>
    <w:rsid w:val="005516A3"/>
    <w:rsid w:val="005516F7"/>
    <w:rsid w:val="00551AF7"/>
    <w:rsid w:val="00551C9E"/>
    <w:rsid w:val="00551CFE"/>
    <w:rsid w:val="00551DD8"/>
    <w:rsid w:val="00551F28"/>
    <w:rsid w:val="0055263C"/>
    <w:rsid w:val="00552939"/>
    <w:rsid w:val="0055295A"/>
    <w:rsid w:val="00552CC9"/>
    <w:rsid w:val="00552E12"/>
    <w:rsid w:val="00552EBE"/>
    <w:rsid w:val="00552F31"/>
    <w:rsid w:val="00552F3C"/>
    <w:rsid w:val="005531E5"/>
    <w:rsid w:val="005532A4"/>
    <w:rsid w:val="00553457"/>
    <w:rsid w:val="00553560"/>
    <w:rsid w:val="005536C5"/>
    <w:rsid w:val="005543D1"/>
    <w:rsid w:val="005544A8"/>
    <w:rsid w:val="00554764"/>
    <w:rsid w:val="005549BD"/>
    <w:rsid w:val="005554D1"/>
    <w:rsid w:val="005556C4"/>
    <w:rsid w:val="0055631B"/>
    <w:rsid w:val="00556893"/>
    <w:rsid w:val="00557CF4"/>
    <w:rsid w:val="005614F1"/>
    <w:rsid w:val="00561F7C"/>
    <w:rsid w:val="00561FD0"/>
    <w:rsid w:val="005623EE"/>
    <w:rsid w:val="005624C9"/>
    <w:rsid w:val="005624F0"/>
    <w:rsid w:val="0056254D"/>
    <w:rsid w:val="005628D6"/>
    <w:rsid w:val="0056315B"/>
    <w:rsid w:val="0056457E"/>
    <w:rsid w:val="0056529F"/>
    <w:rsid w:val="0056568F"/>
    <w:rsid w:val="00565E66"/>
    <w:rsid w:val="00566037"/>
    <w:rsid w:val="005663B4"/>
    <w:rsid w:val="00566550"/>
    <w:rsid w:val="005665C7"/>
    <w:rsid w:val="00566754"/>
    <w:rsid w:val="0056699A"/>
    <w:rsid w:val="00566A90"/>
    <w:rsid w:val="00566AC2"/>
    <w:rsid w:val="00566B00"/>
    <w:rsid w:val="0056719E"/>
    <w:rsid w:val="00567630"/>
    <w:rsid w:val="00567F31"/>
    <w:rsid w:val="00570695"/>
    <w:rsid w:val="0057070D"/>
    <w:rsid w:val="00570AA9"/>
    <w:rsid w:val="00570D96"/>
    <w:rsid w:val="00571060"/>
    <w:rsid w:val="00571137"/>
    <w:rsid w:val="0057123C"/>
    <w:rsid w:val="0057140E"/>
    <w:rsid w:val="00571BB9"/>
    <w:rsid w:val="00571C5D"/>
    <w:rsid w:val="005720E7"/>
    <w:rsid w:val="00572617"/>
    <w:rsid w:val="00572738"/>
    <w:rsid w:val="00572773"/>
    <w:rsid w:val="00572ACD"/>
    <w:rsid w:val="00573141"/>
    <w:rsid w:val="00573166"/>
    <w:rsid w:val="005733C2"/>
    <w:rsid w:val="00573DA1"/>
    <w:rsid w:val="00573E38"/>
    <w:rsid w:val="00573F54"/>
    <w:rsid w:val="005742FE"/>
    <w:rsid w:val="005749DF"/>
    <w:rsid w:val="00574EFE"/>
    <w:rsid w:val="005752F1"/>
    <w:rsid w:val="005766B8"/>
    <w:rsid w:val="005768C2"/>
    <w:rsid w:val="00577987"/>
    <w:rsid w:val="00577B5E"/>
    <w:rsid w:val="00577E2F"/>
    <w:rsid w:val="00577F3A"/>
    <w:rsid w:val="00580810"/>
    <w:rsid w:val="00580C8A"/>
    <w:rsid w:val="0058104D"/>
    <w:rsid w:val="005810A9"/>
    <w:rsid w:val="005811A1"/>
    <w:rsid w:val="0058138D"/>
    <w:rsid w:val="005814BE"/>
    <w:rsid w:val="00582175"/>
    <w:rsid w:val="00582581"/>
    <w:rsid w:val="005828CE"/>
    <w:rsid w:val="00583202"/>
    <w:rsid w:val="00583D62"/>
    <w:rsid w:val="00583F91"/>
    <w:rsid w:val="0058453E"/>
    <w:rsid w:val="005845DB"/>
    <w:rsid w:val="00584907"/>
    <w:rsid w:val="00584D71"/>
    <w:rsid w:val="005851EA"/>
    <w:rsid w:val="00585AC9"/>
    <w:rsid w:val="00585BD7"/>
    <w:rsid w:val="0058640D"/>
    <w:rsid w:val="005867E5"/>
    <w:rsid w:val="00586814"/>
    <w:rsid w:val="005869CC"/>
    <w:rsid w:val="0058749C"/>
    <w:rsid w:val="005879CA"/>
    <w:rsid w:val="00587B29"/>
    <w:rsid w:val="00587CAA"/>
    <w:rsid w:val="00590BFC"/>
    <w:rsid w:val="00590FBF"/>
    <w:rsid w:val="0059150C"/>
    <w:rsid w:val="00591510"/>
    <w:rsid w:val="00591576"/>
    <w:rsid w:val="00592319"/>
    <w:rsid w:val="0059287A"/>
    <w:rsid w:val="00592996"/>
    <w:rsid w:val="00592E6A"/>
    <w:rsid w:val="00593026"/>
    <w:rsid w:val="005934AD"/>
    <w:rsid w:val="0059369F"/>
    <w:rsid w:val="005938F6"/>
    <w:rsid w:val="00593AFF"/>
    <w:rsid w:val="00593D10"/>
    <w:rsid w:val="00593DC4"/>
    <w:rsid w:val="00593FF5"/>
    <w:rsid w:val="005940CB"/>
    <w:rsid w:val="0059469E"/>
    <w:rsid w:val="00594C8D"/>
    <w:rsid w:val="005954E1"/>
    <w:rsid w:val="005957C8"/>
    <w:rsid w:val="0059586D"/>
    <w:rsid w:val="00596192"/>
    <w:rsid w:val="0059663F"/>
    <w:rsid w:val="00597791"/>
    <w:rsid w:val="00597934"/>
    <w:rsid w:val="005A0501"/>
    <w:rsid w:val="005A0BCA"/>
    <w:rsid w:val="005A0CBF"/>
    <w:rsid w:val="005A14E9"/>
    <w:rsid w:val="005A155E"/>
    <w:rsid w:val="005A1D66"/>
    <w:rsid w:val="005A1EC3"/>
    <w:rsid w:val="005A1F82"/>
    <w:rsid w:val="005A2123"/>
    <w:rsid w:val="005A2255"/>
    <w:rsid w:val="005A24F3"/>
    <w:rsid w:val="005A26DE"/>
    <w:rsid w:val="005A280E"/>
    <w:rsid w:val="005A3087"/>
    <w:rsid w:val="005A3B77"/>
    <w:rsid w:val="005A4018"/>
    <w:rsid w:val="005A47EE"/>
    <w:rsid w:val="005A4D35"/>
    <w:rsid w:val="005A518C"/>
    <w:rsid w:val="005A5AA4"/>
    <w:rsid w:val="005A65FE"/>
    <w:rsid w:val="005A674A"/>
    <w:rsid w:val="005A67FC"/>
    <w:rsid w:val="005A6844"/>
    <w:rsid w:val="005A68CD"/>
    <w:rsid w:val="005A76A4"/>
    <w:rsid w:val="005A7C44"/>
    <w:rsid w:val="005B0601"/>
    <w:rsid w:val="005B0A54"/>
    <w:rsid w:val="005B0C45"/>
    <w:rsid w:val="005B0C68"/>
    <w:rsid w:val="005B0EB2"/>
    <w:rsid w:val="005B0F78"/>
    <w:rsid w:val="005B0FDA"/>
    <w:rsid w:val="005B1323"/>
    <w:rsid w:val="005B1891"/>
    <w:rsid w:val="005B2008"/>
    <w:rsid w:val="005B2652"/>
    <w:rsid w:val="005B2858"/>
    <w:rsid w:val="005B28F1"/>
    <w:rsid w:val="005B2F74"/>
    <w:rsid w:val="005B32B9"/>
    <w:rsid w:val="005B3ADB"/>
    <w:rsid w:val="005B3CF3"/>
    <w:rsid w:val="005B42AC"/>
    <w:rsid w:val="005B4D6D"/>
    <w:rsid w:val="005B4E96"/>
    <w:rsid w:val="005B4F09"/>
    <w:rsid w:val="005B5094"/>
    <w:rsid w:val="005B5293"/>
    <w:rsid w:val="005B52F4"/>
    <w:rsid w:val="005B6264"/>
    <w:rsid w:val="005B6DDA"/>
    <w:rsid w:val="005B6E66"/>
    <w:rsid w:val="005B6E70"/>
    <w:rsid w:val="005B6F8A"/>
    <w:rsid w:val="005B7108"/>
    <w:rsid w:val="005B7534"/>
    <w:rsid w:val="005B7A2F"/>
    <w:rsid w:val="005C04F7"/>
    <w:rsid w:val="005C05D8"/>
    <w:rsid w:val="005C08D1"/>
    <w:rsid w:val="005C0F51"/>
    <w:rsid w:val="005C124A"/>
    <w:rsid w:val="005C17FD"/>
    <w:rsid w:val="005C188D"/>
    <w:rsid w:val="005C1FEA"/>
    <w:rsid w:val="005C208F"/>
    <w:rsid w:val="005C23E2"/>
    <w:rsid w:val="005C2FE9"/>
    <w:rsid w:val="005C3D45"/>
    <w:rsid w:val="005C4161"/>
    <w:rsid w:val="005C4D19"/>
    <w:rsid w:val="005C5801"/>
    <w:rsid w:val="005C58C8"/>
    <w:rsid w:val="005C63E9"/>
    <w:rsid w:val="005C6C4C"/>
    <w:rsid w:val="005C6F5C"/>
    <w:rsid w:val="005C701F"/>
    <w:rsid w:val="005C7552"/>
    <w:rsid w:val="005D01F5"/>
    <w:rsid w:val="005D02C7"/>
    <w:rsid w:val="005D0514"/>
    <w:rsid w:val="005D066E"/>
    <w:rsid w:val="005D09A8"/>
    <w:rsid w:val="005D1087"/>
    <w:rsid w:val="005D1201"/>
    <w:rsid w:val="005D15A7"/>
    <w:rsid w:val="005D1A1A"/>
    <w:rsid w:val="005D218B"/>
    <w:rsid w:val="005D2452"/>
    <w:rsid w:val="005D27AF"/>
    <w:rsid w:val="005D2EF4"/>
    <w:rsid w:val="005D3815"/>
    <w:rsid w:val="005D4081"/>
    <w:rsid w:val="005D4392"/>
    <w:rsid w:val="005D47C5"/>
    <w:rsid w:val="005D4914"/>
    <w:rsid w:val="005D4D4F"/>
    <w:rsid w:val="005D5001"/>
    <w:rsid w:val="005D5011"/>
    <w:rsid w:val="005D5BD5"/>
    <w:rsid w:val="005D61E2"/>
    <w:rsid w:val="005D61F9"/>
    <w:rsid w:val="005D6514"/>
    <w:rsid w:val="005D69E1"/>
    <w:rsid w:val="005D6CE6"/>
    <w:rsid w:val="005D6D7F"/>
    <w:rsid w:val="005D7096"/>
    <w:rsid w:val="005D7D27"/>
    <w:rsid w:val="005D7EA6"/>
    <w:rsid w:val="005E03C3"/>
    <w:rsid w:val="005E07A9"/>
    <w:rsid w:val="005E0CCA"/>
    <w:rsid w:val="005E0D7B"/>
    <w:rsid w:val="005E1258"/>
    <w:rsid w:val="005E139A"/>
    <w:rsid w:val="005E17BA"/>
    <w:rsid w:val="005E1991"/>
    <w:rsid w:val="005E223F"/>
    <w:rsid w:val="005E2C99"/>
    <w:rsid w:val="005E2CB9"/>
    <w:rsid w:val="005E316B"/>
    <w:rsid w:val="005E388B"/>
    <w:rsid w:val="005E40F1"/>
    <w:rsid w:val="005E428A"/>
    <w:rsid w:val="005E5908"/>
    <w:rsid w:val="005E5BD8"/>
    <w:rsid w:val="005E617C"/>
    <w:rsid w:val="005E6522"/>
    <w:rsid w:val="005E6B2C"/>
    <w:rsid w:val="005E6D92"/>
    <w:rsid w:val="005E6DFC"/>
    <w:rsid w:val="005E73D3"/>
    <w:rsid w:val="005E79A1"/>
    <w:rsid w:val="005E7EC0"/>
    <w:rsid w:val="005F00E2"/>
    <w:rsid w:val="005F024B"/>
    <w:rsid w:val="005F08EB"/>
    <w:rsid w:val="005F0F5A"/>
    <w:rsid w:val="005F0FFE"/>
    <w:rsid w:val="005F1161"/>
    <w:rsid w:val="005F127D"/>
    <w:rsid w:val="005F17C1"/>
    <w:rsid w:val="005F181B"/>
    <w:rsid w:val="005F184F"/>
    <w:rsid w:val="005F1CF5"/>
    <w:rsid w:val="005F2024"/>
    <w:rsid w:val="005F2487"/>
    <w:rsid w:val="005F2768"/>
    <w:rsid w:val="005F27E7"/>
    <w:rsid w:val="005F2A58"/>
    <w:rsid w:val="005F2AC8"/>
    <w:rsid w:val="005F2B10"/>
    <w:rsid w:val="005F2B2C"/>
    <w:rsid w:val="005F475F"/>
    <w:rsid w:val="005F48AE"/>
    <w:rsid w:val="005F4A27"/>
    <w:rsid w:val="005F4B87"/>
    <w:rsid w:val="005F5B30"/>
    <w:rsid w:val="005F615A"/>
    <w:rsid w:val="005F644D"/>
    <w:rsid w:val="005F6786"/>
    <w:rsid w:val="005F729A"/>
    <w:rsid w:val="005F72BE"/>
    <w:rsid w:val="005F72D6"/>
    <w:rsid w:val="005F76E4"/>
    <w:rsid w:val="005F7985"/>
    <w:rsid w:val="006000AD"/>
    <w:rsid w:val="00600216"/>
    <w:rsid w:val="00600248"/>
    <w:rsid w:val="00600334"/>
    <w:rsid w:val="0060033F"/>
    <w:rsid w:val="0060084E"/>
    <w:rsid w:val="00600BA5"/>
    <w:rsid w:val="006014FC"/>
    <w:rsid w:val="0060210C"/>
    <w:rsid w:val="006023F1"/>
    <w:rsid w:val="006024C8"/>
    <w:rsid w:val="00602F47"/>
    <w:rsid w:val="00603C4D"/>
    <w:rsid w:val="00603C84"/>
    <w:rsid w:val="00603FB7"/>
    <w:rsid w:val="006045D2"/>
    <w:rsid w:val="006046BD"/>
    <w:rsid w:val="0060495C"/>
    <w:rsid w:val="006049F2"/>
    <w:rsid w:val="00604A1A"/>
    <w:rsid w:val="00604BBD"/>
    <w:rsid w:val="00604C7E"/>
    <w:rsid w:val="00604DB2"/>
    <w:rsid w:val="00604EFA"/>
    <w:rsid w:val="0060528E"/>
    <w:rsid w:val="006059BA"/>
    <w:rsid w:val="006059CD"/>
    <w:rsid w:val="00605B2F"/>
    <w:rsid w:val="006063B3"/>
    <w:rsid w:val="006066BE"/>
    <w:rsid w:val="00606D30"/>
    <w:rsid w:val="00607080"/>
    <w:rsid w:val="006072EE"/>
    <w:rsid w:val="0060737B"/>
    <w:rsid w:val="00607534"/>
    <w:rsid w:val="0060758B"/>
    <w:rsid w:val="00607C91"/>
    <w:rsid w:val="00607D99"/>
    <w:rsid w:val="00607EBE"/>
    <w:rsid w:val="00607FE3"/>
    <w:rsid w:val="0061051B"/>
    <w:rsid w:val="006105CE"/>
    <w:rsid w:val="0061076A"/>
    <w:rsid w:val="006107FE"/>
    <w:rsid w:val="006108B6"/>
    <w:rsid w:val="0061124F"/>
    <w:rsid w:val="00611A16"/>
    <w:rsid w:val="00611AED"/>
    <w:rsid w:val="0061206D"/>
    <w:rsid w:val="00612A7B"/>
    <w:rsid w:val="00612F7C"/>
    <w:rsid w:val="006138BA"/>
    <w:rsid w:val="00614671"/>
    <w:rsid w:val="00614B8A"/>
    <w:rsid w:val="00614D0C"/>
    <w:rsid w:val="00615C30"/>
    <w:rsid w:val="00616329"/>
    <w:rsid w:val="006163CA"/>
    <w:rsid w:val="006164FC"/>
    <w:rsid w:val="006172B6"/>
    <w:rsid w:val="006179DF"/>
    <w:rsid w:val="00617D74"/>
    <w:rsid w:val="006200BB"/>
    <w:rsid w:val="006207F0"/>
    <w:rsid w:val="00620975"/>
    <w:rsid w:val="006211E3"/>
    <w:rsid w:val="00621639"/>
    <w:rsid w:val="00621A95"/>
    <w:rsid w:val="0062200F"/>
    <w:rsid w:val="006221CD"/>
    <w:rsid w:val="006221D2"/>
    <w:rsid w:val="006228AE"/>
    <w:rsid w:val="006237D5"/>
    <w:rsid w:val="00623C57"/>
    <w:rsid w:val="00623F61"/>
    <w:rsid w:val="006246C1"/>
    <w:rsid w:val="00625068"/>
    <w:rsid w:val="006253BA"/>
    <w:rsid w:val="006254DA"/>
    <w:rsid w:val="006258D8"/>
    <w:rsid w:val="00625F56"/>
    <w:rsid w:val="00626393"/>
    <w:rsid w:val="00627B61"/>
    <w:rsid w:val="00627BFC"/>
    <w:rsid w:val="006301E9"/>
    <w:rsid w:val="00630402"/>
    <w:rsid w:val="00630636"/>
    <w:rsid w:val="006314B8"/>
    <w:rsid w:val="0063235F"/>
    <w:rsid w:val="00632535"/>
    <w:rsid w:val="00632F8D"/>
    <w:rsid w:val="0063351C"/>
    <w:rsid w:val="006341C6"/>
    <w:rsid w:val="006343D1"/>
    <w:rsid w:val="00634637"/>
    <w:rsid w:val="00634650"/>
    <w:rsid w:val="00634A80"/>
    <w:rsid w:val="0063539C"/>
    <w:rsid w:val="00635AE7"/>
    <w:rsid w:val="00635E56"/>
    <w:rsid w:val="00636185"/>
    <w:rsid w:val="006362C9"/>
    <w:rsid w:val="006364D4"/>
    <w:rsid w:val="00636DF7"/>
    <w:rsid w:val="00637E23"/>
    <w:rsid w:val="00637EC9"/>
    <w:rsid w:val="0064089B"/>
    <w:rsid w:val="00640BAD"/>
    <w:rsid w:val="00641003"/>
    <w:rsid w:val="006410F8"/>
    <w:rsid w:val="006412B6"/>
    <w:rsid w:val="0064160B"/>
    <w:rsid w:val="00641B34"/>
    <w:rsid w:val="006428DD"/>
    <w:rsid w:val="006429D1"/>
    <w:rsid w:val="00642DC2"/>
    <w:rsid w:val="00642FBA"/>
    <w:rsid w:val="006436C7"/>
    <w:rsid w:val="006445B6"/>
    <w:rsid w:val="00644A6A"/>
    <w:rsid w:val="00644B72"/>
    <w:rsid w:val="00644B9E"/>
    <w:rsid w:val="0064559D"/>
    <w:rsid w:val="00645628"/>
    <w:rsid w:val="00645821"/>
    <w:rsid w:val="00645B3C"/>
    <w:rsid w:val="00645BA0"/>
    <w:rsid w:val="0064647D"/>
    <w:rsid w:val="006467B5"/>
    <w:rsid w:val="00646A0A"/>
    <w:rsid w:val="00646B19"/>
    <w:rsid w:val="00646E5C"/>
    <w:rsid w:val="00646EB8"/>
    <w:rsid w:val="0064723B"/>
    <w:rsid w:val="0064737B"/>
    <w:rsid w:val="00650006"/>
    <w:rsid w:val="006505B2"/>
    <w:rsid w:val="00650D8C"/>
    <w:rsid w:val="0065100C"/>
    <w:rsid w:val="00651115"/>
    <w:rsid w:val="006513AB"/>
    <w:rsid w:val="00651A3F"/>
    <w:rsid w:val="00651CC0"/>
    <w:rsid w:val="00651D11"/>
    <w:rsid w:val="006520DC"/>
    <w:rsid w:val="006527E2"/>
    <w:rsid w:val="006529E8"/>
    <w:rsid w:val="00652BC9"/>
    <w:rsid w:val="00652DC3"/>
    <w:rsid w:val="00652F61"/>
    <w:rsid w:val="00653839"/>
    <w:rsid w:val="00654D9F"/>
    <w:rsid w:val="00654F97"/>
    <w:rsid w:val="00655379"/>
    <w:rsid w:val="006555D2"/>
    <w:rsid w:val="00656028"/>
    <w:rsid w:val="0065655C"/>
    <w:rsid w:val="0065664E"/>
    <w:rsid w:val="00656D28"/>
    <w:rsid w:val="006576FE"/>
    <w:rsid w:val="00657ED0"/>
    <w:rsid w:val="00660875"/>
    <w:rsid w:val="00660966"/>
    <w:rsid w:val="00661311"/>
    <w:rsid w:val="006619BF"/>
    <w:rsid w:val="0066220A"/>
    <w:rsid w:val="00662B62"/>
    <w:rsid w:val="00663A77"/>
    <w:rsid w:val="00663B00"/>
    <w:rsid w:val="00664E33"/>
    <w:rsid w:val="00665194"/>
    <w:rsid w:val="006653C8"/>
    <w:rsid w:val="0066566A"/>
    <w:rsid w:val="006659B1"/>
    <w:rsid w:val="00665C6C"/>
    <w:rsid w:val="00665E33"/>
    <w:rsid w:val="00666091"/>
    <w:rsid w:val="006666FB"/>
    <w:rsid w:val="00666C77"/>
    <w:rsid w:val="006676DF"/>
    <w:rsid w:val="006678AF"/>
    <w:rsid w:val="006706D0"/>
    <w:rsid w:val="00670E44"/>
    <w:rsid w:val="006714A4"/>
    <w:rsid w:val="00671A37"/>
    <w:rsid w:val="00671BBA"/>
    <w:rsid w:val="00671EC4"/>
    <w:rsid w:val="00672913"/>
    <w:rsid w:val="00672D2B"/>
    <w:rsid w:val="0067324E"/>
    <w:rsid w:val="0067339E"/>
    <w:rsid w:val="00673FB2"/>
    <w:rsid w:val="00674579"/>
    <w:rsid w:val="00674919"/>
    <w:rsid w:val="00674ACC"/>
    <w:rsid w:val="00675035"/>
    <w:rsid w:val="00675050"/>
    <w:rsid w:val="00675220"/>
    <w:rsid w:val="006758C7"/>
    <w:rsid w:val="00675F51"/>
    <w:rsid w:val="00676C3E"/>
    <w:rsid w:val="00676D32"/>
    <w:rsid w:val="006771D4"/>
    <w:rsid w:val="00677926"/>
    <w:rsid w:val="00677A03"/>
    <w:rsid w:val="00677ADF"/>
    <w:rsid w:val="00677E87"/>
    <w:rsid w:val="0068046A"/>
    <w:rsid w:val="006806F1"/>
    <w:rsid w:val="00680A27"/>
    <w:rsid w:val="00680B96"/>
    <w:rsid w:val="00680E2F"/>
    <w:rsid w:val="00681F62"/>
    <w:rsid w:val="006825A6"/>
    <w:rsid w:val="006828E5"/>
    <w:rsid w:val="006833A7"/>
    <w:rsid w:val="006836E6"/>
    <w:rsid w:val="00683753"/>
    <w:rsid w:val="00683859"/>
    <w:rsid w:val="006838FF"/>
    <w:rsid w:val="00684051"/>
    <w:rsid w:val="006847F5"/>
    <w:rsid w:val="0068491D"/>
    <w:rsid w:val="006849F2"/>
    <w:rsid w:val="00684BE6"/>
    <w:rsid w:val="00684EEF"/>
    <w:rsid w:val="006852F5"/>
    <w:rsid w:val="00685936"/>
    <w:rsid w:val="006859BC"/>
    <w:rsid w:val="00686123"/>
    <w:rsid w:val="00686130"/>
    <w:rsid w:val="0068627F"/>
    <w:rsid w:val="006867DB"/>
    <w:rsid w:val="00686F85"/>
    <w:rsid w:val="00686FC4"/>
    <w:rsid w:val="00687034"/>
    <w:rsid w:val="0068738E"/>
    <w:rsid w:val="006877B4"/>
    <w:rsid w:val="006900E2"/>
    <w:rsid w:val="00690139"/>
    <w:rsid w:val="00690C39"/>
    <w:rsid w:val="00690CC7"/>
    <w:rsid w:val="00690F77"/>
    <w:rsid w:val="00690FED"/>
    <w:rsid w:val="00691237"/>
    <w:rsid w:val="00691338"/>
    <w:rsid w:val="00692641"/>
    <w:rsid w:val="0069279E"/>
    <w:rsid w:val="006927F5"/>
    <w:rsid w:val="006928E2"/>
    <w:rsid w:val="0069300E"/>
    <w:rsid w:val="0069378D"/>
    <w:rsid w:val="006946B3"/>
    <w:rsid w:val="006952BD"/>
    <w:rsid w:val="0069555A"/>
    <w:rsid w:val="0069560F"/>
    <w:rsid w:val="00695E27"/>
    <w:rsid w:val="00696A8C"/>
    <w:rsid w:val="00696D1C"/>
    <w:rsid w:val="00696FB5"/>
    <w:rsid w:val="00697CC5"/>
    <w:rsid w:val="00697D08"/>
    <w:rsid w:val="006A021B"/>
    <w:rsid w:val="006A0A57"/>
    <w:rsid w:val="006A0D07"/>
    <w:rsid w:val="006A1097"/>
    <w:rsid w:val="006A1B74"/>
    <w:rsid w:val="006A229B"/>
    <w:rsid w:val="006A22C1"/>
    <w:rsid w:val="006A2722"/>
    <w:rsid w:val="006A293F"/>
    <w:rsid w:val="006A299B"/>
    <w:rsid w:val="006A31D7"/>
    <w:rsid w:val="006A3285"/>
    <w:rsid w:val="006A343D"/>
    <w:rsid w:val="006A3AFF"/>
    <w:rsid w:val="006A4052"/>
    <w:rsid w:val="006A4104"/>
    <w:rsid w:val="006A42B6"/>
    <w:rsid w:val="006A44BA"/>
    <w:rsid w:val="006A4E13"/>
    <w:rsid w:val="006A51D6"/>
    <w:rsid w:val="006A543E"/>
    <w:rsid w:val="006A676D"/>
    <w:rsid w:val="006A7412"/>
    <w:rsid w:val="006A7C9A"/>
    <w:rsid w:val="006A7E1E"/>
    <w:rsid w:val="006A7F61"/>
    <w:rsid w:val="006B00E4"/>
    <w:rsid w:val="006B028E"/>
    <w:rsid w:val="006B02E1"/>
    <w:rsid w:val="006B0809"/>
    <w:rsid w:val="006B0C34"/>
    <w:rsid w:val="006B0F1D"/>
    <w:rsid w:val="006B1B96"/>
    <w:rsid w:val="006B2C14"/>
    <w:rsid w:val="006B346B"/>
    <w:rsid w:val="006B37C0"/>
    <w:rsid w:val="006B39D4"/>
    <w:rsid w:val="006B3C35"/>
    <w:rsid w:val="006B3D5E"/>
    <w:rsid w:val="006B4AC8"/>
    <w:rsid w:val="006B5282"/>
    <w:rsid w:val="006B528F"/>
    <w:rsid w:val="006B53C3"/>
    <w:rsid w:val="006B5D63"/>
    <w:rsid w:val="006B5E2B"/>
    <w:rsid w:val="006B618E"/>
    <w:rsid w:val="006B6458"/>
    <w:rsid w:val="006B6621"/>
    <w:rsid w:val="006B6911"/>
    <w:rsid w:val="006B729C"/>
    <w:rsid w:val="006B7ACD"/>
    <w:rsid w:val="006C09B6"/>
    <w:rsid w:val="006C0A0F"/>
    <w:rsid w:val="006C0A4A"/>
    <w:rsid w:val="006C0DA6"/>
    <w:rsid w:val="006C0EB4"/>
    <w:rsid w:val="006C1558"/>
    <w:rsid w:val="006C1595"/>
    <w:rsid w:val="006C1C69"/>
    <w:rsid w:val="006C3716"/>
    <w:rsid w:val="006C3754"/>
    <w:rsid w:val="006C38D5"/>
    <w:rsid w:val="006C4AC5"/>
    <w:rsid w:val="006C5170"/>
    <w:rsid w:val="006C555A"/>
    <w:rsid w:val="006C57DA"/>
    <w:rsid w:val="006C5FA2"/>
    <w:rsid w:val="006C6390"/>
    <w:rsid w:val="006C70B2"/>
    <w:rsid w:val="006C7219"/>
    <w:rsid w:val="006C7496"/>
    <w:rsid w:val="006C75F4"/>
    <w:rsid w:val="006C7CDE"/>
    <w:rsid w:val="006C7D25"/>
    <w:rsid w:val="006C7EAA"/>
    <w:rsid w:val="006D0097"/>
    <w:rsid w:val="006D0B3B"/>
    <w:rsid w:val="006D0BE3"/>
    <w:rsid w:val="006D0D03"/>
    <w:rsid w:val="006D1480"/>
    <w:rsid w:val="006D1683"/>
    <w:rsid w:val="006D193C"/>
    <w:rsid w:val="006D1AEF"/>
    <w:rsid w:val="006D1F05"/>
    <w:rsid w:val="006D21CC"/>
    <w:rsid w:val="006D23E3"/>
    <w:rsid w:val="006D25E0"/>
    <w:rsid w:val="006D299B"/>
    <w:rsid w:val="006D39DE"/>
    <w:rsid w:val="006D3D9B"/>
    <w:rsid w:val="006D4213"/>
    <w:rsid w:val="006D44C9"/>
    <w:rsid w:val="006D4E73"/>
    <w:rsid w:val="006D51DF"/>
    <w:rsid w:val="006D5379"/>
    <w:rsid w:val="006D5732"/>
    <w:rsid w:val="006D59E0"/>
    <w:rsid w:val="006D5C78"/>
    <w:rsid w:val="006D60DC"/>
    <w:rsid w:val="006D631C"/>
    <w:rsid w:val="006D6998"/>
    <w:rsid w:val="006D6B68"/>
    <w:rsid w:val="006D70B0"/>
    <w:rsid w:val="006D719A"/>
    <w:rsid w:val="006D7223"/>
    <w:rsid w:val="006D7412"/>
    <w:rsid w:val="006D7451"/>
    <w:rsid w:val="006D78A7"/>
    <w:rsid w:val="006E099E"/>
    <w:rsid w:val="006E0E9E"/>
    <w:rsid w:val="006E112E"/>
    <w:rsid w:val="006E18BD"/>
    <w:rsid w:val="006E26D0"/>
    <w:rsid w:val="006E278C"/>
    <w:rsid w:val="006E3A67"/>
    <w:rsid w:val="006E3E28"/>
    <w:rsid w:val="006E3EE8"/>
    <w:rsid w:val="006E3F7D"/>
    <w:rsid w:val="006E458E"/>
    <w:rsid w:val="006E47B6"/>
    <w:rsid w:val="006E484B"/>
    <w:rsid w:val="006E4D63"/>
    <w:rsid w:val="006E532E"/>
    <w:rsid w:val="006E536A"/>
    <w:rsid w:val="006E569F"/>
    <w:rsid w:val="006E57CA"/>
    <w:rsid w:val="006E5F7A"/>
    <w:rsid w:val="006E60C6"/>
    <w:rsid w:val="006E60CF"/>
    <w:rsid w:val="006E66BC"/>
    <w:rsid w:val="006E6884"/>
    <w:rsid w:val="006E7510"/>
    <w:rsid w:val="006F02F7"/>
    <w:rsid w:val="006F03E8"/>
    <w:rsid w:val="006F0DF4"/>
    <w:rsid w:val="006F1018"/>
    <w:rsid w:val="006F153B"/>
    <w:rsid w:val="006F1ADC"/>
    <w:rsid w:val="006F1E12"/>
    <w:rsid w:val="006F1E4D"/>
    <w:rsid w:val="006F1EF0"/>
    <w:rsid w:val="006F22B3"/>
    <w:rsid w:val="006F2445"/>
    <w:rsid w:val="006F25AC"/>
    <w:rsid w:val="006F25F2"/>
    <w:rsid w:val="006F2730"/>
    <w:rsid w:val="006F3A16"/>
    <w:rsid w:val="006F3F37"/>
    <w:rsid w:val="006F4657"/>
    <w:rsid w:val="006F4BCF"/>
    <w:rsid w:val="006F54D0"/>
    <w:rsid w:val="006F566F"/>
    <w:rsid w:val="006F5C5F"/>
    <w:rsid w:val="006F5CD2"/>
    <w:rsid w:val="006F5E1C"/>
    <w:rsid w:val="006F5EF3"/>
    <w:rsid w:val="006F66C2"/>
    <w:rsid w:val="006F6880"/>
    <w:rsid w:val="006F6B61"/>
    <w:rsid w:val="006F7A8D"/>
    <w:rsid w:val="006F7E68"/>
    <w:rsid w:val="00700305"/>
    <w:rsid w:val="0070098D"/>
    <w:rsid w:val="007009E3"/>
    <w:rsid w:val="007011B6"/>
    <w:rsid w:val="00701207"/>
    <w:rsid w:val="00701F5A"/>
    <w:rsid w:val="007022E8"/>
    <w:rsid w:val="007023EB"/>
    <w:rsid w:val="00702D89"/>
    <w:rsid w:val="00702DAB"/>
    <w:rsid w:val="00702E46"/>
    <w:rsid w:val="00703276"/>
    <w:rsid w:val="0070346D"/>
    <w:rsid w:val="00703C4A"/>
    <w:rsid w:val="0070439B"/>
    <w:rsid w:val="00704512"/>
    <w:rsid w:val="0070474E"/>
    <w:rsid w:val="007049C0"/>
    <w:rsid w:val="00704DD2"/>
    <w:rsid w:val="007052F4"/>
    <w:rsid w:val="007054AE"/>
    <w:rsid w:val="007054CE"/>
    <w:rsid w:val="00705993"/>
    <w:rsid w:val="00705AA1"/>
    <w:rsid w:val="00706234"/>
    <w:rsid w:val="007069E6"/>
    <w:rsid w:val="0070700B"/>
    <w:rsid w:val="00707811"/>
    <w:rsid w:val="00710826"/>
    <w:rsid w:val="00710E6F"/>
    <w:rsid w:val="0071181B"/>
    <w:rsid w:val="00712A97"/>
    <w:rsid w:val="00712BF4"/>
    <w:rsid w:val="00712F65"/>
    <w:rsid w:val="00713313"/>
    <w:rsid w:val="00713733"/>
    <w:rsid w:val="0071386E"/>
    <w:rsid w:val="00713D1C"/>
    <w:rsid w:val="007149EA"/>
    <w:rsid w:val="00714B2E"/>
    <w:rsid w:val="007154B4"/>
    <w:rsid w:val="00715773"/>
    <w:rsid w:val="007158BD"/>
    <w:rsid w:val="0071690E"/>
    <w:rsid w:val="007169F0"/>
    <w:rsid w:val="00716A83"/>
    <w:rsid w:val="00717368"/>
    <w:rsid w:val="00717AAA"/>
    <w:rsid w:val="00717B02"/>
    <w:rsid w:val="00720182"/>
    <w:rsid w:val="00720240"/>
    <w:rsid w:val="00720553"/>
    <w:rsid w:val="00720701"/>
    <w:rsid w:val="007208FC"/>
    <w:rsid w:val="00720CC0"/>
    <w:rsid w:val="00720FD3"/>
    <w:rsid w:val="0072123C"/>
    <w:rsid w:val="00721B8D"/>
    <w:rsid w:val="00721DD1"/>
    <w:rsid w:val="00722287"/>
    <w:rsid w:val="007223AF"/>
    <w:rsid w:val="0072249C"/>
    <w:rsid w:val="00722723"/>
    <w:rsid w:val="00722732"/>
    <w:rsid w:val="00722979"/>
    <w:rsid w:val="00722EC2"/>
    <w:rsid w:val="00722F4B"/>
    <w:rsid w:val="007239E8"/>
    <w:rsid w:val="00723BC5"/>
    <w:rsid w:val="00723BC9"/>
    <w:rsid w:val="00723C1D"/>
    <w:rsid w:val="00724300"/>
    <w:rsid w:val="00724735"/>
    <w:rsid w:val="00724DB3"/>
    <w:rsid w:val="007250FA"/>
    <w:rsid w:val="00725212"/>
    <w:rsid w:val="00726152"/>
    <w:rsid w:val="0072618D"/>
    <w:rsid w:val="0072637D"/>
    <w:rsid w:val="00726CDD"/>
    <w:rsid w:val="00726E92"/>
    <w:rsid w:val="0072752D"/>
    <w:rsid w:val="00727C76"/>
    <w:rsid w:val="00727E7B"/>
    <w:rsid w:val="00730804"/>
    <w:rsid w:val="00730A89"/>
    <w:rsid w:val="00731736"/>
    <w:rsid w:val="00731762"/>
    <w:rsid w:val="00731C2D"/>
    <w:rsid w:val="0073233A"/>
    <w:rsid w:val="00732991"/>
    <w:rsid w:val="00732A45"/>
    <w:rsid w:val="00732F5B"/>
    <w:rsid w:val="00733052"/>
    <w:rsid w:val="00733119"/>
    <w:rsid w:val="007331D0"/>
    <w:rsid w:val="00733416"/>
    <w:rsid w:val="0073366A"/>
    <w:rsid w:val="00733A91"/>
    <w:rsid w:val="00733BA6"/>
    <w:rsid w:val="00733F56"/>
    <w:rsid w:val="0073474E"/>
    <w:rsid w:val="0073493F"/>
    <w:rsid w:val="0073575E"/>
    <w:rsid w:val="00735C9C"/>
    <w:rsid w:val="00735F90"/>
    <w:rsid w:val="00736F18"/>
    <w:rsid w:val="00736FED"/>
    <w:rsid w:val="0073768A"/>
    <w:rsid w:val="00737886"/>
    <w:rsid w:val="00737DCE"/>
    <w:rsid w:val="00740290"/>
    <w:rsid w:val="00740BDD"/>
    <w:rsid w:val="0074162B"/>
    <w:rsid w:val="00742006"/>
    <w:rsid w:val="007426C5"/>
    <w:rsid w:val="007429F3"/>
    <w:rsid w:val="00742A81"/>
    <w:rsid w:val="0074338E"/>
    <w:rsid w:val="007435C9"/>
    <w:rsid w:val="007435E4"/>
    <w:rsid w:val="007438A1"/>
    <w:rsid w:val="007439EB"/>
    <w:rsid w:val="00743B60"/>
    <w:rsid w:val="00743CDA"/>
    <w:rsid w:val="00743E1E"/>
    <w:rsid w:val="00743F31"/>
    <w:rsid w:val="00744497"/>
    <w:rsid w:val="00744593"/>
    <w:rsid w:val="0074492B"/>
    <w:rsid w:val="00744DBD"/>
    <w:rsid w:val="00745143"/>
    <w:rsid w:val="007454B1"/>
    <w:rsid w:val="00745698"/>
    <w:rsid w:val="0074587D"/>
    <w:rsid w:val="00745A32"/>
    <w:rsid w:val="00745D4E"/>
    <w:rsid w:val="0074600C"/>
    <w:rsid w:val="00746731"/>
    <w:rsid w:val="00746CB0"/>
    <w:rsid w:val="00746DC2"/>
    <w:rsid w:val="0074714B"/>
    <w:rsid w:val="007476B1"/>
    <w:rsid w:val="00747859"/>
    <w:rsid w:val="00747D09"/>
    <w:rsid w:val="00750596"/>
    <w:rsid w:val="00750B95"/>
    <w:rsid w:val="00750BC6"/>
    <w:rsid w:val="00750D65"/>
    <w:rsid w:val="00750D87"/>
    <w:rsid w:val="00751B44"/>
    <w:rsid w:val="00751B47"/>
    <w:rsid w:val="00751F63"/>
    <w:rsid w:val="00752158"/>
    <w:rsid w:val="0075233A"/>
    <w:rsid w:val="0075256D"/>
    <w:rsid w:val="0075282E"/>
    <w:rsid w:val="00752A44"/>
    <w:rsid w:val="00752B55"/>
    <w:rsid w:val="00752FC2"/>
    <w:rsid w:val="0075311D"/>
    <w:rsid w:val="00753C26"/>
    <w:rsid w:val="00753D07"/>
    <w:rsid w:val="00754180"/>
    <w:rsid w:val="00754362"/>
    <w:rsid w:val="007543C6"/>
    <w:rsid w:val="0075578D"/>
    <w:rsid w:val="007558BE"/>
    <w:rsid w:val="00755E32"/>
    <w:rsid w:val="00756094"/>
    <w:rsid w:val="007561BE"/>
    <w:rsid w:val="00756682"/>
    <w:rsid w:val="00756E0C"/>
    <w:rsid w:val="00757071"/>
    <w:rsid w:val="00757109"/>
    <w:rsid w:val="007606EE"/>
    <w:rsid w:val="00760743"/>
    <w:rsid w:val="00760955"/>
    <w:rsid w:val="00760B7F"/>
    <w:rsid w:val="00760BB7"/>
    <w:rsid w:val="00760CE9"/>
    <w:rsid w:val="007610F6"/>
    <w:rsid w:val="00761191"/>
    <w:rsid w:val="0076127B"/>
    <w:rsid w:val="00761349"/>
    <w:rsid w:val="0076175D"/>
    <w:rsid w:val="00762937"/>
    <w:rsid w:val="00762D0D"/>
    <w:rsid w:val="00763744"/>
    <w:rsid w:val="007637FA"/>
    <w:rsid w:val="00763B81"/>
    <w:rsid w:val="007640FA"/>
    <w:rsid w:val="00764312"/>
    <w:rsid w:val="007643A2"/>
    <w:rsid w:val="0076475B"/>
    <w:rsid w:val="00764863"/>
    <w:rsid w:val="00764FDF"/>
    <w:rsid w:val="007657D0"/>
    <w:rsid w:val="00765BA2"/>
    <w:rsid w:val="00765E63"/>
    <w:rsid w:val="007662E5"/>
    <w:rsid w:val="007663B6"/>
    <w:rsid w:val="00766555"/>
    <w:rsid w:val="007668D9"/>
    <w:rsid w:val="00766925"/>
    <w:rsid w:val="00766D60"/>
    <w:rsid w:val="0076751C"/>
    <w:rsid w:val="007676E8"/>
    <w:rsid w:val="00767736"/>
    <w:rsid w:val="00767B0B"/>
    <w:rsid w:val="00767B8B"/>
    <w:rsid w:val="007703C7"/>
    <w:rsid w:val="00770571"/>
    <w:rsid w:val="00770DD9"/>
    <w:rsid w:val="0077144D"/>
    <w:rsid w:val="007715F5"/>
    <w:rsid w:val="00771664"/>
    <w:rsid w:val="007716C3"/>
    <w:rsid w:val="00771F04"/>
    <w:rsid w:val="00772247"/>
    <w:rsid w:val="00772439"/>
    <w:rsid w:val="0077254B"/>
    <w:rsid w:val="00773256"/>
    <w:rsid w:val="007732AB"/>
    <w:rsid w:val="007734E0"/>
    <w:rsid w:val="00773916"/>
    <w:rsid w:val="00774598"/>
    <w:rsid w:val="00774862"/>
    <w:rsid w:val="0077497D"/>
    <w:rsid w:val="00774A17"/>
    <w:rsid w:val="007750D8"/>
    <w:rsid w:val="00775131"/>
    <w:rsid w:val="00775167"/>
    <w:rsid w:val="00775CEB"/>
    <w:rsid w:val="00775D37"/>
    <w:rsid w:val="00775E5E"/>
    <w:rsid w:val="00776014"/>
    <w:rsid w:val="00776276"/>
    <w:rsid w:val="0077726B"/>
    <w:rsid w:val="0078028C"/>
    <w:rsid w:val="00780B3F"/>
    <w:rsid w:val="00780CA8"/>
    <w:rsid w:val="007813A0"/>
    <w:rsid w:val="00782276"/>
    <w:rsid w:val="0078291F"/>
    <w:rsid w:val="00782CA9"/>
    <w:rsid w:val="0078321D"/>
    <w:rsid w:val="00783322"/>
    <w:rsid w:val="007833FC"/>
    <w:rsid w:val="00783861"/>
    <w:rsid w:val="00783D1B"/>
    <w:rsid w:val="00783E3F"/>
    <w:rsid w:val="00784696"/>
    <w:rsid w:val="007847D4"/>
    <w:rsid w:val="00784C59"/>
    <w:rsid w:val="00785566"/>
    <w:rsid w:val="00785666"/>
    <w:rsid w:val="0078580D"/>
    <w:rsid w:val="0078603F"/>
    <w:rsid w:val="007861B7"/>
    <w:rsid w:val="00786717"/>
    <w:rsid w:val="00786882"/>
    <w:rsid w:val="00786DDA"/>
    <w:rsid w:val="00787209"/>
    <w:rsid w:val="00787319"/>
    <w:rsid w:val="007873D4"/>
    <w:rsid w:val="00787490"/>
    <w:rsid w:val="007874D2"/>
    <w:rsid w:val="00787AC8"/>
    <w:rsid w:val="00787B9E"/>
    <w:rsid w:val="00787D2A"/>
    <w:rsid w:val="00790043"/>
    <w:rsid w:val="007902C0"/>
    <w:rsid w:val="0079057D"/>
    <w:rsid w:val="00790AFD"/>
    <w:rsid w:val="00790E22"/>
    <w:rsid w:val="0079113A"/>
    <w:rsid w:val="007911B6"/>
    <w:rsid w:val="00791536"/>
    <w:rsid w:val="00791725"/>
    <w:rsid w:val="007918AF"/>
    <w:rsid w:val="00792544"/>
    <w:rsid w:val="00793AAA"/>
    <w:rsid w:val="007944D7"/>
    <w:rsid w:val="007945E9"/>
    <w:rsid w:val="00794665"/>
    <w:rsid w:val="00794A11"/>
    <w:rsid w:val="00795366"/>
    <w:rsid w:val="007957F5"/>
    <w:rsid w:val="007960D1"/>
    <w:rsid w:val="00796196"/>
    <w:rsid w:val="00796696"/>
    <w:rsid w:val="00796C0F"/>
    <w:rsid w:val="00797274"/>
    <w:rsid w:val="007972C9"/>
    <w:rsid w:val="0079733F"/>
    <w:rsid w:val="007977BC"/>
    <w:rsid w:val="00797952"/>
    <w:rsid w:val="00797C7A"/>
    <w:rsid w:val="00797DF1"/>
    <w:rsid w:val="00797FEC"/>
    <w:rsid w:val="007A026E"/>
    <w:rsid w:val="007A028D"/>
    <w:rsid w:val="007A0C27"/>
    <w:rsid w:val="007A0DC0"/>
    <w:rsid w:val="007A1432"/>
    <w:rsid w:val="007A1520"/>
    <w:rsid w:val="007A16F7"/>
    <w:rsid w:val="007A23E9"/>
    <w:rsid w:val="007A2ACB"/>
    <w:rsid w:val="007A2C6A"/>
    <w:rsid w:val="007A3B76"/>
    <w:rsid w:val="007A47D9"/>
    <w:rsid w:val="007A4DB3"/>
    <w:rsid w:val="007A4E91"/>
    <w:rsid w:val="007A4F7C"/>
    <w:rsid w:val="007A518F"/>
    <w:rsid w:val="007A5431"/>
    <w:rsid w:val="007A6172"/>
    <w:rsid w:val="007A62A6"/>
    <w:rsid w:val="007A62F5"/>
    <w:rsid w:val="007A6500"/>
    <w:rsid w:val="007A68B4"/>
    <w:rsid w:val="007A6A64"/>
    <w:rsid w:val="007A6BF0"/>
    <w:rsid w:val="007A6D5C"/>
    <w:rsid w:val="007A6D6A"/>
    <w:rsid w:val="007A7249"/>
    <w:rsid w:val="007A743A"/>
    <w:rsid w:val="007B111D"/>
    <w:rsid w:val="007B1635"/>
    <w:rsid w:val="007B1966"/>
    <w:rsid w:val="007B1FB7"/>
    <w:rsid w:val="007B219F"/>
    <w:rsid w:val="007B2518"/>
    <w:rsid w:val="007B2700"/>
    <w:rsid w:val="007B2B15"/>
    <w:rsid w:val="007B2B4F"/>
    <w:rsid w:val="007B2E94"/>
    <w:rsid w:val="007B3F99"/>
    <w:rsid w:val="007B41F6"/>
    <w:rsid w:val="007B42BE"/>
    <w:rsid w:val="007B43E9"/>
    <w:rsid w:val="007B44FD"/>
    <w:rsid w:val="007B4DA1"/>
    <w:rsid w:val="007B5564"/>
    <w:rsid w:val="007B5834"/>
    <w:rsid w:val="007B59AC"/>
    <w:rsid w:val="007B5FC5"/>
    <w:rsid w:val="007B605D"/>
    <w:rsid w:val="007B6185"/>
    <w:rsid w:val="007B6305"/>
    <w:rsid w:val="007B64B3"/>
    <w:rsid w:val="007B675C"/>
    <w:rsid w:val="007B67D6"/>
    <w:rsid w:val="007B6B14"/>
    <w:rsid w:val="007B6D52"/>
    <w:rsid w:val="007B6EA1"/>
    <w:rsid w:val="007B6EF5"/>
    <w:rsid w:val="007B6F24"/>
    <w:rsid w:val="007B75A8"/>
    <w:rsid w:val="007B7708"/>
    <w:rsid w:val="007C023A"/>
    <w:rsid w:val="007C092A"/>
    <w:rsid w:val="007C0EB1"/>
    <w:rsid w:val="007C13F3"/>
    <w:rsid w:val="007C14A6"/>
    <w:rsid w:val="007C187A"/>
    <w:rsid w:val="007C1A88"/>
    <w:rsid w:val="007C239A"/>
    <w:rsid w:val="007C241B"/>
    <w:rsid w:val="007C26F7"/>
    <w:rsid w:val="007C2CDF"/>
    <w:rsid w:val="007C2D6B"/>
    <w:rsid w:val="007C2FC7"/>
    <w:rsid w:val="007C34F5"/>
    <w:rsid w:val="007C3633"/>
    <w:rsid w:val="007C4076"/>
    <w:rsid w:val="007C42F1"/>
    <w:rsid w:val="007C49A3"/>
    <w:rsid w:val="007C51FF"/>
    <w:rsid w:val="007C540B"/>
    <w:rsid w:val="007C5567"/>
    <w:rsid w:val="007C5709"/>
    <w:rsid w:val="007C58F0"/>
    <w:rsid w:val="007C5946"/>
    <w:rsid w:val="007C5B8F"/>
    <w:rsid w:val="007C5D35"/>
    <w:rsid w:val="007C5D62"/>
    <w:rsid w:val="007C5E47"/>
    <w:rsid w:val="007C61C4"/>
    <w:rsid w:val="007C64BF"/>
    <w:rsid w:val="007C6E71"/>
    <w:rsid w:val="007C735B"/>
    <w:rsid w:val="007D014A"/>
    <w:rsid w:val="007D069B"/>
    <w:rsid w:val="007D0841"/>
    <w:rsid w:val="007D0DA7"/>
    <w:rsid w:val="007D1238"/>
    <w:rsid w:val="007D13DF"/>
    <w:rsid w:val="007D142E"/>
    <w:rsid w:val="007D1DF4"/>
    <w:rsid w:val="007D25DF"/>
    <w:rsid w:val="007D2713"/>
    <w:rsid w:val="007D2757"/>
    <w:rsid w:val="007D2E76"/>
    <w:rsid w:val="007D2EEA"/>
    <w:rsid w:val="007D3116"/>
    <w:rsid w:val="007D31A1"/>
    <w:rsid w:val="007D3445"/>
    <w:rsid w:val="007D3656"/>
    <w:rsid w:val="007D36BD"/>
    <w:rsid w:val="007D42E2"/>
    <w:rsid w:val="007D4342"/>
    <w:rsid w:val="007D49FA"/>
    <w:rsid w:val="007D4F74"/>
    <w:rsid w:val="007D5275"/>
    <w:rsid w:val="007D5C9F"/>
    <w:rsid w:val="007D6BE1"/>
    <w:rsid w:val="007D70B5"/>
    <w:rsid w:val="007D72C7"/>
    <w:rsid w:val="007D73DD"/>
    <w:rsid w:val="007D772C"/>
    <w:rsid w:val="007D7970"/>
    <w:rsid w:val="007D7C40"/>
    <w:rsid w:val="007D7CCA"/>
    <w:rsid w:val="007E0C29"/>
    <w:rsid w:val="007E13D2"/>
    <w:rsid w:val="007E1D22"/>
    <w:rsid w:val="007E1E6D"/>
    <w:rsid w:val="007E2009"/>
    <w:rsid w:val="007E21A6"/>
    <w:rsid w:val="007E2812"/>
    <w:rsid w:val="007E2CF2"/>
    <w:rsid w:val="007E33AC"/>
    <w:rsid w:val="007E3419"/>
    <w:rsid w:val="007E36AB"/>
    <w:rsid w:val="007E3ACE"/>
    <w:rsid w:val="007E3AEB"/>
    <w:rsid w:val="007E440D"/>
    <w:rsid w:val="007E4D40"/>
    <w:rsid w:val="007E4DA1"/>
    <w:rsid w:val="007E4E62"/>
    <w:rsid w:val="007E4F15"/>
    <w:rsid w:val="007E511B"/>
    <w:rsid w:val="007E6939"/>
    <w:rsid w:val="007E6A3A"/>
    <w:rsid w:val="007E6B09"/>
    <w:rsid w:val="007E741F"/>
    <w:rsid w:val="007E79C8"/>
    <w:rsid w:val="007E7A94"/>
    <w:rsid w:val="007E7E82"/>
    <w:rsid w:val="007F03ED"/>
    <w:rsid w:val="007F07DE"/>
    <w:rsid w:val="007F097D"/>
    <w:rsid w:val="007F0B1D"/>
    <w:rsid w:val="007F1518"/>
    <w:rsid w:val="007F155F"/>
    <w:rsid w:val="007F1730"/>
    <w:rsid w:val="007F1BBD"/>
    <w:rsid w:val="007F2374"/>
    <w:rsid w:val="007F2C00"/>
    <w:rsid w:val="007F2CCB"/>
    <w:rsid w:val="007F3238"/>
    <w:rsid w:val="007F325A"/>
    <w:rsid w:val="007F3273"/>
    <w:rsid w:val="007F3687"/>
    <w:rsid w:val="007F3BEF"/>
    <w:rsid w:val="007F4570"/>
    <w:rsid w:val="007F4C5A"/>
    <w:rsid w:val="007F5486"/>
    <w:rsid w:val="007F5790"/>
    <w:rsid w:val="007F5DC5"/>
    <w:rsid w:val="007F6A29"/>
    <w:rsid w:val="007F6CFA"/>
    <w:rsid w:val="007F761B"/>
    <w:rsid w:val="007F76A0"/>
    <w:rsid w:val="007F76A1"/>
    <w:rsid w:val="007F7AFF"/>
    <w:rsid w:val="00800583"/>
    <w:rsid w:val="008019B8"/>
    <w:rsid w:val="00801AF8"/>
    <w:rsid w:val="00802111"/>
    <w:rsid w:val="008022FE"/>
    <w:rsid w:val="00802425"/>
    <w:rsid w:val="00802C77"/>
    <w:rsid w:val="00803467"/>
    <w:rsid w:val="00803662"/>
    <w:rsid w:val="008036C0"/>
    <w:rsid w:val="008041AF"/>
    <w:rsid w:val="00804276"/>
    <w:rsid w:val="008045AD"/>
    <w:rsid w:val="00804B98"/>
    <w:rsid w:val="00804EF3"/>
    <w:rsid w:val="0080507D"/>
    <w:rsid w:val="008052CA"/>
    <w:rsid w:val="0080531C"/>
    <w:rsid w:val="00805369"/>
    <w:rsid w:val="00805C0F"/>
    <w:rsid w:val="00805FA9"/>
    <w:rsid w:val="008060A6"/>
    <w:rsid w:val="00806202"/>
    <w:rsid w:val="00806D81"/>
    <w:rsid w:val="00806EB4"/>
    <w:rsid w:val="008074D2"/>
    <w:rsid w:val="008078F6"/>
    <w:rsid w:val="00810A40"/>
    <w:rsid w:val="00810A69"/>
    <w:rsid w:val="00810C18"/>
    <w:rsid w:val="008110CD"/>
    <w:rsid w:val="00811B20"/>
    <w:rsid w:val="00811B3B"/>
    <w:rsid w:val="00811CD1"/>
    <w:rsid w:val="00812055"/>
    <w:rsid w:val="008120C2"/>
    <w:rsid w:val="008129E6"/>
    <w:rsid w:val="00812C84"/>
    <w:rsid w:val="00812DE1"/>
    <w:rsid w:val="00813942"/>
    <w:rsid w:val="00813BB6"/>
    <w:rsid w:val="00813F60"/>
    <w:rsid w:val="0081402B"/>
    <w:rsid w:val="00814176"/>
    <w:rsid w:val="0081446A"/>
    <w:rsid w:val="00814590"/>
    <w:rsid w:val="00814C09"/>
    <w:rsid w:val="00814FEA"/>
    <w:rsid w:val="00815093"/>
    <w:rsid w:val="00815E70"/>
    <w:rsid w:val="00817465"/>
    <w:rsid w:val="008176D0"/>
    <w:rsid w:val="00817B8D"/>
    <w:rsid w:val="00817CE1"/>
    <w:rsid w:val="008202C3"/>
    <w:rsid w:val="00820AA7"/>
    <w:rsid w:val="00820E93"/>
    <w:rsid w:val="00821AB1"/>
    <w:rsid w:val="00822102"/>
    <w:rsid w:val="00822648"/>
    <w:rsid w:val="00822811"/>
    <w:rsid w:val="00823255"/>
    <w:rsid w:val="0082382A"/>
    <w:rsid w:val="00823A29"/>
    <w:rsid w:val="00824439"/>
    <w:rsid w:val="00825142"/>
    <w:rsid w:val="008266E5"/>
    <w:rsid w:val="008267E6"/>
    <w:rsid w:val="00827355"/>
    <w:rsid w:val="00827795"/>
    <w:rsid w:val="00827874"/>
    <w:rsid w:val="008279A1"/>
    <w:rsid w:val="008279DE"/>
    <w:rsid w:val="00830D9B"/>
    <w:rsid w:val="008316C0"/>
    <w:rsid w:val="008317D5"/>
    <w:rsid w:val="00831C16"/>
    <w:rsid w:val="00831E76"/>
    <w:rsid w:val="00832B0D"/>
    <w:rsid w:val="00832F4A"/>
    <w:rsid w:val="008334F3"/>
    <w:rsid w:val="0083364D"/>
    <w:rsid w:val="0083387D"/>
    <w:rsid w:val="00833C1C"/>
    <w:rsid w:val="0083400B"/>
    <w:rsid w:val="00834228"/>
    <w:rsid w:val="00834263"/>
    <w:rsid w:val="00834372"/>
    <w:rsid w:val="008348C4"/>
    <w:rsid w:val="00834B33"/>
    <w:rsid w:val="0083531D"/>
    <w:rsid w:val="00835412"/>
    <w:rsid w:val="008363ED"/>
    <w:rsid w:val="00836495"/>
    <w:rsid w:val="008365D7"/>
    <w:rsid w:val="0083684E"/>
    <w:rsid w:val="00836F33"/>
    <w:rsid w:val="00837002"/>
    <w:rsid w:val="00837A37"/>
    <w:rsid w:val="00837B24"/>
    <w:rsid w:val="00837C04"/>
    <w:rsid w:val="00837CE8"/>
    <w:rsid w:val="00837DDE"/>
    <w:rsid w:val="00837E0B"/>
    <w:rsid w:val="00837F05"/>
    <w:rsid w:val="00837FE2"/>
    <w:rsid w:val="00840280"/>
    <w:rsid w:val="008404C5"/>
    <w:rsid w:val="008407EC"/>
    <w:rsid w:val="00840811"/>
    <w:rsid w:val="00840A3D"/>
    <w:rsid w:val="00840EA7"/>
    <w:rsid w:val="0084171C"/>
    <w:rsid w:val="008418AC"/>
    <w:rsid w:val="0084210F"/>
    <w:rsid w:val="008426E4"/>
    <w:rsid w:val="00842936"/>
    <w:rsid w:val="00842CFD"/>
    <w:rsid w:val="00842D0F"/>
    <w:rsid w:val="00843D05"/>
    <w:rsid w:val="00843E40"/>
    <w:rsid w:val="00844A24"/>
    <w:rsid w:val="00844D05"/>
    <w:rsid w:val="008450BF"/>
    <w:rsid w:val="008457DD"/>
    <w:rsid w:val="00845A0C"/>
    <w:rsid w:val="00845B43"/>
    <w:rsid w:val="00845D25"/>
    <w:rsid w:val="00846789"/>
    <w:rsid w:val="00846D20"/>
    <w:rsid w:val="00846D65"/>
    <w:rsid w:val="0084733D"/>
    <w:rsid w:val="00847E04"/>
    <w:rsid w:val="0085023E"/>
    <w:rsid w:val="008508ED"/>
    <w:rsid w:val="00851449"/>
    <w:rsid w:val="0085199A"/>
    <w:rsid w:val="00851D76"/>
    <w:rsid w:val="00851FA6"/>
    <w:rsid w:val="00852B06"/>
    <w:rsid w:val="008536CF"/>
    <w:rsid w:val="00854264"/>
    <w:rsid w:val="008547E1"/>
    <w:rsid w:val="0085543F"/>
    <w:rsid w:val="008554AA"/>
    <w:rsid w:val="00855C75"/>
    <w:rsid w:val="00855D7E"/>
    <w:rsid w:val="0085616E"/>
    <w:rsid w:val="0085652B"/>
    <w:rsid w:val="00856607"/>
    <w:rsid w:val="0085674C"/>
    <w:rsid w:val="00856AAF"/>
    <w:rsid w:val="00857BFA"/>
    <w:rsid w:val="008602EB"/>
    <w:rsid w:val="00860CAD"/>
    <w:rsid w:val="00860CCA"/>
    <w:rsid w:val="00860F51"/>
    <w:rsid w:val="00860F56"/>
    <w:rsid w:val="00861447"/>
    <w:rsid w:val="008615CC"/>
    <w:rsid w:val="00861890"/>
    <w:rsid w:val="00861A9B"/>
    <w:rsid w:val="00861CF8"/>
    <w:rsid w:val="00861FD4"/>
    <w:rsid w:val="008621CD"/>
    <w:rsid w:val="00862305"/>
    <w:rsid w:val="00862AD8"/>
    <w:rsid w:val="008632A7"/>
    <w:rsid w:val="008635F3"/>
    <w:rsid w:val="008636FD"/>
    <w:rsid w:val="0086393A"/>
    <w:rsid w:val="00863BE0"/>
    <w:rsid w:val="00863C8C"/>
    <w:rsid w:val="0086437B"/>
    <w:rsid w:val="008648A2"/>
    <w:rsid w:val="00864CCB"/>
    <w:rsid w:val="0086555D"/>
    <w:rsid w:val="00865698"/>
    <w:rsid w:val="00865A5B"/>
    <w:rsid w:val="008662BF"/>
    <w:rsid w:val="00866636"/>
    <w:rsid w:val="00866715"/>
    <w:rsid w:val="008678BE"/>
    <w:rsid w:val="00867946"/>
    <w:rsid w:val="00870B15"/>
    <w:rsid w:val="00870DAD"/>
    <w:rsid w:val="008713FB"/>
    <w:rsid w:val="00871526"/>
    <w:rsid w:val="008715F0"/>
    <w:rsid w:val="008716F2"/>
    <w:rsid w:val="00871AC2"/>
    <w:rsid w:val="00871AC5"/>
    <w:rsid w:val="00871C44"/>
    <w:rsid w:val="008722E5"/>
    <w:rsid w:val="008723F0"/>
    <w:rsid w:val="008728C4"/>
    <w:rsid w:val="00872A37"/>
    <w:rsid w:val="00872F1B"/>
    <w:rsid w:val="00873D0B"/>
    <w:rsid w:val="0087400D"/>
    <w:rsid w:val="008740DA"/>
    <w:rsid w:val="00874411"/>
    <w:rsid w:val="00874555"/>
    <w:rsid w:val="00874742"/>
    <w:rsid w:val="0087512C"/>
    <w:rsid w:val="00875712"/>
    <w:rsid w:val="00876755"/>
    <w:rsid w:val="0087680E"/>
    <w:rsid w:val="008773E7"/>
    <w:rsid w:val="00877599"/>
    <w:rsid w:val="00877771"/>
    <w:rsid w:val="00877F4F"/>
    <w:rsid w:val="00880226"/>
    <w:rsid w:val="00880B41"/>
    <w:rsid w:val="00881D6B"/>
    <w:rsid w:val="008820D1"/>
    <w:rsid w:val="0088231C"/>
    <w:rsid w:val="0088276D"/>
    <w:rsid w:val="00882842"/>
    <w:rsid w:val="008828D4"/>
    <w:rsid w:val="00882AB0"/>
    <w:rsid w:val="00882E65"/>
    <w:rsid w:val="00882E7B"/>
    <w:rsid w:val="00883064"/>
    <w:rsid w:val="00883086"/>
    <w:rsid w:val="00883264"/>
    <w:rsid w:val="008836AF"/>
    <w:rsid w:val="008838BA"/>
    <w:rsid w:val="008838F2"/>
    <w:rsid w:val="0088396C"/>
    <w:rsid w:val="00883AB0"/>
    <w:rsid w:val="00883B69"/>
    <w:rsid w:val="00884704"/>
    <w:rsid w:val="00885586"/>
    <w:rsid w:val="00885D9B"/>
    <w:rsid w:val="00885F03"/>
    <w:rsid w:val="00886613"/>
    <w:rsid w:val="00886908"/>
    <w:rsid w:val="00886A8B"/>
    <w:rsid w:val="008877CA"/>
    <w:rsid w:val="00887D9F"/>
    <w:rsid w:val="008904E0"/>
    <w:rsid w:val="008904F8"/>
    <w:rsid w:val="008906CE"/>
    <w:rsid w:val="00890AEF"/>
    <w:rsid w:val="00891080"/>
    <w:rsid w:val="00891318"/>
    <w:rsid w:val="00891714"/>
    <w:rsid w:val="008918BA"/>
    <w:rsid w:val="008919A0"/>
    <w:rsid w:val="00891A30"/>
    <w:rsid w:val="00891CDA"/>
    <w:rsid w:val="008926FD"/>
    <w:rsid w:val="00892745"/>
    <w:rsid w:val="00892796"/>
    <w:rsid w:val="008927C1"/>
    <w:rsid w:val="00892969"/>
    <w:rsid w:val="00892ADC"/>
    <w:rsid w:val="00892E6B"/>
    <w:rsid w:val="0089362C"/>
    <w:rsid w:val="008939BF"/>
    <w:rsid w:val="00893B20"/>
    <w:rsid w:val="00894008"/>
    <w:rsid w:val="00894BB6"/>
    <w:rsid w:val="00894CD8"/>
    <w:rsid w:val="0089507D"/>
    <w:rsid w:val="008954D9"/>
    <w:rsid w:val="00896164"/>
    <w:rsid w:val="00896860"/>
    <w:rsid w:val="00896A3F"/>
    <w:rsid w:val="0089705A"/>
    <w:rsid w:val="008973EC"/>
    <w:rsid w:val="008A02A5"/>
    <w:rsid w:val="008A06DE"/>
    <w:rsid w:val="008A0840"/>
    <w:rsid w:val="008A0986"/>
    <w:rsid w:val="008A0A5F"/>
    <w:rsid w:val="008A18D0"/>
    <w:rsid w:val="008A1B87"/>
    <w:rsid w:val="008A2A04"/>
    <w:rsid w:val="008A2AE3"/>
    <w:rsid w:val="008A2DA2"/>
    <w:rsid w:val="008A2F64"/>
    <w:rsid w:val="008A30D0"/>
    <w:rsid w:val="008A3129"/>
    <w:rsid w:val="008A32F7"/>
    <w:rsid w:val="008A32F9"/>
    <w:rsid w:val="008A3AF1"/>
    <w:rsid w:val="008A3C51"/>
    <w:rsid w:val="008A3C63"/>
    <w:rsid w:val="008A3FCA"/>
    <w:rsid w:val="008A4033"/>
    <w:rsid w:val="008A40D7"/>
    <w:rsid w:val="008A417A"/>
    <w:rsid w:val="008A4208"/>
    <w:rsid w:val="008A467F"/>
    <w:rsid w:val="008A4B54"/>
    <w:rsid w:val="008A510D"/>
    <w:rsid w:val="008A514B"/>
    <w:rsid w:val="008A51AC"/>
    <w:rsid w:val="008A53DC"/>
    <w:rsid w:val="008A5BDA"/>
    <w:rsid w:val="008A61D4"/>
    <w:rsid w:val="008A65AC"/>
    <w:rsid w:val="008A6781"/>
    <w:rsid w:val="008A6AE0"/>
    <w:rsid w:val="008A6C6E"/>
    <w:rsid w:val="008A6CAF"/>
    <w:rsid w:val="008A6D89"/>
    <w:rsid w:val="008A6DE1"/>
    <w:rsid w:val="008A720E"/>
    <w:rsid w:val="008A7239"/>
    <w:rsid w:val="008A726A"/>
    <w:rsid w:val="008A752E"/>
    <w:rsid w:val="008A7E64"/>
    <w:rsid w:val="008B0F38"/>
    <w:rsid w:val="008B10D9"/>
    <w:rsid w:val="008B1189"/>
    <w:rsid w:val="008B162C"/>
    <w:rsid w:val="008B1F82"/>
    <w:rsid w:val="008B1FFF"/>
    <w:rsid w:val="008B24E8"/>
    <w:rsid w:val="008B2770"/>
    <w:rsid w:val="008B27BE"/>
    <w:rsid w:val="008B352E"/>
    <w:rsid w:val="008B3F23"/>
    <w:rsid w:val="008B4528"/>
    <w:rsid w:val="008B6318"/>
    <w:rsid w:val="008B6427"/>
    <w:rsid w:val="008B649E"/>
    <w:rsid w:val="008B67E0"/>
    <w:rsid w:val="008B6B25"/>
    <w:rsid w:val="008B6F0E"/>
    <w:rsid w:val="008B6F5A"/>
    <w:rsid w:val="008B7877"/>
    <w:rsid w:val="008B7FDA"/>
    <w:rsid w:val="008C0BF4"/>
    <w:rsid w:val="008C0C0F"/>
    <w:rsid w:val="008C0D65"/>
    <w:rsid w:val="008C14FB"/>
    <w:rsid w:val="008C1841"/>
    <w:rsid w:val="008C1ABE"/>
    <w:rsid w:val="008C1DC8"/>
    <w:rsid w:val="008C2048"/>
    <w:rsid w:val="008C2CBC"/>
    <w:rsid w:val="008C3136"/>
    <w:rsid w:val="008C34F6"/>
    <w:rsid w:val="008C3B3A"/>
    <w:rsid w:val="008C4032"/>
    <w:rsid w:val="008C4252"/>
    <w:rsid w:val="008C4CA7"/>
    <w:rsid w:val="008C4F16"/>
    <w:rsid w:val="008C4F43"/>
    <w:rsid w:val="008C51F3"/>
    <w:rsid w:val="008C57CC"/>
    <w:rsid w:val="008C5D81"/>
    <w:rsid w:val="008C6EBA"/>
    <w:rsid w:val="008C6FED"/>
    <w:rsid w:val="008C7D59"/>
    <w:rsid w:val="008D0200"/>
    <w:rsid w:val="008D0678"/>
    <w:rsid w:val="008D0760"/>
    <w:rsid w:val="008D08AF"/>
    <w:rsid w:val="008D0F3E"/>
    <w:rsid w:val="008D11C0"/>
    <w:rsid w:val="008D13A9"/>
    <w:rsid w:val="008D1639"/>
    <w:rsid w:val="008D1D37"/>
    <w:rsid w:val="008D2017"/>
    <w:rsid w:val="008D202E"/>
    <w:rsid w:val="008D20B6"/>
    <w:rsid w:val="008D2802"/>
    <w:rsid w:val="008D2A7C"/>
    <w:rsid w:val="008D2CDC"/>
    <w:rsid w:val="008D313E"/>
    <w:rsid w:val="008D33FD"/>
    <w:rsid w:val="008D3B01"/>
    <w:rsid w:val="008D3BE2"/>
    <w:rsid w:val="008D3FFE"/>
    <w:rsid w:val="008D419F"/>
    <w:rsid w:val="008D43A2"/>
    <w:rsid w:val="008D494C"/>
    <w:rsid w:val="008D51C4"/>
    <w:rsid w:val="008D5670"/>
    <w:rsid w:val="008D5B0C"/>
    <w:rsid w:val="008D5C1C"/>
    <w:rsid w:val="008D5C7C"/>
    <w:rsid w:val="008D5D17"/>
    <w:rsid w:val="008D5FE2"/>
    <w:rsid w:val="008D65CC"/>
    <w:rsid w:val="008D66E1"/>
    <w:rsid w:val="008D73CC"/>
    <w:rsid w:val="008D7A2E"/>
    <w:rsid w:val="008D7A87"/>
    <w:rsid w:val="008E018E"/>
    <w:rsid w:val="008E01CD"/>
    <w:rsid w:val="008E02BB"/>
    <w:rsid w:val="008E088F"/>
    <w:rsid w:val="008E10E0"/>
    <w:rsid w:val="008E145D"/>
    <w:rsid w:val="008E1575"/>
    <w:rsid w:val="008E1ABE"/>
    <w:rsid w:val="008E1D32"/>
    <w:rsid w:val="008E2118"/>
    <w:rsid w:val="008E2850"/>
    <w:rsid w:val="008E2D6D"/>
    <w:rsid w:val="008E2D96"/>
    <w:rsid w:val="008E2FCD"/>
    <w:rsid w:val="008E3025"/>
    <w:rsid w:val="008E307B"/>
    <w:rsid w:val="008E338D"/>
    <w:rsid w:val="008E3513"/>
    <w:rsid w:val="008E3982"/>
    <w:rsid w:val="008E3ABD"/>
    <w:rsid w:val="008E3C42"/>
    <w:rsid w:val="008E5583"/>
    <w:rsid w:val="008E5871"/>
    <w:rsid w:val="008E5B65"/>
    <w:rsid w:val="008E5F58"/>
    <w:rsid w:val="008E6A37"/>
    <w:rsid w:val="008F03B7"/>
    <w:rsid w:val="008F0ABC"/>
    <w:rsid w:val="008F124B"/>
    <w:rsid w:val="008F1C59"/>
    <w:rsid w:val="008F2502"/>
    <w:rsid w:val="008F250C"/>
    <w:rsid w:val="008F3031"/>
    <w:rsid w:val="008F304C"/>
    <w:rsid w:val="008F306D"/>
    <w:rsid w:val="008F3A32"/>
    <w:rsid w:val="008F3AC8"/>
    <w:rsid w:val="008F3D2E"/>
    <w:rsid w:val="008F3FE4"/>
    <w:rsid w:val="008F401C"/>
    <w:rsid w:val="008F410A"/>
    <w:rsid w:val="008F410C"/>
    <w:rsid w:val="008F42DE"/>
    <w:rsid w:val="008F4BBA"/>
    <w:rsid w:val="008F4DA9"/>
    <w:rsid w:val="008F54DC"/>
    <w:rsid w:val="008F6CD3"/>
    <w:rsid w:val="008F6DD2"/>
    <w:rsid w:val="008F72FF"/>
    <w:rsid w:val="008F78F1"/>
    <w:rsid w:val="008F7BBA"/>
    <w:rsid w:val="0090067F"/>
    <w:rsid w:val="0090072C"/>
    <w:rsid w:val="00900B01"/>
    <w:rsid w:val="00900DA3"/>
    <w:rsid w:val="0090118A"/>
    <w:rsid w:val="009018AB"/>
    <w:rsid w:val="00901AF7"/>
    <w:rsid w:val="00901C10"/>
    <w:rsid w:val="00901C2A"/>
    <w:rsid w:val="0090247E"/>
    <w:rsid w:val="00902BE9"/>
    <w:rsid w:val="009032EA"/>
    <w:rsid w:val="00903496"/>
    <w:rsid w:val="00903CB0"/>
    <w:rsid w:val="00904B4A"/>
    <w:rsid w:val="00904B65"/>
    <w:rsid w:val="00905078"/>
    <w:rsid w:val="009050B9"/>
    <w:rsid w:val="00905353"/>
    <w:rsid w:val="00905654"/>
    <w:rsid w:val="00905EED"/>
    <w:rsid w:val="009066CC"/>
    <w:rsid w:val="00907EB3"/>
    <w:rsid w:val="009103B3"/>
    <w:rsid w:val="009104CB"/>
    <w:rsid w:val="00910B04"/>
    <w:rsid w:val="009110B9"/>
    <w:rsid w:val="009110BB"/>
    <w:rsid w:val="0091119C"/>
    <w:rsid w:val="009115C6"/>
    <w:rsid w:val="00911E2F"/>
    <w:rsid w:val="009120A4"/>
    <w:rsid w:val="009120E1"/>
    <w:rsid w:val="00912135"/>
    <w:rsid w:val="00912386"/>
    <w:rsid w:val="009125B7"/>
    <w:rsid w:val="00912807"/>
    <w:rsid w:val="00912B1E"/>
    <w:rsid w:val="00912EE1"/>
    <w:rsid w:val="00912FFA"/>
    <w:rsid w:val="0091310F"/>
    <w:rsid w:val="00913E6C"/>
    <w:rsid w:val="00914230"/>
    <w:rsid w:val="009142EF"/>
    <w:rsid w:val="00914CB8"/>
    <w:rsid w:val="00914DA2"/>
    <w:rsid w:val="00915058"/>
    <w:rsid w:val="0091541A"/>
    <w:rsid w:val="00915649"/>
    <w:rsid w:val="0091579F"/>
    <w:rsid w:val="00915920"/>
    <w:rsid w:val="00915EA0"/>
    <w:rsid w:val="0091662F"/>
    <w:rsid w:val="0091686E"/>
    <w:rsid w:val="00916BC5"/>
    <w:rsid w:val="00917032"/>
    <w:rsid w:val="00917570"/>
    <w:rsid w:val="00917745"/>
    <w:rsid w:val="00920164"/>
    <w:rsid w:val="00920174"/>
    <w:rsid w:val="0092038F"/>
    <w:rsid w:val="0092059A"/>
    <w:rsid w:val="0092115F"/>
    <w:rsid w:val="00921445"/>
    <w:rsid w:val="00921900"/>
    <w:rsid w:val="009223BE"/>
    <w:rsid w:val="009224B1"/>
    <w:rsid w:val="009226BC"/>
    <w:rsid w:val="009228FB"/>
    <w:rsid w:val="009229D8"/>
    <w:rsid w:val="00922BC2"/>
    <w:rsid w:val="0092337B"/>
    <w:rsid w:val="0092359F"/>
    <w:rsid w:val="0092407C"/>
    <w:rsid w:val="00924217"/>
    <w:rsid w:val="00924408"/>
    <w:rsid w:val="00924636"/>
    <w:rsid w:val="00924804"/>
    <w:rsid w:val="00924884"/>
    <w:rsid w:val="00924C67"/>
    <w:rsid w:val="00924CFA"/>
    <w:rsid w:val="00925420"/>
    <w:rsid w:val="009257AE"/>
    <w:rsid w:val="00925959"/>
    <w:rsid w:val="0092692D"/>
    <w:rsid w:val="009269FD"/>
    <w:rsid w:val="00926B83"/>
    <w:rsid w:val="00926F0D"/>
    <w:rsid w:val="009273A6"/>
    <w:rsid w:val="009274A2"/>
    <w:rsid w:val="009278FD"/>
    <w:rsid w:val="00927C26"/>
    <w:rsid w:val="00927F9C"/>
    <w:rsid w:val="009300AE"/>
    <w:rsid w:val="009303A2"/>
    <w:rsid w:val="0093042F"/>
    <w:rsid w:val="00930524"/>
    <w:rsid w:val="00931032"/>
    <w:rsid w:val="009314C7"/>
    <w:rsid w:val="00931B57"/>
    <w:rsid w:val="00932061"/>
    <w:rsid w:val="009324C2"/>
    <w:rsid w:val="009330EF"/>
    <w:rsid w:val="009342F9"/>
    <w:rsid w:val="009346C8"/>
    <w:rsid w:val="00934A05"/>
    <w:rsid w:val="009350A2"/>
    <w:rsid w:val="00935764"/>
    <w:rsid w:val="00935E5C"/>
    <w:rsid w:val="00936316"/>
    <w:rsid w:val="00936C62"/>
    <w:rsid w:val="00936D51"/>
    <w:rsid w:val="00937067"/>
    <w:rsid w:val="0093717B"/>
    <w:rsid w:val="009375DD"/>
    <w:rsid w:val="009377F3"/>
    <w:rsid w:val="0094062F"/>
    <w:rsid w:val="0094078C"/>
    <w:rsid w:val="009407F2"/>
    <w:rsid w:val="00940829"/>
    <w:rsid w:val="00940CAA"/>
    <w:rsid w:val="00941AF6"/>
    <w:rsid w:val="00941E13"/>
    <w:rsid w:val="00942093"/>
    <w:rsid w:val="009430BD"/>
    <w:rsid w:val="00943324"/>
    <w:rsid w:val="00943B81"/>
    <w:rsid w:val="00944110"/>
    <w:rsid w:val="009442B2"/>
    <w:rsid w:val="0094476F"/>
    <w:rsid w:val="009451D7"/>
    <w:rsid w:val="009453BC"/>
    <w:rsid w:val="00945565"/>
    <w:rsid w:val="00945717"/>
    <w:rsid w:val="0094592F"/>
    <w:rsid w:val="00945A25"/>
    <w:rsid w:val="00945B23"/>
    <w:rsid w:val="00945C9F"/>
    <w:rsid w:val="00945EDA"/>
    <w:rsid w:val="00947416"/>
    <w:rsid w:val="0094783B"/>
    <w:rsid w:val="00947B33"/>
    <w:rsid w:val="00947C0C"/>
    <w:rsid w:val="00947E88"/>
    <w:rsid w:val="00950081"/>
    <w:rsid w:val="0095041D"/>
    <w:rsid w:val="0095042B"/>
    <w:rsid w:val="009507EB"/>
    <w:rsid w:val="0095098D"/>
    <w:rsid w:val="009509E8"/>
    <w:rsid w:val="009509FF"/>
    <w:rsid w:val="00950A81"/>
    <w:rsid w:val="00950A92"/>
    <w:rsid w:val="00950D92"/>
    <w:rsid w:val="00951B47"/>
    <w:rsid w:val="00952352"/>
    <w:rsid w:val="00952496"/>
    <w:rsid w:val="00952853"/>
    <w:rsid w:val="0095292E"/>
    <w:rsid w:val="00952FD4"/>
    <w:rsid w:val="009535D3"/>
    <w:rsid w:val="0095377F"/>
    <w:rsid w:val="00953B06"/>
    <w:rsid w:val="00953C20"/>
    <w:rsid w:val="00953CF1"/>
    <w:rsid w:val="00953E5C"/>
    <w:rsid w:val="00953FEC"/>
    <w:rsid w:val="0095401D"/>
    <w:rsid w:val="00954BCD"/>
    <w:rsid w:val="00954C42"/>
    <w:rsid w:val="00955ADE"/>
    <w:rsid w:val="00955FB0"/>
    <w:rsid w:val="00955FE0"/>
    <w:rsid w:val="00956037"/>
    <w:rsid w:val="0095622D"/>
    <w:rsid w:val="00956B65"/>
    <w:rsid w:val="00956CAB"/>
    <w:rsid w:val="00956CD7"/>
    <w:rsid w:val="00960427"/>
    <w:rsid w:val="009604A7"/>
    <w:rsid w:val="00960AF3"/>
    <w:rsid w:val="009620F3"/>
    <w:rsid w:val="00962149"/>
    <w:rsid w:val="00962287"/>
    <w:rsid w:val="00962353"/>
    <w:rsid w:val="00962613"/>
    <w:rsid w:val="009636EC"/>
    <w:rsid w:val="00963DF9"/>
    <w:rsid w:val="00964300"/>
    <w:rsid w:val="00964397"/>
    <w:rsid w:val="0096484F"/>
    <w:rsid w:val="009648CF"/>
    <w:rsid w:val="00965326"/>
    <w:rsid w:val="00965819"/>
    <w:rsid w:val="00967557"/>
    <w:rsid w:val="00967B8F"/>
    <w:rsid w:val="009700F4"/>
    <w:rsid w:val="00970DAA"/>
    <w:rsid w:val="0097107F"/>
    <w:rsid w:val="00973171"/>
    <w:rsid w:val="009734C2"/>
    <w:rsid w:val="009735C4"/>
    <w:rsid w:val="00973E37"/>
    <w:rsid w:val="00973F24"/>
    <w:rsid w:val="009740CA"/>
    <w:rsid w:val="009743AF"/>
    <w:rsid w:val="00974D92"/>
    <w:rsid w:val="009750C9"/>
    <w:rsid w:val="009753D7"/>
    <w:rsid w:val="00975549"/>
    <w:rsid w:val="00975D76"/>
    <w:rsid w:val="009760B4"/>
    <w:rsid w:val="009761BB"/>
    <w:rsid w:val="009761F3"/>
    <w:rsid w:val="0097682C"/>
    <w:rsid w:val="009773F4"/>
    <w:rsid w:val="00977536"/>
    <w:rsid w:val="00977741"/>
    <w:rsid w:val="009777E2"/>
    <w:rsid w:val="00980E6C"/>
    <w:rsid w:val="00980F29"/>
    <w:rsid w:val="00981603"/>
    <w:rsid w:val="0098163B"/>
    <w:rsid w:val="0098185D"/>
    <w:rsid w:val="00982213"/>
    <w:rsid w:val="009824F1"/>
    <w:rsid w:val="00982562"/>
    <w:rsid w:val="00982C76"/>
    <w:rsid w:val="00983294"/>
    <w:rsid w:val="00983424"/>
    <w:rsid w:val="0098349F"/>
    <w:rsid w:val="00983800"/>
    <w:rsid w:val="00983B38"/>
    <w:rsid w:val="00984055"/>
    <w:rsid w:val="0098463E"/>
    <w:rsid w:val="00984A83"/>
    <w:rsid w:val="00984F1F"/>
    <w:rsid w:val="00985022"/>
    <w:rsid w:val="0098505E"/>
    <w:rsid w:val="00985296"/>
    <w:rsid w:val="00985525"/>
    <w:rsid w:val="009858A4"/>
    <w:rsid w:val="00985A80"/>
    <w:rsid w:val="00985E86"/>
    <w:rsid w:val="009863E4"/>
    <w:rsid w:val="00986B3A"/>
    <w:rsid w:val="00986B47"/>
    <w:rsid w:val="009873F7"/>
    <w:rsid w:val="00987579"/>
    <w:rsid w:val="00987EA5"/>
    <w:rsid w:val="009904FC"/>
    <w:rsid w:val="00990A4F"/>
    <w:rsid w:val="00990D6F"/>
    <w:rsid w:val="00990E36"/>
    <w:rsid w:val="00991289"/>
    <w:rsid w:val="0099161D"/>
    <w:rsid w:val="00991AD5"/>
    <w:rsid w:val="00992512"/>
    <w:rsid w:val="009929FF"/>
    <w:rsid w:val="00992C18"/>
    <w:rsid w:val="00992CA5"/>
    <w:rsid w:val="00993035"/>
    <w:rsid w:val="00993694"/>
    <w:rsid w:val="009939A2"/>
    <w:rsid w:val="00994C13"/>
    <w:rsid w:val="00994C95"/>
    <w:rsid w:val="0099508F"/>
    <w:rsid w:val="00995A95"/>
    <w:rsid w:val="00995C2D"/>
    <w:rsid w:val="00995CE2"/>
    <w:rsid w:val="009964C8"/>
    <w:rsid w:val="00997579"/>
    <w:rsid w:val="009A0164"/>
    <w:rsid w:val="009A02D9"/>
    <w:rsid w:val="009A05F2"/>
    <w:rsid w:val="009A08FA"/>
    <w:rsid w:val="009A15F4"/>
    <w:rsid w:val="009A1AFC"/>
    <w:rsid w:val="009A1C4B"/>
    <w:rsid w:val="009A24B4"/>
    <w:rsid w:val="009A2878"/>
    <w:rsid w:val="009A2CFA"/>
    <w:rsid w:val="009A2DDA"/>
    <w:rsid w:val="009A30B4"/>
    <w:rsid w:val="009A3432"/>
    <w:rsid w:val="009A34A6"/>
    <w:rsid w:val="009A3692"/>
    <w:rsid w:val="009A3745"/>
    <w:rsid w:val="009A3E39"/>
    <w:rsid w:val="009A41F0"/>
    <w:rsid w:val="009A4807"/>
    <w:rsid w:val="009A4A89"/>
    <w:rsid w:val="009A4C73"/>
    <w:rsid w:val="009A503E"/>
    <w:rsid w:val="009A58BC"/>
    <w:rsid w:val="009A5BE5"/>
    <w:rsid w:val="009A5BFD"/>
    <w:rsid w:val="009A5D1B"/>
    <w:rsid w:val="009A6E98"/>
    <w:rsid w:val="009A70B3"/>
    <w:rsid w:val="009A75F1"/>
    <w:rsid w:val="009A7B87"/>
    <w:rsid w:val="009A7CA3"/>
    <w:rsid w:val="009A7ECC"/>
    <w:rsid w:val="009B035C"/>
    <w:rsid w:val="009B03DC"/>
    <w:rsid w:val="009B06FE"/>
    <w:rsid w:val="009B0D60"/>
    <w:rsid w:val="009B11E0"/>
    <w:rsid w:val="009B13EF"/>
    <w:rsid w:val="009B1462"/>
    <w:rsid w:val="009B1634"/>
    <w:rsid w:val="009B1811"/>
    <w:rsid w:val="009B1A3A"/>
    <w:rsid w:val="009B201C"/>
    <w:rsid w:val="009B2063"/>
    <w:rsid w:val="009B2467"/>
    <w:rsid w:val="009B2E47"/>
    <w:rsid w:val="009B2E83"/>
    <w:rsid w:val="009B3341"/>
    <w:rsid w:val="009B34D3"/>
    <w:rsid w:val="009B38E4"/>
    <w:rsid w:val="009B3EC6"/>
    <w:rsid w:val="009B59F3"/>
    <w:rsid w:val="009B5D61"/>
    <w:rsid w:val="009B6737"/>
    <w:rsid w:val="009B6A7E"/>
    <w:rsid w:val="009B727F"/>
    <w:rsid w:val="009B797F"/>
    <w:rsid w:val="009C0138"/>
    <w:rsid w:val="009C05B2"/>
    <w:rsid w:val="009C0B53"/>
    <w:rsid w:val="009C113C"/>
    <w:rsid w:val="009C14E1"/>
    <w:rsid w:val="009C15EB"/>
    <w:rsid w:val="009C1668"/>
    <w:rsid w:val="009C1A42"/>
    <w:rsid w:val="009C1AA4"/>
    <w:rsid w:val="009C1C3E"/>
    <w:rsid w:val="009C1CFE"/>
    <w:rsid w:val="009C1D8C"/>
    <w:rsid w:val="009C288B"/>
    <w:rsid w:val="009C2E33"/>
    <w:rsid w:val="009C3292"/>
    <w:rsid w:val="009C3802"/>
    <w:rsid w:val="009C39CF"/>
    <w:rsid w:val="009C4385"/>
    <w:rsid w:val="009C46BD"/>
    <w:rsid w:val="009C4D12"/>
    <w:rsid w:val="009C4E42"/>
    <w:rsid w:val="009C4F77"/>
    <w:rsid w:val="009C50ED"/>
    <w:rsid w:val="009C5115"/>
    <w:rsid w:val="009C5384"/>
    <w:rsid w:val="009C53C7"/>
    <w:rsid w:val="009C5968"/>
    <w:rsid w:val="009C59B2"/>
    <w:rsid w:val="009C59B5"/>
    <w:rsid w:val="009C5DD0"/>
    <w:rsid w:val="009C5DEE"/>
    <w:rsid w:val="009C600C"/>
    <w:rsid w:val="009C60D2"/>
    <w:rsid w:val="009C6152"/>
    <w:rsid w:val="009C645D"/>
    <w:rsid w:val="009C6EF0"/>
    <w:rsid w:val="009C6FCA"/>
    <w:rsid w:val="009C7040"/>
    <w:rsid w:val="009C7E22"/>
    <w:rsid w:val="009D0332"/>
    <w:rsid w:val="009D056E"/>
    <w:rsid w:val="009D0B42"/>
    <w:rsid w:val="009D0D62"/>
    <w:rsid w:val="009D0DF4"/>
    <w:rsid w:val="009D12F8"/>
    <w:rsid w:val="009D16FF"/>
    <w:rsid w:val="009D1B42"/>
    <w:rsid w:val="009D1D76"/>
    <w:rsid w:val="009D1FB3"/>
    <w:rsid w:val="009D2193"/>
    <w:rsid w:val="009D268F"/>
    <w:rsid w:val="009D26C6"/>
    <w:rsid w:val="009D2B16"/>
    <w:rsid w:val="009D31AC"/>
    <w:rsid w:val="009D359C"/>
    <w:rsid w:val="009D38AF"/>
    <w:rsid w:val="009D3B35"/>
    <w:rsid w:val="009D3C68"/>
    <w:rsid w:val="009D3D1A"/>
    <w:rsid w:val="009D3DEF"/>
    <w:rsid w:val="009D5686"/>
    <w:rsid w:val="009D5758"/>
    <w:rsid w:val="009D5979"/>
    <w:rsid w:val="009D5F6B"/>
    <w:rsid w:val="009D6E49"/>
    <w:rsid w:val="009D70EA"/>
    <w:rsid w:val="009D7EBD"/>
    <w:rsid w:val="009D7ECD"/>
    <w:rsid w:val="009E0166"/>
    <w:rsid w:val="009E058A"/>
    <w:rsid w:val="009E0947"/>
    <w:rsid w:val="009E0C85"/>
    <w:rsid w:val="009E0E60"/>
    <w:rsid w:val="009E13E7"/>
    <w:rsid w:val="009E14E7"/>
    <w:rsid w:val="009E1AEC"/>
    <w:rsid w:val="009E1B7E"/>
    <w:rsid w:val="009E1EBA"/>
    <w:rsid w:val="009E1F69"/>
    <w:rsid w:val="009E303D"/>
    <w:rsid w:val="009E39EE"/>
    <w:rsid w:val="009E46E8"/>
    <w:rsid w:val="009E46FC"/>
    <w:rsid w:val="009E4BED"/>
    <w:rsid w:val="009E4CD7"/>
    <w:rsid w:val="009E4F40"/>
    <w:rsid w:val="009E5270"/>
    <w:rsid w:val="009E56E3"/>
    <w:rsid w:val="009E5940"/>
    <w:rsid w:val="009E5971"/>
    <w:rsid w:val="009E59FA"/>
    <w:rsid w:val="009E652B"/>
    <w:rsid w:val="009E6EA8"/>
    <w:rsid w:val="009E72A4"/>
    <w:rsid w:val="009E74EE"/>
    <w:rsid w:val="009E7521"/>
    <w:rsid w:val="009E7643"/>
    <w:rsid w:val="009E784B"/>
    <w:rsid w:val="009E795B"/>
    <w:rsid w:val="009E7D27"/>
    <w:rsid w:val="009F0FA3"/>
    <w:rsid w:val="009F1076"/>
    <w:rsid w:val="009F121B"/>
    <w:rsid w:val="009F141D"/>
    <w:rsid w:val="009F190A"/>
    <w:rsid w:val="009F2215"/>
    <w:rsid w:val="009F2BCD"/>
    <w:rsid w:val="009F30CD"/>
    <w:rsid w:val="009F311C"/>
    <w:rsid w:val="009F3232"/>
    <w:rsid w:val="009F33AF"/>
    <w:rsid w:val="009F3536"/>
    <w:rsid w:val="009F3595"/>
    <w:rsid w:val="009F363D"/>
    <w:rsid w:val="009F3747"/>
    <w:rsid w:val="009F3A80"/>
    <w:rsid w:val="009F3BBF"/>
    <w:rsid w:val="009F420C"/>
    <w:rsid w:val="009F4474"/>
    <w:rsid w:val="009F4A8D"/>
    <w:rsid w:val="009F534E"/>
    <w:rsid w:val="009F5588"/>
    <w:rsid w:val="009F5F62"/>
    <w:rsid w:val="009F6563"/>
    <w:rsid w:val="009F690D"/>
    <w:rsid w:val="009F6F6C"/>
    <w:rsid w:val="009F70D0"/>
    <w:rsid w:val="009F722E"/>
    <w:rsid w:val="009F7A3A"/>
    <w:rsid w:val="009F7EBF"/>
    <w:rsid w:val="00A001D7"/>
    <w:rsid w:val="00A0094A"/>
    <w:rsid w:val="00A00B43"/>
    <w:rsid w:val="00A00CF1"/>
    <w:rsid w:val="00A00D01"/>
    <w:rsid w:val="00A0109A"/>
    <w:rsid w:val="00A011FC"/>
    <w:rsid w:val="00A0150C"/>
    <w:rsid w:val="00A01925"/>
    <w:rsid w:val="00A01B41"/>
    <w:rsid w:val="00A01BDD"/>
    <w:rsid w:val="00A020A7"/>
    <w:rsid w:val="00A027F7"/>
    <w:rsid w:val="00A028D0"/>
    <w:rsid w:val="00A02F56"/>
    <w:rsid w:val="00A03613"/>
    <w:rsid w:val="00A03A8C"/>
    <w:rsid w:val="00A03B2B"/>
    <w:rsid w:val="00A04672"/>
    <w:rsid w:val="00A04FD3"/>
    <w:rsid w:val="00A05EDB"/>
    <w:rsid w:val="00A06148"/>
    <w:rsid w:val="00A06865"/>
    <w:rsid w:val="00A0704D"/>
    <w:rsid w:val="00A074D8"/>
    <w:rsid w:val="00A106C7"/>
    <w:rsid w:val="00A10866"/>
    <w:rsid w:val="00A109AF"/>
    <w:rsid w:val="00A10B1D"/>
    <w:rsid w:val="00A11057"/>
    <w:rsid w:val="00A114BA"/>
    <w:rsid w:val="00A11617"/>
    <w:rsid w:val="00A11BD1"/>
    <w:rsid w:val="00A11CB4"/>
    <w:rsid w:val="00A11F24"/>
    <w:rsid w:val="00A120CA"/>
    <w:rsid w:val="00A1277F"/>
    <w:rsid w:val="00A129ED"/>
    <w:rsid w:val="00A129EF"/>
    <w:rsid w:val="00A12B02"/>
    <w:rsid w:val="00A12D1B"/>
    <w:rsid w:val="00A130E0"/>
    <w:rsid w:val="00A130E5"/>
    <w:rsid w:val="00A132B5"/>
    <w:rsid w:val="00A13325"/>
    <w:rsid w:val="00A13765"/>
    <w:rsid w:val="00A1389A"/>
    <w:rsid w:val="00A13C3C"/>
    <w:rsid w:val="00A13CA9"/>
    <w:rsid w:val="00A13D09"/>
    <w:rsid w:val="00A140B6"/>
    <w:rsid w:val="00A14D20"/>
    <w:rsid w:val="00A151A2"/>
    <w:rsid w:val="00A15210"/>
    <w:rsid w:val="00A15397"/>
    <w:rsid w:val="00A1559F"/>
    <w:rsid w:val="00A157AD"/>
    <w:rsid w:val="00A16641"/>
    <w:rsid w:val="00A16A1E"/>
    <w:rsid w:val="00A16DBD"/>
    <w:rsid w:val="00A1755E"/>
    <w:rsid w:val="00A1786B"/>
    <w:rsid w:val="00A17F24"/>
    <w:rsid w:val="00A2020E"/>
    <w:rsid w:val="00A20494"/>
    <w:rsid w:val="00A2059A"/>
    <w:rsid w:val="00A211D9"/>
    <w:rsid w:val="00A21272"/>
    <w:rsid w:val="00A21BE2"/>
    <w:rsid w:val="00A225E5"/>
    <w:rsid w:val="00A22708"/>
    <w:rsid w:val="00A227C5"/>
    <w:rsid w:val="00A22DA2"/>
    <w:rsid w:val="00A233C5"/>
    <w:rsid w:val="00A236DE"/>
    <w:rsid w:val="00A23A42"/>
    <w:rsid w:val="00A23BDE"/>
    <w:rsid w:val="00A23F7D"/>
    <w:rsid w:val="00A24527"/>
    <w:rsid w:val="00A25145"/>
    <w:rsid w:val="00A253E2"/>
    <w:rsid w:val="00A25508"/>
    <w:rsid w:val="00A258AE"/>
    <w:rsid w:val="00A25B67"/>
    <w:rsid w:val="00A25C35"/>
    <w:rsid w:val="00A2643E"/>
    <w:rsid w:val="00A26F32"/>
    <w:rsid w:val="00A316F7"/>
    <w:rsid w:val="00A31919"/>
    <w:rsid w:val="00A32521"/>
    <w:rsid w:val="00A32BAD"/>
    <w:rsid w:val="00A32DF9"/>
    <w:rsid w:val="00A3350D"/>
    <w:rsid w:val="00A34309"/>
    <w:rsid w:val="00A34490"/>
    <w:rsid w:val="00A35087"/>
    <w:rsid w:val="00A35324"/>
    <w:rsid w:val="00A35352"/>
    <w:rsid w:val="00A35575"/>
    <w:rsid w:val="00A358CF"/>
    <w:rsid w:val="00A36266"/>
    <w:rsid w:val="00A362AC"/>
    <w:rsid w:val="00A3702D"/>
    <w:rsid w:val="00A372A5"/>
    <w:rsid w:val="00A373E2"/>
    <w:rsid w:val="00A375AB"/>
    <w:rsid w:val="00A37701"/>
    <w:rsid w:val="00A37A56"/>
    <w:rsid w:val="00A37BAB"/>
    <w:rsid w:val="00A37C71"/>
    <w:rsid w:val="00A40E86"/>
    <w:rsid w:val="00A412F1"/>
    <w:rsid w:val="00A419D1"/>
    <w:rsid w:val="00A42061"/>
    <w:rsid w:val="00A42142"/>
    <w:rsid w:val="00A42CDF"/>
    <w:rsid w:val="00A42EC6"/>
    <w:rsid w:val="00A435CB"/>
    <w:rsid w:val="00A43683"/>
    <w:rsid w:val="00A44469"/>
    <w:rsid w:val="00A44CBB"/>
    <w:rsid w:val="00A4501C"/>
    <w:rsid w:val="00A45329"/>
    <w:rsid w:val="00A456CC"/>
    <w:rsid w:val="00A457EA"/>
    <w:rsid w:val="00A46477"/>
    <w:rsid w:val="00A4666A"/>
    <w:rsid w:val="00A467FE"/>
    <w:rsid w:val="00A47F29"/>
    <w:rsid w:val="00A500B9"/>
    <w:rsid w:val="00A505B3"/>
    <w:rsid w:val="00A5088E"/>
    <w:rsid w:val="00A50A99"/>
    <w:rsid w:val="00A50CC9"/>
    <w:rsid w:val="00A512F8"/>
    <w:rsid w:val="00A513EB"/>
    <w:rsid w:val="00A514BE"/>
    <w:rsid w:val="00A5169E"/>
    <w:rsid w:val="00A51BBB"/>
    <w:rsid w:val="00A51EC0"/>
    <w:rsid w:val="00A52E1B"/>
    <w:rsid w:val="00A53519"/>
    <w:rsid w:val="00A537CB"/>
    <w:rsid w:val="00A53F2A"/>
    <w:rsid w:val="00A541BC"/>
    <w:rsid w:val="00A54EFE"/>
    <w:rsid w:val="00A554E6"/>
    <w:rsid w:val="00A55AEA"/>
    <w:rsid w:val="00A55CD6"/>
    <w:rsid w:val="00A57666"/>
    <w:rsid w:val="00A576AC"/>
    <w:rsid w:val="00A57FE3"/>
    <w:rsid w:val="00A60265"/>
    <w:rsid w:val="00A61863"/>
    <w:rsid w:val="00A61B31"/>
    <w:rsid w:val="00A61CED"/>
    <w:rsid w:val="00A61E44"/>
    <w:rsid w:val="00A625AC"/>
    <w:rsid w:val="00A62764"/>
    <w:rsid w:val="00A63660"/>
    <w:rsid w:val="00A638AE"/>
    <w:rsid w:val="00A63A0B"/>
    <w:rsid w:val="00A63AD6"/>
    <w:rsid w:val="00A64759"/>
    <w:rsid w:val="00A64EBC"/>
    <w:rsid w:val="00A65478"/>
    <w:rsid w:val="00A65C0B"/>
    <w:rsid w:val="00A65C69"/>
    <w:rsid w:val="00A65D6D"/>
    <w:rsid w:val="00A65E31"/>
    <w:rsid w:val="00A6674E"/>
    <w:rsid w:val="00A66D0A"/>
    <w:rsid w:val="00A66D59"/>
    <w:rsid w:val="00A670BE"/>
    <w:rsid w:val="00A67898"/>
    <w:rsid w:val="00A679F1"/>
    <w:rsid w:val="00A67E23"/>
    <w:rsid w:val="00A7012B"/>
    <w:rsid w:val="00A702E9"/>
    <w:rsid w:val="00A703B8"/>
    <w:rsid w:val="00A70667"/>
    <w:rsid w:val="00A70693"/>
    <w:rsid w:val="00A70AB6"/>
    <w:rsid w:val="00A70B54"/>
    <w:rsid w:val="00A70EEA"/>
    <w:rsid w:val="00A71482"/>
    <w:rsid w:val="00A716F0"/>
    <w:rsid w:val="00A71CE4"/>
    <w:rsid w:val="00A7217A"/>
    <w:rsid w:val="00A73227"/>
    <w:rsid w:val="00A73526"/>
    <w:rsid w:val="00A73CD4"/>
    <w:rsid w:val="00A73CF7"/>
    <w:rsid w:val="00A73D62"/>
    <w:rsid w:val="00A73E92"/>
    <w:rsid w:val="00A7416D"/>
    <w:rsid w:val="00A743F7"/>
    <w:rsid w:val="00A758F7"/>
    <w:rsid w:val="00A75B71"/>
    <w:rsid w:val="00A75BD2"/>
    <w:rsid w:val="00A75D5E"/>
    <w:rsid w:val="00A75E7D"/>
    <w:rsid w:val="00A761F5"/>
    <w:rsid w:val="00A764BB"/>
    <w:rsid w:val="00A76FE6"/>
    <w:rsid w:val="00A773B9"/>
    <w:rsid w:val="00A776DD"/>
    <w:rsid w:val="00A77C61"/>
    <w:rsid w:val="00A805DA"/>
    <w:rsid w:val="00A8066C"/>
    <w:rsid w:val="00A8080A"/>
    <w:rsid w:val="00A8081E"/>
    <w:rsid w:val="00A815D0"/>
    <w:rsid w:val="00A81E9A"/>
    <w:rsid w:val="00A820DD"/>
    <w:rsid w:val="00A826D6"/>
    <w:rsid w:val="00A82A14"/>
    <w:rsid w:val="00A83313"/>
    <w:rsid w:val="00A838E1"/>
    <w:rsid w:val="00A840E1"/>
    <w:rsid w:val="00A841B3"/>
    <w:rsid w:val="00A8495F"/>
    <w:rsid w:val="00A85412"/>
    <w:rsid w:val="00A864D9"/>
    <w:rsid w:val="00A86F59"/>
    <w:rsid w:val="00A87616"/>
    <w:rsid w:val="00A87976"/>
    <w:rsid w:val="00A87BED"/>
    <w:rsid w:val="00A87DAD"/>
    <w:rsid w:val="00A9103D"/>
    <w:rsid w:val="00A91B75"/>
    <w:rsid w:val="00A91F46"/>
    <w:rsid w:val="00A91F48"/>
    <w:rsid w:val="00A9225B"/>
    <w:rsid w:val="00A931AD"/>
    <w:rsid w:val="00A93872"/>
    <w:rsid w:val="00A938EA"/>
    <w:rsid w:val="00A93B41"/>
    <w:rsid w:val="00A93C76"/>
    <w:rsid w:val="00A943D7"/>
    <w:rsid w:val="00A94784"/>
    <w:rsid w:val="00A94894"/>
    <w:rsid w:val="00A94A81"/>
    <w:rsid w:val="00A94AA6"/>
    <w:rsid w:val="00A94B45"/>
    <w:rsid w:val="00A94C27"/>
    <w:rsid w:val="00A956A5"/>
    <w:rsid w:val="00A95DAF"/>
    <w:rsid w:val="00A95DF6"/>
    <w:rsid w:val="00A96448"/>
    <w:rsid w:val="00A96A45"/>
    <w:rsid w:val="00A96E98"/>
    <w:rsid w:val="00A9704F"/>
    <w:rsid w:val="00A976A5"/>
    <w:rsid w:val="00A976C1"/>
    <w:rsid w:val="00A97FC3"/>
    <w:rsid w:val="00AA0133"/>
    <w:rsid w:val="00AA0B37"/>
    <w:rsid w:val="00AA1924"/>
    <w:rsid w:val="00AA1B12"/>
    <w:rsid w:val="00AA1E28"/>
    <w:rsid w:val="00AA2226"/>
    <w:rsid w:val="00AA2804"/>
    <w:rsid w:val="00AA2C9D"/>
    <w:rsid w:val="00AA344F"/>
    <w:rsid w:val="00AA3AA9"/>
    <w:rsid w:val="00AA3B5F"/>
    <w:rsid w:val="00AA3B8D"/>
    <w:rsid w:val="00AA3D10"/>
    <w:rsid w:val="00AA3FC9"/>
    <w:rsid w:val="00AA40F2"/>
    <w:rsid w:val="00AA46F3"/>
    <w:rsid w:val="00AA4BDA"/>
    <w:rsid w:val="00AA4F4C"/>
    <w:rsid w:val="00AA5347"/>
    <w:rsid w:val="00AA568B"/>
    <w:rsid w:val="00AA595E"/>
    <w:rsid w:val="00AA5CF0"/>
    <w:rsid w:val="00AA6764"/>
    <w:rsid w:val="00AA6883"/>
    <w:rsid w:val="00AA6F70"/>
    <w:rsid w:val="00AA78A1"/>
    <w:rsid w:val="00AA7EDD"/>
    <w:rsid w:val="00AA7FA8"/>
    <w:rsid w:val="00AB0061"/>
    <w:rsid w:val="00AB0318"/>
    <w:rsid w:val="00AB045C"/>
    <w:rsid w:val="00AB058C"/>
    <w:rsid w:val="00AB0C0E"/>
    <w:rsid w:val="00AB0C9D"/>
    <w:rsid w:val="00AB0DDA"/>
    <w:rsid w:val="00AB1152"/>
    <w:rsid w:val="00AB1A90"/>
    <w:rsid w:val="00AB1B8F"/>
    <w:rsid w:val="00AB21DD"/>
    <w:rsid w:val="00AB27A9"/>
    <w:rsid w:val="00AB2809"/>
    <w:rsid w:val="00AB2BD4"/>
    <w:rsid w:val="00AB2C81"/>
    <w:rsid w:val="00AB2CA3"/>
    <w:rsid w:val="00AB35A8"/>
    <w:rsid w:val="00AB4589"/>
    <w:rsid w:val="00AB4C1D"/>
    <w:rsid w:val="00AB5414"/>
    <w:rsid w:val="00AB55CB"/>
    <w:rsid w:val="00AB56B3"/>
    <w:rsid w:val="00AB5D9A"/>
    <w:rsid w:val="00AB5DE2"/>
    <w:rsid w:val="00AB6750"/>
    <w:rsid w:val="00AB6971"/>
    <w:rsid w:val="00AB6A5A"/>
    <w:rsid w:val="00AB6A97"/>
    <w:rsid w:val="00AB73D5"/>
    <w:rsid w:val="00AB790D"/>
    <w:rsid w:val="00AC0368"/>
    <w:rsid w:val="00AC040D"/>
    <w:rsid w:val="00AC0613"/>
    <w:rsid w:val="00AC0F6D"/>
    <w:rsid w:val="00AC1E31"/>
    <w:rsid w:val="00AC2086"/>
    <w:rsid w:val="00AC2091"/>
    <w:rsid w:val="00AC224F"/>
    <w:rsid w:val="00AC294C"/>
    <w:rsid w:val="00AC2B58"/>
    <w:rsid w:val="00AC2BCC"/>
    <w:rsid w:val="00AC3183"/>
    <w:rsid w:val="00AC3806"/>
    <w:rsid w:val="00AC39BA"/>
    <w:rsid w:val="00AC3B0A"/>
    <w:rsid w:val="00AC3C93"/>
    <w:rsid w:val="00AC4323"/>
    <w:rsid w:val="00AC4736"/>
    <w:rsid w:val="00AC6129"/>
    <w:rsid w:val="00AC6396"/>
    <w:rsid w:val="00AC64A0"/>
    <w:rsid w:val="00AC6804"/>
    <w:rsid w:val="00AC68BE"/>
    <w:rsid w:val="00AC72A5"/>
    <w:rsid w:val="00AC7340"/>
    <w:rsid w:val="00AC7A28"/>
    <w:rsid w:val="00AC7BFE"/>
    <w:rsid w:val="00AD03F5"/>
    <w:rsid w:val="00AD052A"/>
    <w:rsid w:val="00AD0AF2"/>
    <w:rsid w:val="00AD1377"/>
    <w:rsid w:val="00AD161D"/>
    <w:rsid w:val="00AD2525"/>
    <w:rsid w:val="00AD2FF1"/>
    <w:rsid w:val="00AD3A95"/>
    <w:rsid w:val="00AD3CCF"/>
    <w:rsid w:val="00AD3EDB"/>
    <w:rsid w:val="00AD3F02"/>
    <w:rsid w:val="00AD4888"/>
    <w:rsid w:val="00AD4A06"/>
    <w:rsid w:val="00AD4AE0"/>
    <w:rsid w:val="00AD58BB"/>
    <w:rsid w:val="00AD5B7B"/>
    <w:rsid w:val="00AD5D04"/>
    <w:rsid w:val="00AD5D32"/>
    <w:rsid w:val="00AD6886"/>
    <w:rsid w:val="00AD70C1"/>
    <w:rsid w:val="00AD7830"/>
    <w:rsid w:val="00AD79FF"/>
    <w:rsid w:val="00AD7C95"/>
    <w:rsid w:val="00AE146C"/>
    <w:rsid w:val="00AE165F"/>
    <w:rsid w:val="00AE1B80"/>
    <w:rsid w:val="00AE1D8D"/>
    <w:rsid w:val="00AE2041"/>
    <w:rsid w:val="00AE2499"/>
    <w:rsid w:val="00AE24B2"/>
    <w:rsid w:val="00AE2830"/>
    <w:rsid w:val="00AE289C"/>
    <w:rsid w:val="00AE2BDC"/>
    <w:rsid w:val="00AE32E4"/>
    <w:rsid w:val="00AE3318"/>
    <w:rsid w:val="00AE336A"/>
    <w:rsid w:val="00AE3545"/>
    <w:rsid w:val="00AE3727"/>
    <w:rsid w:val="00AE3835"/>
    <w:rsid w:val="00AE3A19"/>
    <w:rsid w:val="00AE3BF8"/>
    <w:rsid w:val="00AE4CA4"/>
    <w:rsid w:val="00AE503C"/>
    <w:rsid w:val="00AE5550"/>
    <w:rsid w:val="00AE595C"/>
    <w:rsid w:val="00AE5A12"/>
    <w:rsid w:val="00AE5D4A"/>
    <w:rsid w:val="00AE6398"/>
    <w:rsid w:val="00AE662F"/>
    <w:rsid w:val="00AE6907"/>
    <w:rsid w:val="00AE6BB4"/>
    <w:rsid w:val="00AE6E89"/>
    <w:rsid w:val="00AE6F6C"/>
    <w:rsid w:val="00AE7067"/>
    <w:rsid w:val="00AE731B"/>
    <w:rsid w:val="00AE744D"/>
    <w:rsid w:val="00AE7A64"/>
    <w:rsid w:val="00AE7CE0"/>
    <w:rsid w:val="00AE7ECC"/>
    <w:rsid w:val="00AF0039"/>
    <w:rsid w:val="00AF0387"/>
    <w:rsid w:val="00AF0444"/>
    <w:rsid w:val="00AF0F3D"/>
    <w:rsid w:val="00AF12AD"/>
    <w:rsid w:val="00AF224B"/>
    <w:rsid w:val="00AF2AD2"/>
    <w:rsid w:val="00AF37FF"/>
    <w:rsid w:val="00AF3818"/>
    <w:rsid w:val="00AF47D8"/>
    <w:rsid w:val="00AF4C02"/>
    <w:rsid w:val="00AF5020"/>
    <w:rsid w:val="00AF5724"/>
    <w:rsid w:val="00AF5938"/>
    <w:rsid w:val="00AF5E4E"/>
    <w:rsid w:val="00AF6070"/>
    <w:rsid w:val="00AF64C4"/>
    <w:rsid w:val="00AF686C"/>
    <w:rsid w:val="00AF6C0D"/>
    <w:rsid w:val="00AF6C21"/>
    <w:rsid w:val="00AF748D"/>
    <w:rsid w:val="00AF75ED"/>
    <w:rsid w:val="00AF793C"/>
    <w:rsid w:val="00AF79FA"/>
    <w:rsid w:val="00AF7E7F"/>
    <w:rsid w:val="00AF7FB8"/>
    <w:rsid w:val="00B0017F"/>
    <w:rsid w:val="00B0052C"/>
    <w:rsid w:val="00B00A07"/>
    <w:rsid w:val="00B01702"/>
    <w:rsid w:val="00B01804"/>
    <w:rsid w:val="00B01EC7"/>
    <w:rsid w:val="00B02097"/>
    <w:rsid w:val="00B020A5"/>
    <w:rsid w:val="00B020B5"/>
    <w:rsid w:val="00B028B6"/>
    <w:rsid w:val="00B02A2E"/>
    <w:rsid w:val="00B02A63"/>
    <w:rsid w:val="00B02ADE"/>
    <w:rsid w:val="00B02E08"/>
    <w:rsid w:val="00B02F63"/>
    <w:rsid w:val="00B0309C"/>
    <w:rsid w:val="00B035F8"/>
    <w:rsid w:val="00B03785"/>
    <w:rsid w:val="00B0391E"/>
    <w:rsid w:val="00B03F0E"/>
    <w:rsid w:val="00B03FEA"/>
    <w:rsid w:val="00B04106"/>
    <w:rsid w:val="00B048F0"/>
    <w:rsid w:val="00B04C34"/>
    <w:rsid w:val="00B0503B"/>
    <w:rsid w:val="00B057FB"/>
    <w:rsid w:val="00B0589F"/>
    <w:rsid w:val="00B05B9F"/>
    <w:rsid w:val="00B06163"/>
    <w:rsid w:val="00B0628E"/>
    <w:rsid w:val="00B07093"/>
    <w:rsid w:val="00B071BA"/>
    <w:rsid w:val="00B07253"/>
    <w:rsid w:val="00B073EB"/>
    <w:rsid w:val="00B075D1"/>
    <w:rsid w:val="00B1088A"/>
    <w:rsid w:val="00B10EA7"/>
    <w:rsid w:val="00B113E1"/>
    <w:rsid w:val="00B11B4C"/>
    <w:rsid w:val="00B11C24"/>
    <w:rsid w:val="00B11D09"/>
    <w:rsid w:val="00B1208F"/>
    <w:rsid w:val="00B12357"/>
    <w:rsid w:val="00B12509"/>
    <w:rsid w:val="00B12B7A"/>
    <w:rsid w:val="00B133C2"/>
    <w:rsid w:val="00B13793"/>
    <w:rsid w:val="00B13B33"/>
    <w:rsid w:val="00B13C71"/>
    <w:rsid w:val="00B141FA"/>
    <w:rsid w:val="00B1427E"/>
    <w:rsid w:val="00B145B6"/>
    <w:rsid w:val="00B14B40"/>
    <w:rsid w:val="00B151B0"/>
    <w:rsid w:val="00B15812"/>
    <w:rsid w:val="00B1744B"/>
    <w:rsid w:val="00B17465"/>
    <w:rsid w:val="00B17B98"/>
    <w:rsid w:val="00B17F86"/>
    <w:rsid w:val="00B20453"/>
    <w:rsid w:val="00B20CC1"/>
    <w:rsid w:val="00B20E28"/>
    <w:rsid w:val="00B20F25"/>
    <w:rsid w:val="00B20FE1"/>
    <w:rsid w:val="00B2194A"/>
    <w:rsid w:val="00B21BA1"/>
    <w:rsid w:val="00B22061"/>
    <w:rsid w:val="00B227E7"/>
    <w:rsid w:val="00B228DB"/>
    <w:rsid w:val="00B23025"/>
    <w:rsid w:val="00B233D0"/>
    <w:rsid w:val="00B249B6"/>
    <w:rsid w:val="00B24C02"/>
    <w:rsid w:val="00B24FEE"/>
    <w:rsid w:val="00B250DE"/>
    <w:rsid w:val="00B252FB"/>
    <w:rsid w:val="00B25347"/>
    <w:rsid w:val="00B25BC5"/>
    <w:rsid w:val="00B26321"/>
    <w:rsid w:val="00B27672"/>
    <w:rsid w:val="00B27765"/>
    <w:rsid w:val="00B2790D"/>
    <w:rsid w:val="00B3034A"/>
    <w:rsid w:val="00B305EA"/>
    <w:rsid w:val="00B30A90"/>
    <w:rsid w:val="00B312C0"/>
    <w:rsid w:val="00B31CB7"/>
    <w:rsid w:val="00B32CBD"/>
    <w:rsid w:val="00B33384"/>
    <w:rsid w:val="00B33424"/>
    <w:rsid w:val="00B34012"/>
    <w:rsid w:val="00B34022"/>
    <w:rsid w:val="00B34046"/>
    <w:rsid w:val="00B3436C"/>
    <w:rsid w:val="00B3449B"/>
    <w:rsid w:val="00B34585"/>
    <w:rsid w:val="00B3467E"/>
    <w:rsid w:val="00B34A76"/>
    <w:rsid w:val="00B34C2F"/>
    <w:rsid w:val="00B3559E"/>
    <w:rsid w:val="00B36487"/>
    <w:rsid w:val="00B36623"/>
    <w:rsid w:val="00B369F7"/>
    <w:rsid w:val="00B36AFC"/>
    <w:rsid w:val="00B3711D"/>
    <w:rsid w:val="00B37DC4"/>
    <w:rsid w:val="00B37F59"/>
    <w:rsid w:val="00B40433"/>
    <w:rsid w:val="00B407A8"/>
    <w:rsid w:val="00B409E9"/>
    <w:rsid w:val="00B40AC1"/>
    <w:rsid w:val="00B40CD2"/>
    <w:rsid w:val="00B41480"/>
    <w:rsid w:val="00B416A1"/>
    <w:rsid w:val="00B418DF"/>
    <w:rsid w:val="00B41FDE"/>
    <w:rsid w:val="00B42068"/>
    <w:rsid w:val="00B420EC"/>
    <w:rsid w:val="00B421B8"/>
    <w:rsid w:val="00B42C6D"/>
    <w:rsid w:val="00B43011"/>
    <w:rsid w:val="00B439DC"/>
    <w:rsid w:val="00B43C93"/>
    <w:rsid w:val="00B43D3E"/>
    <w:rsid w:val="00B43D9F"/>
    <w:rsid w:val="00B43F2F"/>
    <w:rsid w:val="00B43FA8"/>
    <w:rsid w:val="00B4400E"/>
    <w:rsid w:val="00B44094"/>
    <w:rsid w:val="00B440C8"/>
    <w:rsid w:val="00B443A2"/>
    <w:rsid w:val="00B44428"/>
    <w:rsid w:val="00B44613"/>
    <w:rsid w:val="00B447CC"/>
    <w:rsid w:val="00B44C90"/>
    <w:rsid w:val="00B450B1"/>
    <w:rsid w:val="00B45767"/>
    <w:rsid w:val="00B46293"/>
    <w:rsid w:val="00B463CF"/>
    <w:rsid w:val="00B46588"/>
    <w:rsid w:val="00B46D0F"/>
    <w:rsid w:val="00B46DF6"/>
    <w:rsid w:val="00B46F8C"/>
    <w:rsid w:val="00B46FF4"/>
    <w:rsid w:val="00B47223"/>
    <w:rsid w:val="00B47491"/>
    <w:rsid w:val="00B4754E"/>
    <w:rsid w:val="00B4796F"/>
    <w:rsid w:val="00B479E6"/>
    <w:rsid w:val="00B47CF0"/>
    <w:rsid w:val="00B500C3"/>
    <w:rsid w:val="00B503FF"/>
    <w:rsid w:val="00B50535"/>
    <w:rsid w:val="00B50ABD"/>
    <w:rsid w:val="00B50BCA"/>
    <w:rsid w:val="00B51137"/>
    <w:rsid w:val="00B51184"/>
    <w:rsid w:val="00B512B0"/>
    <w:rsid w:val="00B5154E"/>
    <w:rsid w:val="00B5172C"/>
    <w:rsid w:val="00B518BF"/>
    <w:rsid w:val="00B51A29"/>
    <w:rsid w:val="00B52345"/>
    <w:rsid w:val="00B52AAB"/>
    <w:rsid w:val="00B53115"/>
    <w:rsid w:val="00B53B65"/>
    <w:rsid w:val="00B54407"/>
    <w:rsid w:val="00B544A5"/>
    <w:rsid w:val="00B544CA"/>
    <w:rsid w:val="00B5454F"/>
    <w:rsid w:val="00B5540A"/>
    <w:rsid w:val="00B56AC0"/>
    <w:rsid w:val="00B56B4E"/>
    <w:rsid w:val="00B56EF3"/>
    <w:rsid w:val="00B57314"/>
    <w:rsid w:val="00B57476"/>
    <w:rsid w:val="00B578FA"/>
    <w:rsid w:val="00B579E1"/>
    <w:rsid w:val="00B57ED9"/>
    <w:rsid w:val="00B60732"/>
    <w:rsid w:val="00B6192A"/>
    <w:rsid w:val="00B61BC0"/>
    <w:rsid w:val="00B61C05"/>
    <w:rsid w:val="00B625B7"/>
    <w:rsid w:val="00B627B5"/>
    <w:rsid w:val="00B6309C"/>
    <w:rsid w:val="00B632D7"/>
    <w:rsid w:val="00B63574"/>
    <w:rsid w:val="00B639D4"/>
    <w:rsid w:val="00B64005"/>
    <w:rsid w:val="00B64210"/>
    <w:rsid w:val="00B6421B"/>
    <w:rsid w:val="00B649BF"/>
    <w:rsid w:val="00B650B4"/>
    <w:rsid w:val="00B652C4"/>
    <w:rsid w:val="00B652E7"/>
    <w:rsid w:val="00B65347"/>
    <w:rsid w:val="00B6549E"/>
    <w:rsid w:val="00B65BB0"/>
    <w:rsid w:val="00B65DF9"/>
    <w:rsid w:val="00B66323"/>
    <w:rsid w:val="00B66639"/>
    <w:rsid w:val="00B66B8F"/>
    <w:rsid w:val="00B66FC1"/>
    <w:rsid w:val="00B671BB"/>
    <w:rsid w:val="00B673EC"/>
    <w:rsid w:val="00B67778"/>
    <w:rsid w:val="00B679DA"/>
    <w:rsid w:val="00B67A63"/>
    <w:rsid w:val="00B67B4C"/>
    <w:rsid w:val="00B67C00"/>
    <w:rsid w:val="00B67FA5"/>
    <w:rsid w:val="00B70436"/>
    <w:rsid w:val="00B70BBC"/>
    <w:rsid w:val="00B70F13"/>
    <w:rsid w:val="00B7199B"/>
    <w:rsid w:val="00B7227F"/>
    <w:rsid w:val="00B7244D"/>
    <w:rsid w:val="00B726D5"/>
    <w:rsid w:val="00B72EF8"/>
    <w:rsid w:val="00B72F9C"/>
    <w:rsid w:val="00B73636"/>
    <w:rsid w:val="00B7420C"/>
    <w:rsid w:val="00B742BC"/>
    <w:rsid w:val="00B7431A"/>
    <w:rsid w:val="00B74485"/>
    <w:rsid w:val="00B74C25"/>
    <w:rsid w:val="00B75822"/>
    <w:rsid w:val="00B7585D"/>
    <w:rsid w:val="00B75AC2"/>
    <w:rsid w:val="00B75AE7"/>
    <w:rsid w:val="00B76339"/>
    <w:rsid w:val="00B764E5"/>
    <w:rsid w:val="00B76759"/>
    <w:rsid w:val="00B76A57"/>
    <w:rsid w:val="00B76B01"/>
    <w:rsid w:val="00B77A26"/>
    <w:rsid w:val="00B77DB5"/>
    <w:rsid w:val="00B8009D"/>
    <w:rsid w:val="00B8023D"/>
    <w:rsid w:val="00B803D5"/>
    <w:rsid w:val="00B808F6"/>
    <w:rsid w:val="00B80960"/>
    <w:rsid w:val="00B81848"/>
    <w:rsid w:val="00B81F58"/>
    <w:rsid w:val="00B828CE"/>
    <w:rsid w:val="00B82A63"/>
    <w:rsid w:val="00B83099"/>
    <w:rsid w:val="00B83274"/>
    <w:rsid w:val="00B832C0"/>
    <w:rsid w:val="00B83323"/>
    <w:rsid w:val="00B83E9B"/>
    <w:rsid w:val="00B84E32"/>
    <w:rsid w:val="00B85023"/>
    <w:rsid w:val="00B855A3"/>
    <w:rsid w:val="00B8597C"/>
    <w:rsid w:val="00B85B76"/>
    <w:rsid w:val="00B86613"/>
    <w:rsid w:val="00B86AA0"/>
    <w:rsid w:val="00B86F24"/>
    <w:rsid w:val="00B86FB1"/>
    <w:rsid w:val="00B87247"/>
    <w:rsid w:val="00B874CD"/>
    <w:rsid w:val="00B87501"/>
    <w:rsid w:val="00B87780"/>
    <w:rsid w:val="00B87CFA"/>
    <w:rsid w:val="00B87E49"/>
    <w:rsid w:val="00B9013D"/>
    <w:rsid w:val="00B9054A"/>
    <w:rsid w:val="00B90747"/>
    <w:rsid w:val="00B909BC"/>
    <w:rsid w:val="00B90B8A"/>
    <w:rsid w:val="00B90D10"/>
    <w:rsid w:val="00B910BB"/>
    <w:rsid w:val="00B910D5"/>
    <w:rsid w:val="00B912E0"/>
    <w:rsid w:val="00B9184A"/>
    <w:rsid w:val="00B91B86"/>
    <w:rsid w:val="00B921C3"/>
    <w:rsid w:val="00B92239"/>
    <w:rsid w:val="00B92497"/>
    <w:rsid w:val="00B926E6"/>
    <w:rsid w:val="00B92A2F"/>
    <w:rsid w:val="00B931C6"/>
    <w:rsid w:val="00B93236"/>
    <w:rsid w:val="00B9376D"/>
    <w:rsid w:val="00B93B5A"/>
    <w:rsid w:val="00B93DF8"/>
    <w:rsid w:val="00B94618"/>
    <w:rsid w:val="00B949C1"/>
    <w:rsid w:val="00B94A56"/>
    <w:rsid w:val="00B94E0D"/>
    <w:rsid w:val="00B95507"/>
    <w:rsid w:val="00B956A4"/>
    <w:rsid w:val="00B958F1"/>
    <w:rsid w:val="00B95C5A"/>
    <w:rsid w:val="00B95EEA"/>
    <w:rsid w:val="00B965A8"/>
    <w:rsid w:val="00B966E0"/>
    <w:rsid w:val="00B971A5"/>
    <w:rsid w:val="00B97224"/>
    <w:rsid w:val="00B975E4"/>
    <w:rsid w:val="00B97B3E"/>
    <w:rsid w:val="00B97D25"/>
    <w:rsid w:val="00B97F22"/>
    <w:rsid w:val="00BA0193"/>
    <w:rsid w:val="00BA0787"/>
    <w:rsid w:val="00BA18BE"/>
    <w:rsid w:val="00BA2DA9"/>
    <w:rsid w:val="00BA3598"/>
    <w:rsid w:val="00BA3DD2"/>
    <w:rsid w:val="00BA3F01"/>
    <w:rsid w:val="00BA4438"/>
    <w:rsid w:val="00BA520E"/>
    <w:rsid w:val="00BA532E"/>
    <w:rsid w:val="00BA557C"/>
    <w:rsid w:val="00BA5854"/>
    <w:rsid w:val="00BA63C2"/>
    <w:rsid w:val="00BA63E3"/>
    <w:rsid w:val="00BA6671"/>
    <w:rsid w:val="00BA67CD"/>
    <w:rsid w:val="00BA6B9B"/>
    <w:rsid w:val="00BA6BE6"/>
    <w:rsid w:val="00BA7437"/>
    <w:rsid w:val="00BA7570"/>
    <w:rsid w:val="00BA79B8"/>
    <w:rsid w:val="00BA7B58"/>
    <w:rsid w:val="00BA7C8A"/>
    <w:rsid w:val="00BA7DC7"/>
    <w:rsid w:val="00BB000F"/>
    <w:rsid w:val="00BB0C7E"/>
    <w:rsid w:val="00BB1346"/>
    <w:rsid w:val="00BB13A1"/>
    <w:rsid w:val="00BB15F1"/>
    <w:rsid w:val="00BB16DD"/>
    <w:rsid w:val="00BB1AA9"/>
    <w:rsid w:val="00BB1E1C"/>
    <w:rsid w:val="00BB20E2"/>
    <w:rsid w:val="00BB211D"/>
    <w:rsid w:val="00BB274A"/>
    <w:rsid w:val="00BB2CAE"/>
    <w:rsid w:val="00BB3554"/>
    <w:rsid w:val="00BB3D6C"/>
    <w:rsid w:val="00BB3FBA"/>
    <w:rsid w:val="00BB46F7"/>
    <w:rsid w:val="00BB4728"/>
    <w:rsid w:val="00BB4A7C"/>
    <w:rsid w:val="00BB5325"/>
    <w:rsid w:val="00BB5350"/>
    <w:rsid w:val="00BB5BEB"/>
    <w:rsid w:val="00BB5C45"/>
    <w:rsid w:val="00BB61F0"/>
    <w:rsid w:val="00BB6467"/>
    <w:rsid w:val="00BB685D"/>
    <w:rsid w:val="00BB6C72"/>
    <w:rsid w:val="00BB6E9E"/>
    <w:rsid w:val="00BB6ECF"/>
    <w:rsid w:val="00BB6F3D"/>
    <w:rsid w:val="00BB7389"/>
    <w:rsid w:val="00BB75B7"/>
    <w:rsid w:val="00BB7C5C"/>
    <w:rsid w:val="00BB7EF9"/>
    <w:rsid w:val="00BC050D"/>
    <w:rsid w:val="00BC056D"/>
    <w:rsid w:val="00BC0795"/>
    <w:rsid w:val="00BC091D"/>
    <w:rsid w:val="00BC1261"/>
    <w:rsid w:val="00BC15DA"/>
    <w:rsid w:val="00BC1B91"/>
    <w:rsid w:val="00BC2086"/>
    <w:rsid w:val="00BC2862"/>
    <w:rsid w:val="00BC2E6E"/>
    <w:rsid w:val="00BC345A"/>
    <w:rsid w:val="00BC3B04"/>
    <w:rsid w:val="00BC3BDE"/>
    <w:rsid w:val="00BC3E4C"/>
    <w:rsid w:val="00BC478E"/>
    <w:rsid w:val="00BC5696"/>
    <w:rsid w:val="00BC5897"/>
    <w:rsid w:val="00BC59B4"/>
    <w:rsid w:val="00BC5BB2"/>
    <w:rsid w:val="00BC5C1D"/>
    <w:rsid w:val="00BC5D36"/>
    <w:rsid w:val="00BC63A1"/>
    <w:rsid w:val="00BC7573"/>
    <w:rsid w:val="00BC76F2"/>
    <w:rsid w:val="00BC782F"/>
    <w:rsid w:val="00BC7A5B"/>
    <w:rsid w:val="00BC7F23"/>
    <w:rsid w:val="00BD014C"/>
    <w:rsid w:val="00BD0264"/>
    <w:rsid w:val="00BD0D46"/>
    <w:rsid w:val="00BD11A4"/>
    <w:rsid w:val="00BD12E8"/>
    <w:rsid w:val="00BD1FF0"/>
    <w:rsid w:val="00BD23B4"/>
    <w:rsid w:val="00BD2F02"/>
    <w:rsid w:val="00BD3185"/>
    <w:rsid w:val="00BD3245"/>
    <w:rsid w:val="00BD32A4"/>
    <w:rsid w:val="00BD359A"/>
    <w:rsid w:val="00BD35EA"/>
    <w:rsid w:val="00BD3A67"/>
    <w:rsid w:val="00BD3E66"/>
    <w:rsid w:val="00BD4802"/>
    <w:rsid w:val="00BD49D1"/>
    <w:rsid w:val="00BD52D8"/>
    <w:rsid w:val="00BD6916"/>
    <w:rsid w:val="00BD69AA"/>
    <w:rsid w:val="00BD6AB5"/>
    <w:rsid w:val="00BD6B10"/>
    <w:rsid w:val="00BD6BB8"/>
    <w:rsid w:val="00BD6C1C"/>
    <w:rsid w:val="00BD6FF1"/>
    <w:rsid w:val="00BD729E"/>
    <w:rsid w:val="00BD73C1"/>
    <w:rsid w:val="00BD788A"/>
    <w:rsid w:val="00BE0975"/>
    <w:rsid w:val="00BE0B34"/>
    <w:rsid w:val="00BE0BF1"/>
    <w:rsid w:val="00BE0FF4"/>
    <w:rsid w:val="00BE13BF"/>
    <w:rsid w:val="00BE14B7"/>
    <w:rsid w:val="00BE15D9"/>
    <w:rsid w:val="00BE219B"/>
    <w:rsid w:val="00BE259C"/>
    <w:rsid w:val="00BE2DDD"/>
    <w:rsid w:val="00BE2FCA"/>
    <w:rsid w:val="00BE3082"/>
    <w:rsid w:val="00BE3BBE"/>
    <w:rsid w:val="00BE4009"/>
    <w:rsid w:val="00BE4225"/>
    <w:rsid w:val="00BE4229"/>
    <w:rsid w:val="00BE4390"/>
    <w:rsid w:val="00BE44AC"/>
    <w:rsid w:val="00BE4BFF"/>
    <w:rsid w:val="00BE5214"/>
    <w:rsid w:val="00BE58C5"/>
    <w:rsid w:val="00BE5A34"/>
    <w:rsid w:val="00BE5E41"/>
    <w:rsid w:val="00BE5E70"/>
    <w:rsid w:val="00BE5E80"/>
    <w:rsid w:val="00BE6378"/>
    <w:rsid w:val="00BE6445"/>
    <w:rsid w:val="00BE6734"/>
    <w:rsid w:val="00BE6BD8"/>
    <w:rsid w:val="00BE74A4"/>
    <w:rsid w:val="00BE7565"/>
    <w:rsid w:val="00BE77E9"/>
    <w:rsid w:val="00BF01AD"/>
    <w:rsid w:val="00BF03EB"/>
    <w:rsid w:val="00BF0573"/>
    <w:rsid w:val="00BF05CF"/>
    <w:rsid w:val="00BF0DEC"/>
    <w:rsid w:val="00BF2424"/>
    <w:rsid w:val="00BF2834"/>
    <w:rsid w:val="00BF299A"/>
    <w:rsid w:val="00BF3988"/>
    <w:rsid w:val="00BF41A8"/>
    <w:rsid w:val="00BF44A6"/>
    <w:rsid w:val="00BF4A2F"/>
    <w:rsid w:val="00BF4EE7"/>
    <w:rsid w:val="00BF4F92"/>
    <w:rsid w:val="00BF5ED2"/>
    <w:rsid w:val="00BF6826"/>
    <w:rsid w:val="00BF7002"/>
    <w:rsid w:val="00BF7254"/>
    <w:rsid w:val="00BF78A8"/>
    <w:rsid w:val="00BF78B8"/>
    <w:rsid w:val="00BF7AE9"/>
    <w:rsid w:val="00BF7E03"/>
    <w:rsid w:val="00BF7FCD"/>
    <w:rsid w:val="00C000EA"/>
    <w:rsid w:val="00C00423"/>
    <w:rsid w:val="00C00794"/>
    <w:rsid w:val="00C007AC"/>
    <w:rsid w:val="00C00D57"/>
    <w:rsid w:val="00C00ED6"/>
    <w:rsid w:val="00C00FDF"/>
    <w:rsid w:val="00C01015"/>
    <w:rsid w:val="00C01903"/>
    <w:rsid w:val="00C01E62"/>
    <w:rsid w:val="00C023FC"/>
    <w:rsid w:val="00C02413"/>
    <w:rsid w:val="00C026B1"/>
    <w:rsid w:val="00C03110"/>
    <w:rsid w:val="00C03135"/>
    <w:rsid w:val="00C035F0"/>
    <w:rsid w:val="00C03636"/>
    <w:rsid w:val="00C036AF"/>
    <w:rsid w:val="00C03F7C"/>
    <w:rsid w:val="00C0403A"/>
    <w:rsid w:val="00C044D7"/>
    <w:rsid w:val="00C04595"/>
    <w:rsid w:val="00C047C7"/>
    <w:rsid w:val="00C049B2"/>
    <w:rsid w:val="00C04FC4"/>
    <w:rsid w:val="00C05419"/>
    <w:rsid w:val="00C05652"/>
    <w:rsid w:val="00C05EAF"/>
    <w:rsid w:val="00C060FF"/>
    <w:rsid w:val="00C06756"/>
    <w:rsid w:val="00C068CA"/>
    <w:rsid w:val="00C069BC"/>
    <w:rsid w:val="00C070DA"/>
    <w:rsid w:val="00C0728D"/>
    <w:rsid w:val="00C07616"/>
    <w:rsid w:val="00C0764F"/>
    <w:rsid w:val="00C077F7"/>
    <w:rsid w:val="00C077F9"/>
    <w:rsid w:val="00C0783A"/>
    <w:rsid w:val="00C106D8"/>
    <w:rsid w:val="00C10998"/>
    <w:rsid w:val="00C10F85"/>
    <w:rsid w:val="00C114C4"/>
    <w:rsid w:val="00C117AB"/>
    <w:rsid w:val="00C1193A"/>
    <w:rsid w:val="00C121D2"/>
    <w:rsid w:val="00C123D4"/>
    <w:rsid w:val="00C12740"/>
    <w:rsid w:val="00C12B1E"/>
    <w:rsid w:val="00C12E27"/>
    <w:rsid w:val="00C12E4C"/>
    <w:rsid w:val="00C13224"/>
    <w:rsid w:val="00C13806"/>
    <w:rsid w:val="00C138D8"/>
    <w:rsid w:val="00C13938"/>
    <w:rsid w:val="00C13AC3"/>
    <w:rsid w:val="00C13B68"/>
    <w:rsid w:val="00C140EF"/>
    <w:rsid w:val="00C146D9"/>
    <w:rsid w:val="00C14EF9"/>
    <w:rsid w:val="00C152CE"/>
    <w:rsid w:val="00C1545C"/>
    <w:rsid w:val="00C15981"/>
    <w:rsid w:val="00C15B0D"/>
    <w:rsid w:val="00C15BDC"/>
    <w:rsid w:val="00C16A3B"/>
    <w:rsid w:val="00C16F76"/>
    <w:rsid w:val="00C17565"/>
    <w:rsid w:val="00C179D2"/>
    <w:rsid w:val="00C17C9F"/>
    <w:rsid w:val="00C200C8"/>
    <w:rsid w:val="00C20555"/>
    <w:rsid w:val="00C206C4"/>
    <w:rsid w:val="00C20951"/>
    <w:rsid w:val="00C20A40"/>
    <w:rsid w:val="00C20C30"/>
    <w:rsid w:val="00C2121E"/>
    <w:rsid w:val="00C2128F"/>
    <w:rsid w:val="00C215B0"/>
    <w:rsid w:val="00C215BB"/>
    <w:rsid w:val="00C21B0E"/>
    <w:rsid w:val="00C21D3F"/>
    <w:rsid w:val="00C21E82"/>
    <w:rsid w:val="00C220E9"/>
    <w:rsid w:val="00C225C2"/>
    <w:rsid w:val="00C22D3C"/>
    <w:rsid w:val="00C22FB7"/>
    <w:rsid w:val="00C232DF"/>
    <w:rsid w:val="00C23C85"/>
    <w:rsid w:val="00C23DD6"/>
    <w:rsid w:val="00C23FEF"/>
    <w:rsid w:val="00C2435E"/>
    <w:rsid w:val="00C24498"/>
    <w:rsid w:val="00C24912"/>
    <w:rsid w:val="00C249ED"/>
    <w:rsid w:val="00C24A08"/>
    <w:rsid w:val="00C24A4C"/>
    <w:rsid w:val="00C24BF5"/>
    <w:rsid w:val="00C25246"/>
    <w:rsid w:val="00C254CE"/>
    <w:rsid w:val="00C25679"/>
    <w:rsid w:val="00C25A94"/>
    <w:rsid w:val="00C26104"/>
    <w:rsid w:val="00C26450"/>
    <w:rsid w:val="00C264B8"/>
    <w:rsid w:val="00C269CE"/>
    <w:rsid w:val="00C271B9"/>
    <w:rsid w:val="00C274A2"/>
    <w:rsid w:val="00C27CF8"/>
    <w:rsid w:val="00C27D0B"/>
    <w:rsid w:val="00C27EF9"/>
    <w:rsid w:val="00C303AA"/>
    <w:rsid w:val="00C304D4"/>
    <w:rsid w:val="00C30A17"/>
    <w:rsid w:val="00C30EB0"/>
    <w:rsid w:val="00C31134"/>
    <w:rsid w:val="00C32120"/>
    <w:rsid w:val="00C32207"/>
    <w:rsid w:val="00C3290A"/>
    <w:rsid w:val="00C32C2B"/>
    <w:rsid w:val="00C32EC4"/>
    <w:rsid w:val="00C32ECA"/>
    <w:rsid w:val="00C34127"/>
    <w:rsid w:val="00C34211"/>
    <w:rsid w:val="00C34408"/>
    <w:rsid w:val="00C34742"/>
    <w:rsid w:val="00C3495D"/>
    <w:rsid w:val="00C349DF"/>
    <w:rsid w:val="00C34A4D"/>
    <w:rsid w:val="00C34C71"/>
    <w:rsid w:val="00C34F49"/>
    <w:rsid w:val="00C350DD"/>
    <w:rsid w:val="00C35474"/>
    <w:rsid w:val="00C35D03"/>
    <w:rsid w:val="00C35F5E"/>
    <w:rsid w:val="00C376F3"/>
    <w:rsid w:val="00C3792A"/>
    <w:rsid w:val="00C37C05"/>
    <w:rsid w:val="00C37EE9"/>
    <w:rsid w:val="00C406A8"/>
    <w:rsid w:val="00C40741"/>
    <w:rsid w:val="00C40C69"/>
    <w:rsid w:val="00C4103B"/>
    <w:rsid w:val="00C411D3"/>
    <w:rsid w:val="00C41680"/>
    <w:rsid w:val="00C417A1"/>
    <w:rsid w:val="00C41C17"/>
    <w:rsid w:val="00C41C87"/>
    <w:rsid w:val="00C41CC0"/>
    <w:rsid w:val="00C42769"/>
    <w:rsid w:val="00C429C0"/>
    <w:rsid w:val="00C42CCC"/>
    <w:rsid w:val="00C42FF8"/>
    <w:rsid w:val="00C430DC"/>
    <w:rsid w:val="00C43A4E"/>
    <w:rsid w:val="00C43D33"/>
    <w:rsid w:val="00C43DD9"/>
    <w:rsid w:val="00C43F6F"/>
    <w:rsid w:val="00C4400B"/>
    <w:rsid w:val="00C440B2"/>
    <w:rsid w:val="00C446D5"/>
    <w:rsid w:val="00C44870"/>
    <w:rsid w:val="00C44C9B"/>
    <w:rsid w:val="00C450B5"/>
    <w:rsid w:val="00C451F2"/>
    <w:rsid w:val="00C454EA"/>
    <w:rsid w:val="00C4580D"/>
    <w:rsid w:val="00C45892"/>
    <w:rsid w:val="00C46120"/>
    <w:rsid w:val="00C4613C"/>
    <w:rsid w:val="00C46A6F"/>
    <w:rsid w:val="00C470FC"/>
    <w:rsid w:val="00C476DA"/>
    <w:rsid w:val="00C47C38"/>
    <w:rsid w:val="00C47D04"/>
    <w:rsid w:val="00C50000"/>
    <w:rsid w:val="00C509E7"/>
    <w:rsid w:val="00C50A8D"/>
    <w:rsid w:val="00C50EB6"/>
    <w:rsid w:val="00C5287E"/>
    <w:rsid w:val="00C53892"/>
    <w:rsid w:val="00C538EB"/>
    <w:rsid w:val="00C5402E"/>
    <w:rsid w:val="00C54239"/>
    <w:rsid w:val="00C5437B"/>
    <w:rsid w:val="00C54F3A"/>
    <w:rsid w:val="00C55211"/>
    <w:rsid w:val="00C552EF"/>
    <w:rsid w:val="00C56150"/>
    <w:rsid w:val="00C56732"/>
    <w:rsid w:val="00C56927"/>
    <w:rsid w:val="00C577C5"/>
    <w:rsid w:val="00C57804"/>
    <w:rsid w:val="00C57899"/>
    <w:rsid w:val="00C57A17"/>
    <w:rsid w:val="00C602F0"/>
    <w:rsid w:val="00C60388"/>
    <w:rsid w:val="00C60784"/>
    <w:rsid w:val="00C60A47"/>
    <w:rsid w:val="00C60AFD"/>
    <w:rsid w:val="00C610EF"/>
    <w:rsid w:val="00C6146D"/>
    <w:rsid w:val="00C61904"/>
    <w:rsid w:val="00C61B34"/>
    <w:rsid w:val="00C6219D"/>
    <w:rsid w:val="00C62285"/>
    <w:rsid w:val="00C62B82"/>
    <w:rsid w:val="00C62D0A"/>
    <w:rsid w:val="00C6311F"/>
    <w:rsid w:val="00C63FCC"/>
    <w:rsid w:val="00C64543"/>
    <w:rsid w:val="00C64F21"/>
    <w:rsid w:val="00C6532D"/>
    <w:rsid w:val="00C653D1"/>
    <w:rsid w:val="00C65B39"/>
    <w:rsid w:val="00C65B54"/>
    <w:rsid w:val="00C65FED"/>
    <w:rsid w:val="00C66328"/>
    <w:rsid w:val="00C664D0"/>
    <w:rsid w:val="00C66516"/>
    <w:rsid w:val="00C66549"/>
    <w:rsid w:val="00C666F6"/>
    <w:rsid w:val="00C67140"/>
    <w:rsid w:val="00C67362"/>
    <w:rsid w:val="00C67626"/>
    <w:rsid w:val="00C67885"/>
    <w:rsid w:val="00C7065D"/>
    <w:rsid w:val="00C709D6"/>
    <w:rsid w:val="00C70A1E"/>
    <w:rsid w:val="00C712A2"/>
    <w:rsid w:val="00C7185A"/>
    <w:rsid w:val="00C71DD8"/>
    <w:rsid w:val="00C720EF"/>
    <w:rsid w:val="00C72348"/>
    <w:rsid w:val="00C7273B"/>
    <w:rsid w:val="00C72BFF"/>
    <w:rsid w:val="00C73801"/>
    <w:rsid w:val="00C73B81"/>
    <w:rsid w:val="00C750FD"/>
    <w:rsid w:val="00C76476"/>
    <w:rsid w:val="00C7656F"/>
    <w:rsid w:val="00C765BF"/>
    <w:rsid w:val="00C76C00"/>
    <w:rsid w:val="00C76D19"/>
    <w:rsid w:val="00C76D20"/>
    <w:rsid w:val="00C76D98"/>
    <w:rsid w:val="00C7703B"/>
    <w:rsid w:val="00C7748C"/>
    <w:rsid w:val="00C774B8"/>
    <w:rsid w:val="00C774E0"/>
    <w:rsid w:val="00C77640"/>
    <w:rsid w:val="00C777CC"/>
    <w:rsid w:val="00C80792"/>
    <w:rsid w:val="00C80B49"/>
    <w:rsid w:val="00C80D4F"/>
    <w:rsid w:val="00C81FA6"/>
    <w:rsid w:val="00C8201F"/>
    <w:rsid w:val="00C82CD8"/>
    <w:rsid w:val="00C82CE4"/>
    <w:rsid w:val="00C82DD1"/>
    <w:rsid w:val="00C83858"/>
    <w:rsid w:val="00C83ACD"/>
    <w:rsid w:val="00C83AD1"/>
    <w:rsid w:val="00C83ADB"/>
    <w:rsid w:val="00C841A8"/>
    <w:rsid w:val="00C84354"/>
    <w:rsid w:val="00C849DC"/>
    <w:rsid w:val="00C84C75"/>
    <w:rsid w:val="00C85516"/>
    <w:rsid w:val="00C85577"/>
    <w:rsid w:val="00C8558C"/>
    <w:rsid w:val="00C86B29"/>
    <w:rsid w:val="00C86F6A"/>
    <w:rsid w:val="00C876C3"/>
    <w:rsid w:val="00C877A9"/>
    <w:rsid w:val="00C87AA4"/>
    <w:rsid w:val="00C90255"/>
    <w:rsid w:val="00C906DA"/>
    <w:rsid w:val="00C910B5"/>
    <w:rsid w:val="00C9146C"/>
    <w:rsid w:val="00C91DCB"/>
    <w:rsid w:val="00C91E28"/>
    <w:rsid w:val="00C91ED8"/>
    <w:rsid w:val="00C92225"/>
    <w:rsid w:val="00C92D75"/>
    <w:rsid w:val="00C935F1"/>
    <w:rsid w:val="00C939B8"/>
    <w:rsid w:val="00C93B13"/>
    <w:rsid w:val="00C9423B"/>
    <w:rsid w:val="00C942CD"/>
    <w:rsid w:val="00C94348"/>
    <w:rsid w:val="00C94820"/>
    <w:rsid w:val="00C94E04"/>
    <w:rsid w:val="00C95692"/>
    <w:rsid w:val="00C96DD3"/>
    <w:rsid w:val="00C96F6E"/>
    <w:rsid w:val="00C96FF3"/>
    <w:rsid w:val="00C97359"/>
    <w:rsid w:val="00C97454"/>
    <w:rsid w:val="00C97473"/>
    <w:rsid w:val="00C9788C"/>
    <w:rsid w:val="00C978AE"/>
    <w:rsid w:val="00C97B35"/>
    <w:rsid w:val="00CA00C6"/>
    <w:rsid w:val="00CA03A1"/>
    <w:rsid w:val="00CA0821"/>
    <w:rsid w:val="00CA085C"/>
    <w:rsid w:val="00CA125E"/>
    <w:rsid w:val="00CA1447"/>
    <w:rsid w:val="00CA1472"/>
    <w:rsid w:val="00CA1551"/>
    <w:rsid w:val="00CA1767"/>
    <w:rsid w:val="00CA2333"/>
    <w:rsid w:val="00CA27CC"/>
    <w:rsid w:val="00CA27F5"/>
    <w:rsid w:val="00CA2A80"/>
    <w:rsid w:val="00CA2BEE"/>
    <w:rsid w:val="00CA3439"/>
    <w:rsid w:val="00CA3504"/>
    <w:rsid w:val="00CA36CC"/>
    <w:rsid w:val="00CA371C"/>
    <w:rsid w:val="00CA42BD"/>
    <w:rsid w:val="00CA44F2"/>
    <w:rsid w:val="00CA47D4"/>
    <w:rsid w:val="00CA48EA"/>
    <w:rsid w:val="00CA4E2E"/>
    <w:rsid w:val="00CA513F"/>
    <w:rsid w:val="00CA585D"/>
    <w:rsid w:val="00CA58CF"/>
    <w:rsid w:val="00CA61E1"/>
    <w:rsid w:val="00CA62C5"/>
    <w:rsid w:val="00CA77D9"/>
    <w:rsid w:val="00CA7B10"/>
    <w:rsid w:val="00CA7DCB"/>
    <w:rsid w:val="00CB04FA"/>
    <w:rsid w:val="00CB0785"/>
    <w:rsid w:val="00CB0DA3"/>
    <w:rsid w:val="00CB155B"/>
    <w:rsid w:val="00CB16A7"/>
    <w:rsid w:val="00CB1769"/>
    <w:rsid w:val="00CB182C"/>
    <w:rsid w:val="00CB1C4D"/>
    <w:rsid w:val="00CB1CC3"/>
    <w:rsid w:val="00CB1DF7"/>
    <w:rsid w:val="00CB1FB3"/>
    <w:rsid w:val="00CB2352"/>
    <w:rsid w:val="00CB27FC"/>
    <w:rsid w:val="00CB388B"/>
    <w:rsid w:val="00CB43BB"/>
    <w:rsid w:val="00CB43F7"/>
    <w:rsid w:val="00CB4514"/>
    <w:rsid w:val="00CB4907"/>
    <w:rsid w:val="00CB4B32"/>
    <w:rsid w:val="00CB4C16"/>
    <w:rsid w:val="00CB4C9E"/>
    <w:rsid w:val="00CB55AB"/>
    <w:rsid w:val="00CB5E73"/>
    <w:rsid w:val="00CB69CA"/>
    <w:rsid w:val="00CB6C06"/>
    <w:rsid w:val="00CB6C7B"/>
    <w:rsid w:val="00CB70A7"/>
    <w:rsid w:val="00CB7523"/>
    <w:rsid w:val="00CB77DD"/>
    <w:rsid w:val="00CB7B2E"/>
    <w:rsid w:val="00CC0620"/>
    <w:rsid w:val="00CC08D4"/>
    <w:rsid w:val="00CC0985"/>
    <w:rsid w:val="00CC0DBC"/>
    <w:rsid w:val="00CC1FFD"/>
    <w:rsid w:val="00CC23D5"/>
    <w:rsid w:val="00CC2529"/>
    <w:rsid w:val="00CC26F1"/>
    <w:rsid w:val="00CC2899"/>
    <w:rsid w:val="00CC28A8"/>
    <w:rsid w:val="00CC2D1C"/>
    <w:rsid w:val="00CC3019"/>
    <w:rsid w:val="00CC3212"/>
    <w:rsid w:val="00CC33AF"/>
    <w:rsid w:val="00CC3512"/>
    <w:rsid w:val="00CC3E55"/>
    <w:rsid w:val="00CC4356"/>
    <w:rsid w:val="00CC444E"/>
    <w:rsid w:val="00CC480C"/>
    <w:rsid w:val="00CC4B32"/>
    <w:rsid w:val="00CC51B4"/>
    <w:rsid w:val="00CC53A9"/>
    <w:rsid w:val="00CC5B8C"/>
    <w:rsid w:val="00CC5C43"/>
    <w:rsid w:val="00CC5CCB"/>
    <w:rsid w:val="00CC5DF0"/>
    <w:rsid w:val="00CC6267"/>
    <w:rsid w:val="00CC654D"/>
    <w:rsid w:val="00CC71E5"/>
    <w:rsid w:val="00CC759B"/>
    <w:rsid w:val="00CC7F4C"/>
    <w:rsid w:val="00CD0176"/>
    <w:rsid w:val="00CD065E"/>
    <w:rsid w:val="00CD06AF"/>
    <w:rsid w:val="00CD09CE"/>
    <w:rsid w:val="00CD0D52"/>
    <w:rsid w:val="00CD0F46"/>
    <w:rsid w:val="00CD1B54"/>
    <w:rsid w:val="00CD1D4A"/>
    <w:rsid w:val="00CD1F2E"/>
    <w:rsid w:val="00CD2005"/>
    <w:rsid w:val="00CD2096"/>
    <w:rsid w:val="00CD2552"/>
    <w:rsid w:val="00CD2922"/>
    <w:rsid w:val="00CD3687"/>
    <w:rsid w:val="00CD3758"/>
    <w:rsid w:val="00CD3799"/>
    <w:rsid w:val="00CD3ABF"/>
    <w:rsid w:val="00CD3EAC"/>
    <w:rsid w:val="00CD4097"/>
    <w:rsid w:val="00CD43FC"/>
    <w:rsid w:val="00CD46D6"/>
    <w:rsid w:val="00CD5004"/>
    <w:rsid w:val="00CD5701"/>
    <w:rsid w:val="00CD5C73"/>
    <w:rsid w:val="00CD5D4B"/>
    <w:rsid w:val="00CD602F"/>
    <w:rsid w:val="00CD69AE"/>
    <w:rsid w:val="00CD79B8"/>
    <w:rsid w:val="00CD7A1C"/>
    <w:rsid w:val="00CE09B9"/>
    <w:rsid w:val="00CE111F"/>
    <w:rsid w:val="00CE1205"/>
    <w:rsid w:val="00CE13C3"/>
    <w:rsid w:val="00CE151F"/>
    <w:rsid w:val="00CE1684"/>
    <w:rsid w:val="00CE180E"/>
    <w:rsid w:val="00CE1B90"/>
    <w:rsid w:val="00CE1D73"/>
    <w:rsid w:val="00CE2696"/>
    <w:rsid w:val="00CE2B1B"/>
    <w:rsid w:val="00CE2C3A"/>
    <w:rsid w:val="00CE37E9"/>
    <w:rsid w:val="00CE3923"/>
    <w:rsid w:val="00CE3CB2"/>
    <w:rsid w:val="00CE405D"/>
    <w:rsid w:val="00CE4205"/>
    <w:rsid w:val="00CE4A72"/>
    <w:rsid w:val="00CE52BF"/>
    <w:rsid w:val="00CE5F9A"/>
    <w:rsid w:val="00CE6173"/>
    <w:rsid w:val="00CE61D4"/>
    <w:rsid w:val="00CE67FE"/>
    <w:rsid w:val="00CE6B6B"/>
    <w:rsid w:val="00CE7DF9"/>
    <w:rsid w:val="00CE7E22"/>
    <w:rsid w:val="00CE7F45"/>
    <w:rsid w:val="00CF0047"/>
    <w:rsid w:val="00CF00E1"/>
    <w:rsid w:val="00CF0680"/>
    <w:rsid w:val="00CF0AC6"/>
    <w:rsid w:val="00CF0B5D"/>
    <w:rsid w:val="00CF13A0"/>
    <w:rsid w:val="00CF1C21"/>
    <w:rsid w:val="00CF23A9"/>
    <w:rsid w:val="00CF2987"/>
    <w:rsid w:val="00CF2D4A"/>
    <w:rsid w:val="00CF2DF6"/>
    <w:rsid w:val="00CF4733"/>
    <w:rsid w:val="00CF482B"/>
    <w:rsid w:val="00CF482F"/>
    <w:rsid w:val="00CF4CE1"/>
    <w:rsid w:val="00CF4E93"/>
    <w:rsid w:val="00CF5948"/>
    <w:rsid w:val="00CF5CC4"/>
    <w:rsid w:val="00CF6072"/>
    <w:rsid w:val="00CF6B9B"/>
    <w:rsid w:val="00CF6ED2"/>
    <w:rsid w:val="00CF77FD"/>
    <w:rsid w:val="00D002F4"/>
    <w:rsid w:val="00D00788"/>
    <w:rsid w:val="00D012DF"/>
    <w:rsid w:val="00D0170D"/>
    <w:rsid w:val="00D01762"/>
    <w:rsid w:val="00D01D67"/>
    <w:rsid w:val="00D0238D"/>
    <w:rsid w:val="00D0283F"/>
    <w:rsid w:val="00D02C2A"/>
    <w:rsid w:val="00D03175"/>
    <w:rsid w:val="00D03327"/>
    <w:rsid w:val="00D03608"/>
    <w:rsid w:val="00D036F4"/>
    <w:rsid w:val="00D03E84"/>
    <w:rsid w:val="00D03E99"/>
    <w:rsid w:val="00D040B4"/>
    <w:rsid w:val="00D046E0"/>
    <w:rsid w:val="00D04D5E"/>
    <w:rsid w:val="00D04ED9"/>
    <w:rsid w:val="00D04F39"/>
    <w:rsid w:val="00D058DA"/>
    <w:rsid w:val="00D059B8"/>
    <w:rsid w:val="00D05A76"/>
    <w:rsid w:val="00D0666E"/>
    <w:rsid w:val="00D06AD7"/>
    <w:rsid w:val="00D06AF9"/>
    <w:rsid w:val="00D06C3E"/>
    <w:rsid w:val="00D07250"/>
    <w:rsid w:val="00D07B4D"/>
    <w:rsid w:val="00D07BA2"/>
    <w:rsid w:val="00D10000"/>
    <w:rsid w:val="00D11350"/>
    <w:rsid w:val="00D120B7"/>
    <w:rsid w:val="00D12C27"/>
    <w:rsid w:val="00D12DEF"/>
    <w:rsid w:val="00D12F18"/>
    <w:rsid w:val="00D132BB"/>
    <w:rsid w:val="00D13C98"/>
    <w:rsid w:val="00D14E18"/>
    <w:rsid w:val="00D15321"/>
    <w:rsid w:val="00D1578E"/>
    <w:rsid w:val="00D15A9C"/>
    <w:rsid w:val="00D15D82"/>
    <w:rsid w:val="00D160B4"/>
    <w:rsid w:val="00D16907"/>
    <w:rsid w:val="00D1690C"/>
    <w:rsid w:val="00D16B7E"/>
    <w:rsid w:val="00D16C49"/>
    <w:rsid w:val="00D16E03"/>
    <w:rsid w:val="00D170C1"/>
    <w:rsid w:val="00D17245"/>
    <w:rsid w:val="00D17E23"/>
    <w:rsid w:val="00D20236"/>
    <w:rsid w:val="00D204F2"/>
    <w:rsid w:val="00D2064A"/>
    <w:rsid w:val="00D207F8"/>
    <w:rsid w:val="00D20985"/>
    <w:rsid w:val="00D21027"/>
    <w:rsid w:val="00D2171A"/>
    <w:rsid w:val="00D225D2"/>
    <w:rsid w:val="00D22883"/>
    <w:rsid w:val="00D22E3C"/>
    <w:rsid w:val="00D2304A"/>
    <w:rsid w:val="00D232EA"/>
    <w:rsid w:val="00D23577"/>
    <w:rsid w:val="00D23837"/>
    <w:rsid w:val="00D23D06"/>
    <w:rsid w:val="00D2425E"/>
    <w:rsid w:val="00D24441"/>
    <w:rsid w:val="00D247F3"/>
    <w:rsid w:val="00D24A2E"/>
    <w:rsid w:val="00D252EE"/>
    <w:rsid w:val="00D25648"/>
    <w:rsid w:val="00D25952"/>
    <w:rsid w:val="00D25968"/>
    <w:rsid w:val="00D25E03"/>
    <w:rsid w:val="00D2602A"/>
    <w:rsid w:val="00D263F5"/>
    <w:rsid w:val="00D26870"/>
    <w:rsid w:val="00D27369"/>
    <w:rsid w:val="00D277C7"/>
    <w:rsid w:val="00D27C8B"/>
    <w:rsid w:val="00D27F0C"/>
    <w:rsid w:val="00D30487"/>
    <w:rsid w:val="00D304E4"/>
    <w:rsid w:val="00D30AE8"/>
    <w:rsid w:val="00D30CB1"/>
    <w:rsid w:val="00D317FE"/>
    <w:rsid w:val="00D343DC"/>
    <w:rsid w:val="00D346C2"/>
    <w:rsid w:val="00D3475D"/>
    <w:rsid w:val="00D34BEE"/>
    <w:rsid w:val="00D34DB8"/>
    <w:rsid w:val="00D35928"/>
    <w:rsid w:val="00D3597F"/>
    <w:rsid w:val="00D359AE"/>
    <w:rsid w:val="00D35BFD"/>
    <w:rsid w:val="00D35C85"/>
    <w:rsid w:val="00D36C88"/>
    <w:rsid w:val="00D37152"/>
    <w:rsid w:val="00D37A38"/>
    <w:rsid w:val="00D37CF3"/>
    <w:rsid w:val="00D40162"/>
    <w:rsid w:val="00D4033A"/>
    <w:rsid w:val="00D41037"/>
    <w:rsid w:val="00D41263"/>
    <w:rsid w:val="00D41520"/>
    <w:rsid w:val="00D417C7"/>
    <w:rsid w:val="00D4183F"/>
    <w:rsid w:val="00D418B3"/>
    <w:rsid w:val="00D4252C"/>
    <w:rsid w:val="00D42614"/>
    <w:rsid w:val="00D42B05"/>
    <w:rsid w:val="00D42CFE"/>
    <w:rsid w:val="00D42D6C"/>
    <w:rsid w:val="00D4308D"/>
    <w:rsid w:val="00D43330"/>
    <w:rsid w:val="00D438FA"/>
    <w:rsid w:val="00D44865"/>
    <w:rsid w:val="00D44B93"/>
    <w:rsid w:val="00D45255"/>
    <w:rsid w:val="00D45891"/>
    <w:rsid w:val="00D45C77"/>
    <w:rsid w:val="00D45F41"/>
    <w:rsid w:val="00D4605B"/>
    <w:rsid w:val="00D46838"/>
    <w:rsid w:val="00D4690E"/>
    <w:rsid w:val="00D46CBB"/>
    <w:rsid w:val="00D47250"/>
    <w:rsid w:val="00D4741E"/>
    <w:rsid w:val="00D5034A"/>
    <w:rsid w:val="00D504D4"/>
    <w:rsid w:val="00D50502"/>
    <w:rsid w:val="00D506A0"/>
    <w:rsid w:val="00D50C82"/>
    <w:rsid w:val="00D510D9"/>
    <w:rsid w:val="00D51416"/>
    <w:rsid w:val="00D52407"/>
    <w:rsid w:val="00D52533"/>
    <w:rsid w:val="00D5310E"/>
    <w:rsid w:val="00D53286"/>
    <w:rsid w:val="00D5395F"/>
    <w:rsid w:val="00D540ED"/>
    <w:rsid w:val="00D54281"/>
    <w:rsid w:val="00D54A4F"/>
    <w:rsid w:val="00D54DD9"/>
    <w:rsid w:val="00D55625"/>
    <w:rsid w:val="00D556F0"/>
    <w:rsid w:val="00D55E79"/>
    <w:rsid w:val="00D55F3E"/>
    <w:rsid w:val="00D560B6"/>
    <w:rsid w:val="00D5614F"/>
    <w:rsid w:val="00D569F3"/>
    <w:rsid w:val="00D56FDA"/>
    <w:rsid w:val="00D5734A"/>
    <w:rsid w:val="00D574AE"/>
    <w:rsid w:val="00D57686"/>
    <w:rsid w:val="00D57D40"/>
    <w:rsid w:val="00D57F64"/>
    <w:rsid w:val="00D60248"/>
    <w:rsid w:val="00D6026D"/>
    <w:rsid w:val="00D604B5"/>
    <w:rsid w:val="00D605F3"/>
    <w:rsid w:val="00D60F1B"/>
    <w:rsid w:val="00D61248"/>
    <w:rsid w:val="00D618AA"/>
    <w:rsid w:val="00D61BB3"/>
    <w:rsid w:val="00D621EE"/>
    <w:rsid w:val="00D623ED"/>
    <w:rsid w:val="00D62A3A"/>
    <w:rsid w:val="00D6315D"/>
    <w:rsid w:val="00D633F4"/>
    <w:rsid w:val="00D63810"/>
    <w:rsid w:val="00D63837"/>
    <w:rsid w:val="00D638FD"/>
    <w:rsid w:val="00D63FD7"/>
    <w:rsid w:val="00D64205"/>
    <w:rsid w:val="00D64879"/>
    <w:rsid w:val="00D649AB"/>
    <w:rsid w:val="00D650E3"/>
    <w:rsid w:val="00D65691"/>
    <w:rsid w:val="00D65813"/>
    <w:rsid w:val="00D6617A"/>
    <w:rsid w:val="00D6651F"/>
    <w:rsid w:val="00D6652F"/>
    <w:rsid w:val="00D667A3"/>
    <w:rsid w:val="00D671D9"/>
    <w:rsid w:val="00D67273"/>
    <w:rsid w:val="00D675A1"/>
    <w:rsid w:val="00D67AEA"/>
    <w:rsid w:val="00D70433"/>
    <w:rsid w:val="00D70E8B"/>
    <w:rsid w:val="00D71177"/>
    <w:rsid w:val="00D7121D"/>
    <w:rsid w:val="00D71CF2"/>
    <w:rsid w:val="00D724A1"/>
    <w:rsid w:val="00D727C8"/>
    <w:rsid w:val="00D7290D"/>
    <w:rsid w:val="00D730F3"/>
    <w:rsid w:val="00D733A6"/>
    <w:rsid w:val="00D736C9"/>
    <w:rsid w:val="00D73BEC"/>
    <w:rsid w:val="00D73DC9"/>
    <w:rsid w:val="00D741C3"/>
    <w:rsid w:val="00D74406"/>
    <w:rsid w:val="00D74870"/>
    <w:rsid w:val="00D74BC9"/>
    <w:rsid w:val="00D751CA"/>
    <w:rsid w:val="00D7573E"/>
    <w:rsid w:val="00D75968"/>
    <w:rsid w:val="00D75D42"/>
    <w:rsid w:val="00D75FD7"/>
    <w:rsid w:val="00D76678"/>
    <w:rsid w:val="00D76B6C"/>
    <w:rsid w:val="00D778A5"/>
    <w:rsid w:val="00D77B32"/>
    <w:rsid w:val="00D77B75"/>
    <w:rsid w:val="00D77D5F"/>
    <w:rsid w:val="00D77D6F"/>
    <w:rsid w:val="00D80069"/>
    <w:rsid w:val="00D80818"/>
    <w:rsid w:val="00D81969"/>
    <w:rsid w:val="00D81999"/>
    <w:rsid w:val="00D81B2B"/>
    <w:rsid w:val="00D81CAB"/>
    <w:rsid w:val="00D81F17"/>
    <w:rsid w:val="00D825D8"/>
    <w:rsid w:val="00D828B0"/>
    <w:rsid w:val="00D82D89"/>
    <w:rsid w:val="00D83123"/>
    <w:rsid w:val="00D83391"/>
    <w:rsid w:val="00D83C39"/>
    <w:rsid w:val="00D83DD0"/>
    <w:rsid w:val="00D83DE7"/>
    <w:rsid w:val="00D83ECA"/>
    <w:rsid w:val="00D83EE1"/>
    <w:rsid w:val="00D844B8"/>
    <w:rsid w:val="00D84654"/>
    <w:rsid w:val="00D84B2D"/>
    <w:rsid w:val="00D84D5F"/>
    <w:rsid w:val="00D84DEA"/>
    <w:rsid w:val="00D84FF4"/>
    <w:rsid w:val="00D853EB"/>
    <w:rsid w:val="00D85534"/>
    <w:rsid w:val="00D857B1"/>
    <w:rsid w:val="00D85A18"/>
    <w:rsid w:val="00D85B95"/>
    <w:rsid w:val="00D862F7"/>
    <w:rsid w:val="00D8705D"/>
    <w:rsid w:val="00D876C2"/>
    <w:rsid w:val="00D87747"/>
    <w:rsid w:val="00D87AF6"/>
    <w:rsid w:val="00D87E9F"/>
    <w:rsid w:val="00D9007F"/>
    <w:rsid w:val="00D90276"/>
    <w:rsid w:val="00D907E6"/>
    <w:rsid w:val="00D90EF9"/>
    <w:rsid w:val="00D91070"/>
    <w:rsid w:val="00D91AAF"/>
    <w:rsid w:val="00D9238F"/>
    <w:rsid w:val="00D932CE"/>
    <w:rsid w:val="00D93D9D"/>
    <w:rsid w:val="00D93FB0"/>
    <w:rsid w:val="00D9490F"/>
    <w:rsid w:val="00D94F61"/>
    <w:rsid w:val="00D95054"/>
    <w:rsid w:val="00D95E99"/>
    <w:rsid w:val="00D964AE"/>
    <w:rsid w:val="00D9663A"/>
    <w:rsid w:val="00D96C84"/>
    <w:rsid w:val="00D96EDE"/>
    <w:rsid w:val="00D970BC"/>
    <w:rsid w:val="00D975AB"/>
    <w:rsid w:val="00D97C3B"/>
    <w:rsid w:val="00DA01ED"/>
    <w:rsid w:val="00DA0237"/>
    <w:rsid w:val="00DA045D"/>
    <w:rsid w:val="00DA0479"/>
    <w:rsid w:val="00DA067B"/>
    <w:rsid w:val="00DA0B54"/>
    <w:rsid w:val="00DA0CDE"/>
    <w:rsid w:val="00DA1055"/>
    <w:rsid w:val="00DA11CB"/>
    <w:rsid w:val="00DA1A7F"/>
    <w:rsid w:val="00DA1B7D"/>
    <w:rsid w:val="00DA1D4F"/>
    <w:rsid w:val="00DA28D2"/>
    <w:rsid w:val="00DA2F2C"/>
    <w:rsid w:val="00DA347D"/>
    <w:rsid w:val="00DA357C"/>
    <w:rsid w:val="00DA3AD8"/>
    <w:rsid w:val="00DA3B7A"/>
    <w:rsid w:val="00DA3C75"/>
    <w:rsid w:val="00DA40C8"/>
    <w:rsid w:val="00DA40E8"/>
    <w:rsid w:val="00DA437D"/>
    <w:rsid w:val="00DA43AA"/>
    <w:rsid w:val="00DA4A60"/>
    <w:rsid w:val="00DA519B"/>
    <w:rsid w:val="00DA5479"/>
    <w:rsid w:val="00DA557E"/>
    <w:rsid w:val="00DA55D1"/>
    <w:rsid w:val="00DA57E3"/>
    <w:rsid w:val="00DA5D16"/>
    <w:rsid w:val="00DA6014"/>
    <w:rsid w:val="00DA6106"/>
    <w:rsid w:val="00DA6230"/>
    <w:rsid w:val="00DA68C1"/>
    <w:rsid w:val="00DA6DF1"/>
    <w:rsid w:val="00DA76AA"/>
    <w:rsid w:val="00DA7917"/>
    <w:rsid w:val="00DA79D4"/>
    <w:rsid w:val="00DB0822"/>
    <w:rsid w:val="00DB0ABF"/>
    <w:rsid w:val="00DB1D32"/>
    <w:rsid w:val="00DB279F"/>
    <w:rsid w:val="00DB2931"/>
    <w:rsid w:val="00DB2988"/>
    <w:rsid w:val="00DB2B2E"/>
    <w:rsid w:val="00DB2E3B"/>
    <w:rsid w:val="00DB303B"/>
    <w:rsid w:val="00DB3536"/>
    <w:rsid w:val="00DB382B"/>
    <w:rsid w:val="00DB3931"/>
    <w:rsid w:val="00DB3DFA"/>
    <w:rsid w:val="00DB3F86"/>
    <w:rsid w:val="00DB467F"/>
    <w:rsid w:val="00DB4B77"/>
    <w:rsid w:val="00DB5460"/>
    <w:rsid w:val="00DB5834"/>
    <w:rsid w:val="00DB5A0F"/>
    <w:rsid w:val="00DB5CD0"/>
    <w:rsid w:val="00DB60C3"/>
    <w:rsid w:val="00DB619D"/>
    <w:rsid w:val="00DB63EF"/>
    <w:rsid w:val="00DB6A68"/>
    <w:rsid w:val="00DB6BFA"/>
    <w:rsid w:val="00DB70D0"/>
    <w:rsid w:val="00DB7C71"/>
    <w:rsid w:val="00DC004F"/>
    <w:rsid w:val="00DC01EA"/>
    <w:rsid w:val="00DC025F"/>
    <w:rsid w:val="00DC02F3"/>
    <w:rsid w:val="00DC04CE"/>
    <w:rsid w:val="00DC0CA0"/>
    <w:rsid w:val="00DC10BC"/>
    <w:rsid w:val="00DC22FA"/>
    <w:rsid w:val="00DC311C"/>
    <w:rsid w:val="00DC3994"/>
    <w:rsid w:val="00DC39C0"/>
    <w:rsid w:val="00DC46E4"/>
    <w:rsid w:val="00DC47DE"/>
    <w:rsid w:val="00DC4D38"/>
    <w:rsid w:val="00DC513E"/>
    <w:rsid w:val="00DC517D"/>
    <w:rsid w:val="00DC536F"/>
    <w:rsid w:val="00DC53E8"/>
    <w:rsid w:val="00DC5611"/>
    <w:rsid w:val="00DC5FE9"/>
    <w:rsid w:val="00DC6820"/>
    <w:rsid w:val="00DC6CA5"/>
    <w:rsid w:val="00DC728F"/>
    <w:rsid w:val="00DC777A"/>
    <w:rsid w:val="00DC7DB8"/>
    <w:rsid w:val="00DD076A"/>
    <w:rsid w:val="00DD0873"/>
    <w:rsid w:val="00DD0AF2"/>
    <w:rsid w:val="00DD130B"/>
    <w:rsid w:val="00DD1520"/>
    <w:rsid w:val="00DD177D"/>
    <w:rsid w:val="00DD193B"/>
    <w:rsid w:val="00DD193F"/>
    <w:rsid w:val="00DD19C5"/>
    <w:rsid w:val="00DD1C59"/>
    <w:rsid w:val="00DD21D3"/>
    <w:rsid w:val="00DD25CA"/>
    <w:rsid w:val="00DD2AC8"/>
    <w:rsid w:val="00DD2D7A"/>
    <w:rsid w:val="00DD2E5C"/>
    <w:rsid w:val="00DD3180"/>
    <w:rsid w:val="00DD3586"/>
    <w:rsid w:val="00DD3643"/>
    <w:rsid w:val="00DD3A45"/>
    <w:rsid w:val="00DD3D6E"/>
    <w:rsid w:val="00DD40D5"/>
    <w:rsid w:val="00DD4302"/>
    <w:rsid w:val="00DD4806"/>
    <w:rsid w:val="00DD4834"/>
    <w:rsid w:val="00DD4C7D"/>
    <w:rsid w:val="00DD5429"/>
    <w:rsid w:val="00DD54BF"/>
    <w:rsid w:val="00DD5522"/>
    <w:rsid w:val="00DD5F44"/>
    <w:rsid w:val="00DD6A33"/>
    <w:rsid w:val="00DD78AE"/>
    <w:rsid w:val="00DD7A48"/>
    <w:rsid w:val="00DD7D38"/>
    <w:rsid w:val="00DE0820"/>
    <w:rsid w:val="00DE09AB"/>
    <w:rsid w:val="00DE0B23"/>
    <w:rsid w:val="00DE0C22"/>
    <w:rsid w:val="00DE0F15"/>
    <w:rsid w:val="00DE0F29"/>
    <w:rsid w:val="00DE13A4"/>
    <w:rsid w:val="00DE2478"/>
    <w:rsid w:val="00DE24FE"/>
    <w:rsid w:val="00DE25A9"/>
    <w:rsid w:val="00DE28C8"/>
    <w:rsid w:val="00DE341E"/>
    <w:rsid w:val="00DE34B7"/>
    <w:rsid w:val="00DE3BEA"/>
    <w:rsid w:val="00DE4890"/>
    <w:rsid w:val="00DE4944"/>
    <w:rsid w:val="00DE4BA1"/>
    <w:rsid w:val="00DE4D91"/>
    <w:rsid w:val="00DE4FB8"/>
    <w:rsid w:val="00DE5920"/>
    <w:rsid w:val="00DE6116"/>
    <w:rsid w:val="00DE6678"/>
    <w:rsid w:val="00DE6A87"/>
    <w:rsid w:val="00DE6BC4"/>
    <w:rsid w:val="00DE6E07"/>
    <w:rsid w:val="00DE7168"/>
    <w:rsid w:val="00DE737A"/>
    <w:rsid w:val="00DE776F"/>
    <w:rsid w:val="00DE78B0"/>
    <w:rsid w:val="00DF0094"/>
    <w:rsid w:val="00DF077D"/>
    <w:rsid w:val="00DF0B62"/>
    <w:rsid w:val="00DF0E18"/>
    <w:rsid w:val="00DF1935"/>
    <w:rsid w:val="00DF1E70"/>
    <w:rsid w:val="00DF1FBA"/>
    <w:rsid w:val="00DF21EC"/>
    <w:rsid w:val="00DF2318"/>
    <w:rsid w:val="00DF28AA"/>
    <w:rsid w:val="00DF2950"/>
    <w:rsid w:val="00DF2AB0"/>
    <w:rsid w:val="00DF3192"/>
    <w:rsid w:val="00DF342C"/>
    <w:rsid w:val="00DF3453"/>
    <w:rsid w:val="00DF367B"/>
    <w:rsid w:val="00DF3725"/>
    <w:rsid w:val="00DF3B18"/>
    <w:rsid w:val="00DF3B4E"/>
    <w:rsid w:val="00DF3BAC"/>
    <w:rsid w:val="00DF3CC0"/>
    <w:rsid w:val="00DF4439"/>
    <w:rsid w:val="00DF4736"/>
    <w:rsid w:val="00DF4B3A"/>
    <w:rsid w:val="00DF4F50"/>
    <w:rsid w:val="00DF5230"/>
    <w:rsid w:val="00DF570D"/>
    <w:rsid w:val="00DF68BF"/>
    <w:rsid w:val="00DF6B7E"/>
    <w:rsid w:val="00DF6F05"/>
    <w:rsid w:val="00DF7002"/>
    <w:rsid w:val="00DF70F2"/>
    <w:rsid w:val="00DF7162"/>
    <w:rsid w:val="00DF7942"/>
    <w:rsid w:val="00E005B4"/>
    <w:rsid w:val="00E00772"/>
    <w:rsid w:val="00E00C7C"/>
    <w:rsid w:val="00E00D3D"/>
    <w:rsid w:val="00E00E9B"/>
    <w:rsid w:val="00E017D0"/>
    <w:rsid w:val="00E01A43"/>
    <w:rsid w:val="00E01D81"/>
    <w:rsid w:val="00E020ED"/>
    <w:rsid w:val="00E0219A"/>
    <w:rsid w:val="00E023F5"/>
    <w:rsid w:val="00E02A79"/>
    <w:rsid w:val="00E03329"/>
    <w:rsid w:val="00E0339C"/>
    <w:rsid w:val="00E03763"/>
    <w:rsid w:val="00E038E1"/>
    <w:rsid w:val="00E039EA"/>
    <w:rsid w:val="00E03A51"/>
    <w:rsid w:val="00E04943"/>
    <w:rsid w:val="00E04A85"/>
    <w:rsid w:val="00E04CB8"/>
    <w:rsid w:val="00E04F1E"/>
    <w:rsid w:val="00E05870"/>
    <w:rsid w:val="00E058F3"/>
    <w:rsid w:val="00E05E10"/>
    <w:rsid w:val="00E0632C"/>
    <w:rsid w:val="00E0678A"/>
    <w:rsid w:val="00E06B6D"/>
    <w:rsid w:val="00E06FC9"/>
    <w:rsid w:val="00E07084"/>
    <w:rsid w:val="00E0755B"/>
    <w:rsid w:val="00E076CD"/>
    <w:rsid w:val="00E07871"/>
    <w:rsid w:val="00E0792D"/>
    <w:rsid w:val="00E07D68"/>
    <w:rsid w:val="00E07DE5"/>
    <w:rsid w:val="00E1016F"/>
    <w:rsid w:val="00E10CC6"/>
    <w:rsid w:val="00E11886"/>
    <w:rsid w:val="00E11AC9"/>
    <w:rsid w:val="00E11C75"/>
    <w:rsid w:val="00E11C8D"/>
    <w:rsid w:val="00E12122"/>
    <w:rsid w:val="00E1296D"/>
    <w:rsid w:val="00E12BC1"/>
    <w:rsid w:val="00E12DD7"/>
    <w:rsid w:val="00E13ECD"/>
    <w:rsid w:val="00E14FB9"/>
    <w:rsid w:val="00E154B0"/>
    <w:rsid w:val="00E15943"/>
    <w:rsid w:val="00E15DB7"/>
    <w:rsid w:val="00E15EEC"/>
    <w:rsid w:val="00E16775"/>
    <w:rsid w:val="00E168BB"/>
    <w:rsid w:val="00E16AF3"/>
    <w:rsid w:val="00E17794"/>
    <w:rsid w:val="00E17A57"/>
    <w:rsid w:val="00E17D3B"/>
    <w:rsid w:val="00E17EB3"/>
    <w:rsid w:val="00E205AE"/>
    <w:rsid w:val="00E20920"/>
    <w:rsid w:val="00E20958"/>
    <w:rsid w:val="00E20D3F"/>
    <w:rsid w:val="00E20FFC"/>
    <w:rsid w:val="00E213F3"/>
    <w:rsid w:val="00E22723"/>
    <w:rsid w:val="00E22D29"/>
    <w:rsid w:val="00E22E96"/>
    <w:rsid w:val="00E22E9C"/>
    <w:rsid w:val="00E22FEE"/>
    <w:rsid w:val="00E2337B"/>
    <w:rsid w:val="00E2477D"/>
    <w:rsid w:val="00E24F4F"/>
    <w:rsid w:val="00E24F6B"/>
    <w:rsid w:val="00E2550B"/>
    <w:rsid w:val="00E2605E"/>
    <w:rsid w:val="00E261B0"/>
    <w:rsid w:val="00E267F8"/>
    <w:rsid w:val="00E269D6"/>
    <w:rsid w:val="00E26A3E"/>
    <w:rsid w:val="00E27567"/>
    <w:rsid w:val="00E30A62"/>
    <w:rsid w:val="00E30B26"/>
    <w:rsid w:val="00E3101B"/>
    <w:rsid w:val="00E31701"/>
    <w:rsid w:val="00E31E21"/>
    <w:rsid w:val="00E322BB"/>
    <w:rsid w:val="00E32CCE"/>
    <w:rsid w:val="00E330E0"/>
    <w:rsid w:val="00E3478E"/>
    <w:rsid w:val="00E350AE"/>
    <w:rsid w:val="00E3515B"/>
    <w:rsid w:val="00E35938"/>
    <w:rsid w:val="00E35AB4"/>
    <w:rsid w:val="00E35CEB"/>
    <w:rsid w:val="00E3608F"/>
    <w:rsid w:val="00E36DF3"/>
    <w:rsid w:val="00E36EE3"/>
    <w:rsid w:val="00E37029"/>
    <w:rsid w:val="00E37339"/>
    <w:rsid w:val="00E3747A"/>
    <w:rsid w:val="00E379C8"/>
    <w:rsid w:val="00E40164"/>
    <w:rsid w:val="00E410CB"/>
    <w:rsid w:val="00E41138"/>
    <w:rsid w:val="00E411A0"/>
    <w:rsid w:val="00E41990"/>
    <w:rsid w:val="00E419A7"/>
    <w:rsid w:val="00E41BE5"/>
    <w:rsid w:val="00E41C5E"/>
    <w:rsid w:val="00E41F41"/>
    <w:rsid w:val="00E4219E"/>
    <w:rsid w:val="00E42468"/>
    <w:rsid w:val="00E42A99"/>
    <w:rsid w:val="00E42E38"/>
    <w:rsid w:val="00E42EA5"/>
    <w:rsid w:val="00E42FCB"/>
    <w:rsid w:val="00E4325D"/>
    <w:rsid w:val="00E4332E"/>
    <w:rsid w:val="00E4370F"/>
    <w:rsid w:val="00E43EB2"/>
    <w:rsid w:val="00E442AB"/>
    <w:rsid w:val="00E4453B"/>
    <w:rsid w:val="00E44885"/>
    <w:rsid w:val="00E44B50"/>
    <w:rsid w:val="00E44B9B"/>
    <w:rsid w:val="00E4574E"/>
    <w:rsid w:val="00E4669E"/>
    <w:rsid w:val="00E468D3"/>
    <w:rsid w:val="00E46C0E"/>
    <w:rsid w:val="00E46C9D"/>
    <w:rsid w:val="00E46F92"/>
    <w:rsid w:val="00E4747C"/>
    <w:rsid w:val="00E479B9"/>
    <w:rsid w:val="00E500E4"/>
    <w:rsid w:val="00E50145"/>
    <w:rsid w:val="00E5065E"/>
    <w:rsid w:val="00E508B8"/>
    <w:rsid w:val="00E508BB"/>
    <w:rsid w:val="00E50C65"/>
    <w:rsid w:val="00E50D6A"/>
    <w:rsid w:val="00E510B3"/>
    <w:rsid w:val="00E5178C"/>
    <w:rsid w:val="00E51B3F"/>
    <w:rsid w:val="00E5247C"/>
    <w:rsid w:val="00E52892"/>
    <w:rsid w:val="00E52ED6"/>
    <w:rsid w:val="00E53A42"/>
    <w:rsid w:val="00E53AC7"/>
    <w:rsid w:val="00E53C01"/>
    <w:rsid w:val="00E53C1D"/>
    <w:rsid w:val="00E53F47"/>
    <w:rsid w:val="00E548A2"/>
    <w:rsid w:val="00E548A4"/>
    <w:rsid w:val="00E549BE"/>
    <w:rsid w:val="00E54CA5"/>
    <w:rsid w:val="00E54D43"/>
    <w:rsid w:val="00E55365"/>
    <w:rsid w:val="00E55782"/>
    <w:rsid w:val="00E55E18"/>
    <w:rsid w:val="00E5610B"/>
    <w:rsid w:val="00E56919"/>
    <w:rsid w:val="00E569EB"/>
    <w:rsid w:val="00E56D7D"/>
    <w:rsid w:val="00E56EE2"/>
    <w:rsid w:val="00E57208"/>
    <w:rsid w:val="00E57AFA"/>
    <w:rsid w:val="00E60251"/>
    <w:rsid w:val="00E605B8"/>
    <w:rsid w:val="00E609F9"/>
    <w:rsid w:val="00E60A37"/>
    <w:rsid w:val="00E60BED"/>
    <w:rsid w:val="00E60D0A"/>
    <w:rsid w:val="00E61464"/>
    <w:rsid w:val="00E61693"/>
    <w:rsid w:val="00E6173E"/>
    <w:rsid w:val="00E617A1"/>
    <w:rsid w:val="00E61E25"/>
    <w:rsid w:val="00E61E3C"/>
    <w:rsid w:val="00E62140"/>
    <w:rsid w:val="00E628C1"/>
    <w:rsid w:val="00E62C6A"/>
    <w:rsid w:val="00E62C72"/>
    <w:rsid w:val="00E62E13"/>
    <w:rsid w:val="00E62EBE"/>
    <w:rsid w:val="00E632F0"/>
    <w:rsid w:val="00E6350A"/>
    <w:rsid w:val="00E63921"/>
    <w:rsid w:val="00E63A57"/>
    <w:rsid w:val="00E645C3"/>
    <w:rsid w:val="00E648CC"/>
    <w:rsid w:val="00E64AC5"/>
    <w:rsid w:val="00E64E16"/>
    <w:rsid w:val="00E65477"/>
    <w:rsid w:val="00E65A29"/>
    <w:rsid w:val="00E65C05"/>
    <w:rsid w:val="00E66206"/>
    <w:rsid w:val="00E66312"/>
    <w:rsid w:val="00E66D05"/>
    <w:rsid w:val="00E66E2A"/>
    <w:rsid w:val="00E67372"/>
    <w:rsid w:val="00E67639"/>
    <w:rsid w:val="00E67867"/>
    <w:rsid w:val="00E678A8"/>
    <w:rsid w:val="00E67B54"/>
    <w:rsid w:val="00E708EC"/>
    <w:rsid w:val="00E70CA3"/>
    <w:rsid w:val="00E71064"/>
    <w:rsid w:val="00E7190D"/>
    <w:rsid w:val="00E71F44"/>
    <w:rsid w:val="00E7213D"/>
    <w:rsid w:val="00E72505"/>
    <w:rsid w:val="00E72852"/>
    <w:rsid w:val="00E72DA4"/>
    <w:rsid w:val="00E73233"/>
    <w:rsid w:val="00E732BB"/>
    <w:rsid w:val="00E73375"/>
    <w:rsid w:val="00E735F0"/>
    <w:rsid w:val="00E7367D"/>
    <w:rsid w:val="00E73936"/>
    <w:rsid w:val="00E74294"/>
    <w:rsid w:val="00E74322"/>
    <w:rsid w:val="00E744CF"/>
    <w:rsid w:val="00E744F2"/>
    <w:rsid w:val="00E747BE"/>
    <w:rsid w:val="00E7511C"/>
    <w:rsid w:val="00E75164"/>
    <w:rsid w:val="00E753F5"/>
    <w:rsid w:val="00E75495"/>
    <w:rsid w:val="00E758DD"/>
    <w:rsid w:val="00E75C0B"/>
    <w:rsid w:val="00E75C11"/>
    <w:rsid w:val="00E7629F"/>
    <w:rsid w:val="00E765D3"/>
    <w:rsid w:val="00E7664E"/>
    <w:rsid w:val="00E76672"/>
    <w:rsid w:val="00E779D5"/>
    <w:rsid w:val="00E8000B"/>
    <w:rsid w:val="00E80F75"/>
    <w:rsid w:val="00E81626"/>
    <w:rsid w:val="00E8181E"/>
    <w:rsid w:val="00E8282E"/>
    <w:rsid w:val="00E8296E"/>
    <w:rsid w:val="00E82AC6"/>
    <w:rsid w:val="00E82C4D"/>
    <w:rsid w:val="00E82D54"/>
    <w:rsid w:val="00E83369"/>
    <w:rsid w:val="00E83690"/>
    <w:rsid w:val="00E83959"/>
    <w:rsid w:val="00E849DD"/>
    <w:rsid w:val="00E84A39"/>
    <w:rsid w:val="00E85283"/>
    <w:rsid w:val="00E85849"/>
    <w:rsid w:val="00E85AC0"/>
    <w:rsid w:val="00E85C67"/>
    <w:rsid w:val="00E860BD"/>
    <w:rsid w:val="00E869E5"/>
    <w:rsid w:val="00E86FA8"/>
    <w:rsid w:val="00E87945"/>
    <w:rsid w:val="00E87B21"/>
    <w:rsid w:val="00E903C9"/>
    <w:rsid w:val="00E9049C"/>
    <w:rsid w:val="00E907DF"/>
    <w:rsid w:val="00E90AFF"/>
    <w:rsid w:val="00E90C6C"/>
    <w:rsid w:val="00E913B3"/>
    <w:rsid w:val="00E9150C"/>
    <w:rsid w:val="00E9191B"/>
    <w:rsid w:val="00E91D44"/>
    <w:rsid w:val="00E921AA"/>
    <w:rsid w:val="00E93122"/>
    <w:rsid w:val="00E934D8"/>
    <w:rsid w:val="00E9377B"/>
    <w:rsid w:val="00E93CA1"/>
    <w:rsid w:val="00E93DB6"/>
    <w:rsid w:val="00E94811"/>
    <w:rsid w:val="00E94E51"/>
    <w:rsid w:val="00E94FC4"/>
    <w:rsid w:val="00E95E74"/>
    <w:rsid w:val="00E96090"/>
    <w:rsid w:val="00E961CD"/>
    <w:rsid w:val="00E96BFE"/>
    <w:rsid w:val="00E96C68"/>
    <w:rsid w:val="00E97479"/>
    <w:rsid w:val="00E97A00"/>
    <w:rsid w:val="00E97A11"/>
    <w:rsid w:val="00E97E55"/>
    <w:rsid w:val="00EA01E7"/>
    <w:rsid w:val="00EA02B6"/>
    <w:rsid w:val="00EA0EE0"/>
    <w:rsid w:val="00EA0F46"/>
    <w:rsid w:val="00EA10DB"/>
    <w:rsid w:val="00EA16C0"/>
    <w:rsid w:val="00EA1E2D"/>
    <w:rsid w:val="00EA26A3"/>
    <w:rsid w:val="00EA26A9"/>
    <w:rsid w:val="00EA2714"/>
    <w:rsid w:val="00EA2AFC"/>
    <w:rsid w:val="00EA2C89"/>
    <w:rsid w:val="00EA2F85"/>
    <w:rsid w:val="00EA3040"/>
    <w:rsid w:val="00EA3674"/>
    <w:rsid w:val="00EA37CE"/>
    <w:rsid w:val="00EA4087"/>
    <w:rsid w:val="00EA4191"/>
    <w:rsid w:val="00EA4B5C"/>
    <w:rsid w:val="00EA4DEC"/>
    <w:rsid w:val="00EA5110"/>
    <w:rsid w:val="00EA52B1"/>
    <w:rsid w:val="00EA5831"/>
    <w:rsid w:val="00EA5B56"/>
    <w:rsid w:val="00EA6120"/>
    <w:rsid w:val="00EA660C"/>
    <w:rsid w:val="00EA6794"/>
    <w:rsid w:val="00EA6C8D"/>
    <w:rsid w:val="00EA6F8B"/>
    <w:rsid w:val="00EA7468"/>
    <w:rsid w:val="00EA7CB5"/>
    <w:rsid w:val="00EB010F"/>
    <w:rsid w:val="00EB05F5"/>
    <w:rsid w:val="00EB0DB5"/>
    <w:rsid w:val="00EB1115"/>
    <w:rsid w:val="00EB1206"/>
    <w:rsid w:val="00EB14A8"/>
    <w:rsid w:val="00EB1507"/>
    <w:rsid w:val="00EB18D5"/>
    <w:rsid w:val="00EB1BD9"/>
    <w:rsid w:val="00EB20AC"/>
    <w:rsid w:val="00EB29BD"/>
    <w:rsid w:val="00EB35DE"/>
    <w:rsid w:val="00EB3B47"/>
    <w:rsid w:val="00EB3F67"/>
    <w:rsid w:val="00EB4371"/>
    <w:rsid w:val="00EB4611"/>
    <w:rsid w:val="00EB4F69"/>
    <w:rsid w:val="00EB58FF"/>
    <w:rsid w:val="00EB5B9B"/>
    <w:rsid w:val="00EB5CE4"/>
    <w:rsid w:val="00EB5D03"/>
    <w:rsid w:val="00EB6443"/>
    <w:rsid w:val="00EB6FB9"/>
    <w:rsid w:val="00EB7209"/>
    <w:rsid w:val="00EB786D"/>
    <w:rsid w:val="00EB7BEA"/>
    <w:rsid w:val="00EB7F6D"/>
    <w:rsid w:val="00EC01C8"/>
    <w:rsid w:val="00EC051C"/>
    <w:rsid w:val="00EC05C3"/>
    <w:rsid w:val="00EC0622"/>
    <w:rsid w:val="00EC06AD"/>
    <w:rsid w:val="00EC205A"/>
    <w:rsid w:val="00EC22A9"/>
    <w:rsid w:val="00EC3178"/>
    <w:rsid w:val="00EC327D"/>
    <w:rsid w:val="00EC3950"/>
    <w:rsid w:val="00EC3A2D"/>
    <w:rsid w:val="00EC3BC1"/>
    <w:rsid w:val="00EC4802"/>
    <w:rsid w:val="00EC57CD"/>
    <w:rsid w:val="00EC59C7"/>
    <w:rsid w:val="00EC5B24"/>
    <w:rsid w:val="00EC5E8D"/>
    <w:rsid w:val="00EC64BE"/>
    <w:rsid w:val="00EC6CD6"/>
    <w:rsid w:val="00EC6E03"/>
    <w:rsid w:val="00EC71F7"/>
    <w:rsid w:val="00EC78DF"/>
    <w:rsid w:val="00ED0A08"/>
    <w:rsid w:val="00ED0CB3"/>
    <w:rsid w:val="00ED0EAD"/>
    <w:rsid w:val="00ED10F2"/>
    <w:rsid w:val="00ED1159"/>
    <w:rsid w:val="00ED1453"/>
    <w:rsid w:val="00ED15C0"/>
    <w:rsid w:val="00ED1703"/>
    <w:rsid w:val="00ED1C28"/>
    <w:rsid w:val="00ED22D4"/>
    <w:rsid w:val="00ED2569"/>
    <w:rsid w:val="00ED2BC7"/>
    <w:rsid w:val="00ED2C62"/>
    <w:rsid w:val="00ED3182"/>
    <w:rsid w:val="00ED368C"/>
    <w:rsid w:val="00ED3944"/>
    <w:rsid w:val="00ED3B14"/>
    <w:rsid w:val="00ED45B4"/>
    <w:rsid w:val="00ED4BFD"/>
    <w:rsid w:val="00ED4F89"/>
    <w:rsid w:val="00ED54CF"/>
    <w:rsid w:val="00ED6569"/>
    <w:rsid w:val="00ED6D28"/>
    <w:rsid w:val="00ED6DB6"/>
    <w:rsid w:val="00ED7290"/>
    <w:rsid w:val="00ED7464"/>
    <w:rsid w:val="00EE1136"/>
    <w:rsid w:val="00EE1778"/>
    <w:rsid w:val="00EE19B3"/>
    <w:rsid w:val="00EE1B29"/>
    <w:rsid w:val="00EE1B5C"/>
    <w:rsid w:val="00EE1C9D"/>
    <w:rsid w:val="00EE30C2"/>
    <w:rsid w:val="00EE33B6"/>
    <w:rsid w:val="00EE40D6"/>
    <w:rsid w:val="00EE43BB"/>
    <w:rsid w:val="00EE4820"/>
    <w:rsid w:val="00EE5021"/>
    <w:rsid w:val="00EE5206"/>
    <w:rsid w:val="00EE5782"/>
    <w:rsid w:val="00EE59B2"/>
    <w:rsid w:val="00EE5BDB"/>
    <w:rsid w:val="00EE5E7A"/>
    <w:rsid w:val="00EE5F14"/>
    <w:rsid w:val="00EE63AC"/>
    <w:rsid w:val="00EE64D5"/>
    <w:rsid w:val="00EE751C"/>
    <w:rsid w:val="00EF0FC8"/>
    <w:rsid w:val="00EF129F"/>
    <w:rsid w:val="00EF204A"/>
    <w:rsid w:val="00EF2092"/>
    <w:rsid w:val="00EF2462"/>
    <w:rsid w:val="00EF25B2"/>
    <w:rsid w:val="00EF27C4"/>
    <w:rsid w:val="00EF414C"/>
    <w:rsid w:val="00EF43EF"/>
    <w:rsid w:val="00EF448B"/>
    <w:rsid w:val="00EF49C5"/>
    <w:rsid w:val="00EF4D38"/>
    <w:rsid w:val="00EF4FD3"/>
    <w:rsid w:val="00EF50C3"/>
    <w:rsid w:val="00EF53C2"/>
    <w:rsid w:val="00EF54BB"/>
    <w:rsid w:val="00EF550D"/>
    <w:rsid w:val="00EF5DE1"/>
    <w:rsid w:val="00EF60C3"/>
    <w:rsid w:val="00EF6206"/>
    <w:rsid w:val="00EF6816"/>
    <w:rsid w:val="00EF685D"/>
    <w:rsid w:val="00EF6978"/>
    <w:rsid w:val="00EF6FAC"/>
    <w:rsid w:val="00EF765A"/>
    <w:rsid w:val="00EF7DAB"/>
    <w:rsid w:val="00F00176"/>
    <w:rsid w:val="00F00918"/>
    <w:rsid w:val="00F00AA9"/>
    <w:rsid w:val="00F00B04"/>
    <w:rsid w:val="00F017A8"/>
    <w:rsid w:val="00F018E1"/>
    <w:rsid w:val="00F02262"/>
    <w:rsid w:val="00F02723"/>
    <w:rsid w:val="00F0355A"/>
    <w:rsid w:val="00F03BC7"/>
    <w:rsid w:val="00F04360"/>
    <w:rsid w:val="00F0480F"/>
    <w:rsid w:val="00F04B98"/>
    <w:rsid w:val="00F04BED"/>
    <w:rsid w:val="00F0535A"/>
    <w:rsid w:val="00F05EDE"/>
    <w:rsid w:val="00F05EF3"/>
    <w:rsid w:val="00F0656C"/>
    <w:rsid w:val="00F0676C"/>
    <w:rsid w:val="00F06B0B"/>
    <w:rsid w:val="00F0702F"/>
    <w:rsid w:val="00F075C0"/>
    <w:rsid w:val="00F07738"/>
    <w:rsid w:val="00F079B4"/>
    <w:rsid w:val="00F07A0C"/>
    <w:rsid w:val="00F07A61"/>
    <w:rsid w:val="00F07D28"/>
    <w:rsid w:val="00F07D33"/>
    <w:rsid w:val="00F07F40"/>
    <w:rsid w:val="00F1001D"/>
    <w:rsid w:val="00F1032E"/>
    <w:rsid w:val="00F108CB"/>
    <w:rsid w:val="00F10A14"/>
    <w:rsid w:val="00F10CB2"/>
    <w:rsid w:val="00F11571"/>
    <w:rsid w:val="00F11F68"/>
    <w:rsid w:val="00F12801"/>
    <w:rsid w:val="00F12C1A"/>
    <w:rsid w:val="00F130AE"/>
    <w:rsid w:val="00F130C4"/>
    <w:rsid w:val="00F136F1"/>
    <w:rsid w:val="00F1384A"/>
    <w:rsid w:val="00F1386A"/>
    <w:rsid w:val="00F148A4"/>
    <w:rsid w:val="00F14E8D"/>
    <w:rsid w:val="00F15F40"/>
    <w:rsid w:val="00F160BA"/>
    <w:rsid w:val="00F16283"/>
    <w:rsid w:val="00F16425"/>
    <w:rsid w:val="00F1657A"/>
    <w:rsid w:val="00F169AF"/>
    <w:rsid w:val="00F16A76"/>
    <w:rsid w:val="00F16EB2"/>
    <w:rsid w:val="00F17108"/>
    <w:rsid w:val="00F17363"/>
    <w:rsid w:val="00F17DAF"/>
    <w:rsid w:val="00F17FBC"/>
    <w:rsid w:val="00F207ED"/>
    <w:rsid w:val="00F20935"/>
    <w:rsid w:val="00F20D30"/>
    <w:rsid w:val="00F20E6A"/>
    <w:rsid w:val="00F21009"/>
    <w:rsid w:val="00F212B8"/>
    <w:rsid w:val="00F21309"/>
    <w:rsid w:val="00F2165C"/>
    <w:rsid w:val="00F2173B"/>
    <w:rsid w:val="00F21EB9"/>
    <w:rsid w:val="00F22616"/>
    <w:rsid w:val="00F22931"/>
    <w:rsid w:val="00F23355"/>
    <w:rsid w:val="00F23375"/>
    <w:rsid w:val="00F2340A"/>
    <w:rsid w:val="00F23828"/>
    <w:rsid w:val="00F23B09"/>
    <w:rsid w:val="00F23B99"/>
    <w:rsid w:val="00F241B2"/>
    <w:rsid w:val="00F241FC"/>
    <w:rsid w:val="00F24A76"/>
    <w:rsid w:val="00F24FF5"/>
    <w:rsid w:val="00F2577D"/>
    <w:rsid w:val="00F26253"/>
    <w:rsid w:val="00F26461"/>
    <w:rsid w:val="00F265C5"/>
    <w:rsid w:val="00F2743A"/>
    <w:rsid w:val="00F275B1"/>
    <w:rsid w:val="00F279FE"/>
    <w:rsid w:val="00F300D1"/>
    <w:rsid w:val="00F30523"/>
    <w:rsid w:val="00F309CA"/>
    <w:rsid w:val="00F30E46"/>
    <w:rsid w:val="00F3117F"/>
    <w:rsid w:val="00F3264B"/>
    <w:rsid w:val="00F329E9"/>
    <w:rsid w:val="00F32B73"/>
    <w:rsid w:val="00F32BED"/>
    <w:rsid w:val="00F32C54"/>
    <w:rsid w:val="00F32D4F"/>
    <w:rsid w:val="00F32E02"/>
    <w:rsid w:val="00F32F97"/>
    <w:rsid w:val="00F32FB0"/>
    <w:rsid w:val="00F33013"/>
    <w:rsid w:val="00F3324A"/>
    <w:rsid w:val="00F33670"/>
    <w:rsid w:val="00F33E97"/>
    <w:rsid w:val="00F340E4"/>
    <w:rsid w:val="00F3417F"/>
    <w:rsid w:val="00F34AB4"/>
    <w:rsid w:val="00F34DC2"/>
    <w:rsid w:val="00F34DD6"/>
    <w:rsid w:val="00F3507D"/>
    <w:rsid w:val="00F355A8"/>
    <w:rsid w:val="00F35C37"/>
    <w:rsid w:val="00F35C3E"/>
    <w:rsid w:val="00F35CBC"/>
    <w:rsid w:val="00F364E3"/>
    <w:rsid w:val="00F36569"/>
    <w:rsid w:val="00F36B31"/>
    <w:rsid w:val="00F37A82"/>
    <w:rsid w:val="00F37F86"/>
    <w:rsid w:val="00F40443"/>
    <w:rsid w:val="00F40804"/>
    <w:rsid w:val="00F408F3"/>
    <w:rsid w:val="00F40A18"/>
    <w:rsid w:val="00F40D94"/>
    <w:rsid w:val="00F41038"/>
    <w:rsid w:val="00F41393"/>
    <w:rsid w:val="00F417FA"/>
    <w:rsid w:val="00F41EE8"/>
    <w:rsid w:val="00F4347E"/>
    <w:rsid w:val="00F43E2F"/>
    <w:rsid w:val="00F44390"/>
    <w:rsid w:val="00F445AE"/>
    <w:rsid w:val="00F448E2"/>
    <w:rsid w:val="00F44EEF"/>
    <w:rsid w:val="00F450EE"/>
    <w:rsid w:val="00F45365"/>
    <w:rsid w:val="00F454D4"/>
    <w:rsid w:val="00F455A9"/>
    <w:rsid w:val="00F459B6"/>
    <w:rsid w:val="00F4618E"/>
    <w:rsid w:val="00F46437"/>
    <w:rsid w:val="00F46747"/>
    <w:rsid w:val="00F46807"/>
    <w:rsid w:val="00F46AEF"/>
    <w:rsid w:val="00F46C28"/>
    <w:rsid w:val="00F471E1"/>
    <w:rsid w:val="00F47DAC"/>
    <w:rsid w:val="00F47F36"/>
    <w:rsid w:val="00F50074"/>
    <w:rsid w:val="00F50AE2"/>
    <w:rsid w:val="00F519EB"/>
    <w:rsid w:val="00F5220A"/>
    <w:rsid w:val="00F5232E"/>
    <w:rsid w:val="00F523F7"/>
    <w:rsid w:val="00F527B0"/>
    <w:rsid w:val="00F528CC"/>
    <w:rsid w:val="00F528F9"/>
    <w:rsid w:val="00F52BE7"/>
    <w:rsid w:val="00F52EE6"/>
    <w:rsid w:val="00F534B7"/>
    <w:rsid w:val="00F535F3"/>
    <w:rsid w:val="00F53601"/>
    <w:rsid w:val="00F53C16"/>
    <w:rsid w:val="00F54095"/>
    <w:rsid w:val="00F54E84"/>
    <w:rsid w:val="00F55101"/>
    <w:rsid w:val="00F5539B"/>
    <w:rsid w:val="00F5546D"/>
    <w:rsid w:val="00F55972"/>
    <w:rsid w:val="00F55D57"/>
    <w:rsid w:val="00F55EA7"/>
    <w:rsid w:val="00F5675C"/>
    <w:rsid w:val="00F56A56"/>
    <w:rsid w:val="00F56AFC"/>
    <w:rsid w:val="00F56C7A"/>
    <w:rsid w:val="00F570CA"/>
    <w:rsid w:val="00F570D5"/>
    <w:rsid w:val="00F572C2"/>
    <w:rsid w:val="00F57435"/>
    <w:rsid w:val="00F5795D"/>
    <w:rsid w:val="00F60005"/>
    <w:rsid w:val="00F60D15"/>
    <w:rsid w:val="00F6181F"/>
    <w:rsid w:val="00F618BF"/>
    <w:rsid w:val="00F61AAD"/>
    <w:rsid w:val="00F61E61"/>
    <w:rsid w:val="00F61FFB"/>
    <w:rsid w:val="00F6230A"/>
    <w:rsid w:val="00F6271D"/>
    <w:rsid w:val="00F62B20"/>
    <w:rsid w:val="00F62BCF"/>
    <w:rsid w:val="00F62DBE"/>
    <w:rsid w:val="00F62E7D"/>
    <w:rsid w:val="00F63127"/>
    <w:rsid w:val="00F6352B"/>
    <w:rsid w:val="00F63951"/>
    <w:rsid w:val="00F63A54"/>
    <w:rsid w:val="00F6417F"/>
    <w:rsid w:val="00F6422A"/>
    <w:rsid w:val="00F6481D"/>
    <w:rsid w:val="00F64C79"/>
    <w:rsid w:val="00F64EFB"/>
    <w:rsid w:val="00F66096"/>
    <w:rsid w:val="00F664A3"/>
    <w:rsid w:val="00F66791"/>
    <w:rsid w:val="00F66981"/>
    <w:rsid w:val="00F66DE8"/>
    <w:rsid w:val="00F6719F"/>
    <w:rsid w:val="00F67775"/>
    <w:rsid w:val="00F67AAE"/>
    <w:rsid w:val="00F67FC6"/>
    <w:rsid w:val="00F70654"/>
    <w:rsid w:val="00F70D44"/>
    <w:rsid w:val="00F71386"/>
    <w:rsid w:val="00F71529"/>
    <w:rsid w:val="00F71745"/>
    <w:rsid w:val="00F7187D"/>
    <w:rsid w:val="00F71B45"/>
    <w:rsid w:val="00F720E7"/>
    <w:rsid w:val="00F721CE"/>
    <w:rsid w:val="00F7284B"/>
    <w:rsid w:val="00F728F0"/>
    <w:rsid w:val="00F73485"/>
    <w:rsid w:val="00F7353E"/>
    <w:rsid w:val="00F7384D"/>
    <w:rsid w:val="00F73870"/>
    <w:rsid w:val="00F73DD0"/>
    <w:rsid w:val="00F73F77"/>
    <w:rsid w:val="00F7411E"/>
    <w:rsid w:val="00F74814"/>
    <w:rsid w:val="00F74D65"/>
    <w:rsid w:val="00F74D88"/>
    <w:rsid w:val="00F74EC3"/>
    <w:rsid w:val="00F7501E"/>
    <w:rsid w:val="00F75982"/>
    <w:rsid w:val="00F75F12"/>
    <w:rsid w:val="00F763F3"/>
    <w:rsid w:val="00F76875"/>
    <w:rsid w:val="00F76A8A"/>
    <w:rsid w:val="00F76E48"/>
    <w:rsid w:val="00F7737A"/>
    <w:rsid w:val="00F779D3"/>
    <w:rsid w:val="00F80CDD"/>
    <w:rsid w:val="00F810C6"/>
    <w:rsid w:val="00F8136D"/>
    <w:rsid w:val="00F814E8"/>
    <w:rsid w:val="00F81AD5"/>
    <w:rsid w:val="00F81E1E"/>
    <w:rsid w:val="00F81F3A"/>
    <w:rsid w:val="00F8252F"/>
    <w:rsid w:val="00F83359"/>
    <w:rsid w:val="00F8352A"/>
    <w:rsid w:val="00F8399F"/>
    <w:rsid w:val="00F83B39"/>
    <w:rsid w:val="00F83C16"/>
    <w:rsid w:val="00F83C78"/>
    <w:rsid w:val="00F84008"/>
    <w:rsid w:val="00F84715"/>
    <w:rsid w:val="00F84B93"/>
    <w:rsid w:val="00F84D65"/>
    <w:rsid w:val="00F84DD6"/>
    <w:rsid w:val="00F85E73"/>
    <w:rsid w:val="00F861CF"/>
    <w:rsid w:val="00F86240"/>
    <w:rsid w:val="00F86B01"/>
    <w:rsid w:val="00F86DA6"/>
    <w:rsid w:val="00F87568"/>
    <w:rsid w:val="00F87616"/>
    <w:rsid w:val="00F900B7"/>
    <w:rsid w:val="00F904E8"/>
    <w:rsid w:val="00F90C53"/>
    <w:rsid w:val="00F9135F"/>
    <w:rsid w:val="00F926F2"/>
    <w:rsid w:val="00F927C1"/>
    <w:rsid w:val="00F92840"/>
    <w:rsid w:val="00F92C1E"/>
    <w:rsid w:val="00F92CD6"/>
    <w:rsid w:val="00F92F90"/>
    <w:rsid w:val="00F93CFB"/>
    <w:rsid w:val="00F93D7D"/>
    <w:rsid w:val="00F942FC"/>
    <w:rsid w:val="00F9433C"/>
    <w:rsid w:val="00F948B1"/>
    <w:rsid w:val="00F94B8F"/>
    <w:rsid w:val="00F9505A"/>
    <w:rsid w:val="00F9512C"/>
    <w:rsid w:val="00F9559B"/>
    <w:rsid w:val="00F95649"/>
    <w:rsid w:val="00F95BB4"/>
    <w:rsid w:val="00F9609F"/>
    <w:rsid w:val="00F96183"/>
    <w:rsid w:val="00F967A3"/>
    <w:rsid w:val="00F97253"/>
    <w:rsid w:val="00F97524"/>
    <w:rsid w:val="00F9780F"/>
    <w:rsid w:val="00F9795E"/>
    <w:rsid w:val="00F97AC5"/>
    <w:rsid w:val="00FA0326"/>
    <w:rsid w:val="00FA0B90"/>
    <w:rsid w:val="00FA0C13"/>
    <w:rsid w:val="00FA0DBD"/>
    <w:rsid w:val="00FA1667"/>
    <w:rsid w:val="00FA19F5"/>
    <w:rsid w:val="00FA1E83"/>
    <w:rsid w:val="00FA233E"/>
    <w:rsid w:val="00FA2360"/>
    <w:rsid w:val="00FA3864"/>
    <w:rsid w:val="00FA3901"/>
    <w:rsid w:val="00FA4611"/>
    <w:rsid w:val="00FA4758"/>
    <w:rsid w:val="00FA47A7"/>
    <w:rsid w:val="00FA49F0"/>
    <w:rsid w:val="00FA4A87"/>
    <w:rsid w:val="00FA5482"/>
    <w:rsid w:val="00FA54B2"/>
    <w:rsid w:val="00FA57FB"/>
    <w:rsid w:val="00FA5940"/>
    <w:rsid w:val="00FA5BA4"/>
    <w:rsid w:val="00FA5CE7"/>
    <w:rsid w:val="00FA6129"/>
    <w:rsid w:val="00FA61D4"/>
    <w:rsid w:val="00FA6547"/>
    <w:rsid w:val="00FA6E23"/>
    <w:rsid w:val="00FA777D"/>
    <w:rsid w:val="00FA78C2"/>
    <w:rsid w:val="00FA7A14"/>
    <w:rsid w:val="00FA7A4B"/>
    <w:rsid w:val="00FA7AA1"/>
    <w:rsid w:val="00FB0350"/>
    <w:rsid w:val="00FB0F15"/>
    <w:rsid w:val="00FB1384"/>
    <w:rsid w:val="00FB193D"/>
    <w:rsid w:val="00FB1BCE"/>
    <w:rsid w:val="00FB1D8B"/>
    <w:rsid w:val="00FB2013"/>
    <w:rsid w:val="00FB2085"/>
    <w:rsid w:val="00FB20F1"/>
    <w:rsid w:val="00FB22E4"/>
    <w:rsid w:val="00FB262D"/>
    <w:rsid w:val="00FB2D44"/>
    <w:rsid w:val="00FB3AF8"/>
    <w:rsid w:val="00FB3AFB"/>
    <w:rsid w:val="00FB3CDE"/>
    <w:rsid w:val="00FB41D7"/>
    <w:rsid w:val="00FB4473"/>
    <w:rsid w:val="00FB44AE"/>
    <w:rsid w:val="00FB480A"/>
    <w:rsid w:val="00FB4E53"/>
    <w:rsid w:val="00FB58EC"/>
    <w:rsid w:val="00FB5A2F"/>
    <w:rsid w:val="00FB5F4C"/>
    <w:rsid w:val="00FB5F6D"/>
    <w:rsid w:val="00FB6A16"/>
    <w:rsid w:val="00FB7336"/>
    <w:rsid w:val="00FB75BE"/>
    <w:rsid w:val="00FC003C"/>
    <w:rsid w:val="00FC0548"/>
    <w:rsid w:val="00FC0755"/>
    <w:rsid w:val="00FC0F1A"/>
    <w:rsid w:val="00FC2676"/>
    <w:rsid w:val="00FC27B4"/>
    <w:rsid w:val="00FC2B4D"/>
    <w:rsid w:val="00FC306A"/>
    <w:rsid w:val="00FC31D9"/>
    <w:rsid w:val="00FC3278"/>
    <w:rsid w:val="00FC3596"/>
    <w:rsid w:val="00FC368F"/>
    <w:rsid w:val="00FC3814"/>
    <w:rsid w:val="00FC4638"/>
    <w:rsid w:val="00FC4B79"/>
    <w:rsid w:val="00FC5174"/>
    <w:rsid w:val="00FC5260"/>
    <w:rsid w:val="00FC54F3"/>
    <w:rsid w:val="00FC5D12"/>
    <w:rsid w:val="00FC5F6E"/>
    <w:rsid w:val="00FC6671"/>
    <w:rsid w:val="00FC6708"/>
    <w:rsid w:val="00FC7183"/>
    <w:rsid w:val="00FC75B6"/>
    <w:rsid w:val="00FD0007"/>
    <w:rsid w:val="00FD0669"/>
    <w:rsid w:val="00FD06AE"/>
    <w:rsid w:val="00FD06FF"/>
    <w:rsid w:val="00FD07DE"/>
    <w:rsid w:val="00FD0872"/>
    <w:rsid w:val="00FD0C36"/>
    <w:rsid w:val="00FD0DC8"/>
    <w:rsid w:val="00FD1B4D"/>
    <w:rsid w:val="00FD2417"/>
    <w:rsid w:val="00FD299D"/>
    <w:rsid w:val="00FD2F4B"/>
    <w:rsid w:val="00FD37F0"/>
    <w:rsid w:val="00FD3965"/>
    <w:rsid w:val="00FD3AE2"/>
    <w:rsid w:val="00FD450B"/>
    <w:rsid w:val="00FD536D"/>
    <w:rsid w:val="00FD549F"/>
    <w:rsid w:val="00FD54BD"/>
    <w:rsid w:val="00FD55FD"/>
    <w:rsid w:val="00FD597A"/>
    <w:rsid w:val="00FD597B"/>
    <w:rsid w:val="00FD6A97"/>
    <w:rsid w:val="00FD7513"/>
    <w:rsid w:val="00FD79B7"/>
    <w:rsid w:val="00FD7A9E"/>
    <w:rsid w:val="00FD7C74"/>
    <w:rsid w:val="00FE05A1"/>
    <w:rsid w:val="00FE08E1"/>
    <w:rsid w:val="00FE09AF"/>
    <w:rsid w:val="00FE0D60"/>
    <w:rsid w:val="00FE1043"/>
    <w:rsid w:val="00FE1310"/>
    <w:rsid w:val="00FE13BD"/>
    <w:rsid w:val="00FE1990"/>
    <w:rsid w:val="00FE19A5"/>
    <w:rsid w:val="00FE22BC"/>
    <w:rsid w:val="00FE24E8"/>
    <w:rsid w:val="00FE2C19"/>
    <w:rsid w:val="00FE3152"/>
    <w:rsid w:val="00FE32C9"/>
    <w:rsid w:val="00FE3383"/>
    <w:rsid w:val="00FE39F3"/>
    <w:rsid w:val="00FE3D75"/>
    <w:rsid w:val="00FE3DEB"/>
    <w:rsid w:val="00FE4159"/>
    <w:rsid w:val="00FE420B"/>
    <w:rsid w:val="00FE481C"/>
    <w:rsid w:val="00FE4C68"/>
    <w:rsid w:val="00FE5350"/>
    <w:rsid w:val="00FE5623"/>
    <w:rsid w:val="00FE5C21"/>
    <w:rsid w:val="00FE6180"/>
    <w:rsid w:val="00FE62CB"/>
    <w:rsid w:val="00FE725D"/>
    <w:rsid w:val="00FE78C3"/>
    <w:rsid w:val="00FF036A"/>
    <w:rsid w:val="00FF082F"/>
    <w:rsid w:val="00FF09D0"/>
    <w:rsid w:val="00FF0BE5"/>
    <w:rsid w:val="00FF0F35"/>
    <w:rsid w:val="00FF0FC3"/>
    <w:rsid w:val="00FF1DD1"/>
    <w:rsid w:val="00FF1F17"/>
    <w:rsid w:val="00FF20A9"/>
    <w:rsid w:val="00FF2906"/>
    <w:rsid w:val="00FF303D"/>
    <w:rsid w:val="00FF3199"/>
    <w:rsid w:val="00FF325C"/>
    <w:rsid w:val="00FF34FD"/>
    <w:rsid w:val="00FF35D1"/>
    <w:rsid w:val="00FF3F98"/>
    <w:rsid w:val="00FF414A"/>
    <w:rsid w:val="00FF4F19"/>
    <w:rsid w:val="00FF63A5"/>
    <w:rsid w:val="00FF6472"/>
    <w:rsid w:val="00FF6836"/>
    <w:rsid w:val="00FF6B9D"/>
    <w:rsid w:val="00FF7012"/>
    <w:rsid w:val="00FF71F0"/>
    <w:rsid w:val="00FF745C"/>
    <w:rsid w:val="00FF76E3"/>
    <w:rsid w:val="00FF7A45"/>
    <w:rsid w:val="00FF7A62"/>
    <w:rsid w:val="00FF7C7F"/>
    <w:rsid w:val="00FF7E42"/>
    <w:rsid w:val="01011432"/>
    <w:rsid w:val="010C0502"/>
    <w:rsid w:val="01192C1F"/>
    <w:rsid w:val="02785724"/>
    <w:rsid w:val="02E725DE"/>
    <w:rsid w:val="02E80AFB"/>
    <w:rsid w:val="035D3297"/>
    <w:rsid w:val="03C30C20"/>
    <w:rsid w:val="03D35307"/>
    <w:rsid w:val="045C354F"/>
    <w:rsid w:val="04AB3B8E"/>
    <w:rsid w:val="04BE5FB8"/>
    <w:rsid w:val="050F05C1"/>
    <w:rsid w:val="053B165D"/>
    <w:rsid w:val="05A625A8"/>
    <w:rsid w:val="05DD3C30"/>
    <w:rsid w:val="05E92EE5"/>
    <w:rsid w:val="05F3240A"/>
    <w:rsid w:val="06085010"/>
    <w:rsid w:val="06530982"/>
    <w:rsid w:val="068648B3"/>
    <w:rsid w:val="068E5516"/>
    <w:rsid w:val="06D66EBD"/>
    <w:rsid w:val="06D73361"/>
    <w:rsid w:val="08400A92"/>
    <w:rsid w:val="088A61B1"/>
    <w:rsid w:val="09523172"/>
    <w:rsid w:val="097E7AC3"/>
    <w:rsid w:val="09B259BF"/>
    <w:rsid w:val="09CA0F5B"/>
    <w:rsid w:val="0A454A85"/>
    <w:rsid w:val="0A4A209B"/>
    <w:rsid w:val="0AAF4A93"/>
    <w:rsid w:val="0AC0410C"/>
    <w:rsid w:val="0AFF69E2"/>
    <w:rsid w:val="0B901D30"/>
    <w:rsid w:val="0BCD088E"/>
    <w:rsid w:val="0BE107DE"/>
    <w:rsid w:val="0C0544CC"/>
    <w:rsid w:val="0C2A5CE1"/>
    <w:rsid w:val="0C2C7CAB"/>
    <w:rsid w:val="0C5F3EE9"/>
    <w:rsid w:val="0C7451AE"/>
    <w:rsid w:val="0C85560D"/>
    <w:rsid w:val="0CA75583"/>
    <w:rsid w:val="0CC04F7C"/>
    <w:rsid w:val="0D1B1ACD"/>
    <w:rsid w:val="0D696CDD"/>
    <w:rsid w:val="0DB717F6"/>
    <w:rsid w:val="0DE16873"/>
    <w:rsid w:val="0DF30354"/>
    <w:rsid w:val="0E574D87"/>
    <w:rsid w:val="0E72396F"/>
    <w:rsid w:val="0E9C09EC"/>
    <w:rsid w:val="0EAA4EB7"/>
    <w:rsid w:val="0F1A028E"/>
    <w:rsid w:val="0F3A0931"/>
    <w:rsid w:val="0FC04B58"/>
    <w:rsid w:val="10190546"/>
    <w:rsid w:val="104E5D16"/>
    <w:rsid w:val="106317C1"/>
    <w:rsid w:val="1092654A"/>
    <w:rsid w:val="11194576"/>
    <w:rsid w:val="11382C4E"/>
    <w:rsid w:val="11421D1E"/>
    <w:rsid w:val="11733C86"/>
    <w:rsid w:val="118C2F9A"/>
    <w:rsid w:val="11944825"/>
    <w:rsid w:val="120508C4"/>
    <w:rsid w:val="124A70DD"/>
    <w:rsid w:val="125C165E"/>
    <w:rsid w:val="12802AFE"/>
    <w:rsid w:val="129F0FBA"/>
    <w:rsid w:val="12EF1A32"/>
    <w:rsid w:val="131119A8"/>
    <w:rsid w:val="131274CE"/>
    <w:rsid w:val="135E44C2"/>
    <w:rsid w:val="136F2362"/>
    <w:rsid w:val="143F42F3"/>
    <w:rsid w:val="14465682"/>
    <w:rsid w:val="14AF1479"/>
    <w:rsid w:val="14B06F9F"/>
    <w:rsid w:val="14B4331E"/>
    <w:rsid w:val="14DF1632"/>
    <w:rsid w:val="151B6B0E"/>
    <w:rsid w:val="152B2749"/>
    <w:rsid w:val="159643E7"/>
    <w:rsid w:val="15AE7982"/>
    <w:rsid w:val="15B605E5"/>
    <w:rsid w:val="15D31197"/>
    <w:rsid w:val="15F64E85"/>
    <w:rsid w:val="164B6F7F"/>
    <w:rsid w:val="164D0F49"/>
    <w:rsid w:val="16DC407B"/>
    <w:rsid w:val="1740460A"/>
    <w:rsid w:val="17740758"/>
    <w:rsid w:val="17C0574B"/>
    <w:rsid w:val="182E0907"/>
    <w:rsid w:val="18510A99"/>
    <w:rsid w:val="19185113"/>
    <w:rsid w:val="19197809"/>
    <w:rsid w:val="19430976"/>
    <w:rsid w:val="199C21AB"/>
    <w:rsid w:val="1ABD11E5"/>
    <w:rsid w:val="1B0342CC"/>
    <w:rsid w:val="1BB308A2"/>
    <w:rsid w:val="1BD21EF1"/>
    <w:rsid w:val="1BDE2644"/>
    <w:rsid w:val="1BDE3A60"/>
    <w:rsid w:val="1BF9747E"/>
    <w:rsid w:val="1C7D1E5D"/>
    <w:rsid w:val="1CBC0BD7"/>
    <w:rsid w:val="1D1E53EE"/>
    <w:rsid w:val="1E8C6387"/>
    <w:rsid w:val="1E982F7E"/>
    <w:rsid w:val="1F126633"/>
    <w:rsid w:val="1F63358C"/>
    <w:rsid w:val="1FAE2CF4"/>
    <w:rsid w:val="1FB65DB1"/>
    <w:rsid w:val="202C422E"/>
    <w:rsid w:val="202F7912"/>
    <w:rsid w:val="20346CD6"/>
    <w:rsid w:val="206A26F8"/>
    <w:rsid w:val="20B47E17"/>
    <w:rsid w:val="20CA13E8"/>
    <w:rsid w:val="20D52267"/>
    <w:rsid w:val="21507B40"/>
    <w:rsid w:val="219D08AB"/>
    <w:rsid w:val="226E2973"/>
    <w:rsid w:val="22806203"/>
    <w:rsid w:val="22AD2D70"/>
    <w:rsid w:val="22B10AB2"/>
    <w:rsid w:val="234436D4"/>
    <w:rsid w:val="23DA1943"/>
    <w:rsid w:val="24DB3BC4"/>
    <w:rsid w:val="257F6C45"/>
    <w:rsid w:val="26555BF8"/>
    <w:rsid w:val="27231852"/>
    <w:rsid w:val="272950BB"/>
    <w:rsid w:val="27391076"/>
    <w:rsid w:val="27392E24"/>
    <w:rsid w:val="2753038A"/>
    <w:rsid w:val="27767BD4"/>
    <w:rsid w:val="28681C13"/>
    <w:rsid w:val="28884063"/>
    <w:rsid w:val="28B704A4"/>
    <w:rsid w:val="2963475B"/>
    <w:rsid w:val="2A1A0CEB"/>
    <w:rsid w:val="2A257D96"/>
    <w:rsid w:val="2A8E3487"/>
    <w:rsid w:val="2A90355F"/>
    <w:rsid w:val="2AB96756"/>
    <w:rsid w:val="2AEB2687"/>
    <w:rsid w:val="2B157704"/>
    <w:rsid w:val="2B54022C"/>
    <w:rsid w:val="2B942D1F"/>
    <w:rsid w:val="2BD82C0B"/>
    <w:rsid w:val="2C2220D9"/>
    <w:rsid w:val="2C4E51EB"/>
    <w:rsid w:val="2CCB451E"/>
    <w:rsid w:val="2D0B0DBF"/>
    <w:rsid w:val="2D391DD0"/>
    <w:rsid w:val="2D5B3AF4"/>
    <w:rsid w:val="2D6D7CCB"/>
    <w:rsid w:val="2D8D7A26"/>
    <w:rsid w:val="2DB11966"/>
    <w:rsid w:val="2DBE22D5"/>
    <w:rsid w:val="2DE53D06"/>
    <w:rsid w:val="2E474078"/>
    <w:rsid w:val="2E4C5B33"/>
    <w:rsid w:val="2EB537CF"/>
    <w:rsid w:val="2F1B1C13"/>
    <w:rsid w:val="2FBC45F2"/>
    <w:rsid w:val="300A1801"/>
    <w:rsid w:val="301E705B"/>
    <w:rsid w:val="30850E88"/>
    <w:rsid w:val="31280191"/>
    <w:rsid w:val="315B004E"/>
    <w:rsid w:val="31837ABD"/>
    <w:rsid w:val="319121DA"/>
    <w:rsid w:val="319E0453"/>
    <w:rsid w:val="31E57635"/>
    <w:rsid w:val="31F757DF"/>
    <w:rsid w:val="322272D6"/>
    <w:rsid w:val="323B5CA2"/>
    <w:rsid w:val="32E225C2"/>
    <w:rsid w:val="33380434"/>
    <w:rsid w:val="33F24A86"/>
    <w:rsid w:val="340A1DD0"/>
    <w:rsid w:val="344E43B3"/>
    <w:rsid w:val="349F4C0E"/>
    <w:rsid w:val="351D5B33"/>
    <w:rsid w:val="353510CF"/>
    <w:rsid w:val="35431A3E"/>
    <w:rsid w:val="36D44917"/>
    <w:rsid w:val="37215DAE"/>
    <w:rsid w:val="37490E61"/>
    <w:rsid w:val="375872F6"/>
    <w:rsid w:val="37D83F93"/>
    <w:rsid w:val="37DE3C9F"/>
    <w:rsid w:val="38044D88"/>
    <w:rsid w:val="382947EF"/>
    <w:rsid w:val="386A108F"/>
    <w:rsid w:val="389600D6"/>
    <w:rsid w:val="3914549F"/>
    <w:rsid w:val="39243950"/>
    <w:rsid w:val="397A17A6"/>
    <w:rsid w:val="39BC591B"/>
    <w:rsid w:val="39DA3FF3"/>
    <w:rsid w:val="3A5169AB"/>
    <w:rsid w:val="3A606BEE"/>
    <w:rsid w:val="3A7B3A28"/>
    <w:rsid w:val="3AD209D9"/>
    <w:rsid w:val="3B3B4F65"/>
    <w:rsid w:val="3BB23479"/>
    <w:rsid w:val="3C5C74D9"/>
    <w:rsid w:val="3CD218F9"/>
    <w:rsid w:val="3CD72A6B"/>
    <w:rsid w:val="3DE62EE6"/>
    <w:rsid w:val="3E047890"/>
    <w:rsid w:val="3E083824"/>
    <w:rsid w:val="3E8D3D29"/>
    <w:rsid w:val="3EA01CAF"/>
    <w:rsid w:val="3EA64DEB"/>
    <w:rsid w:val="3EAD617A"/>
    <w:rsid w:val="3EEF6792"/>
    <w:rsid w:val="3F06588A"/>
    <w:rsid w:val="3FDD483D"/>
    <w:rsid w:val="3FE61943"/>
    <w:rsid w:val="4004626D"/>
    <w:rsid w:val="40297A82"/>
    <w:rsid w:val="403A3A3D"/>
    <w:rsid w:val="404E1296"/>
    <w:rsid w:val="409C4D60"/>
    <w:rsid w:val="40BC4452"/>
    <w:rsid w:val="40F167F2"/>
    <w:rsid w:val="4105404B"/>
    <w:rsid w:val="4114428E"/>
    <w:rsid w:val="418A4550"/>
    <w:rsid w:val="4194717D"/>
    <w:rsid w:val="41A03D74"/>
    <w:rsid w:val="422624CB"/>
    <w:rsid w:val="423C1CEE"/>
    <w:rsid w:val="427D5E63"/>
    <w:rsid w:val="43014CE6"/>
    <w:rsid w:val="432F1853"/>
    <w:rsid w:val="433230F1"/>
    <w:rsid w:val="434A0141"/>
    <w:rsid w:val="4392593E"/>
    <w:rsid w:val="43CF26EE"/>
    <w:rsid w:val="43D321DE"/>
    <w:rsid w:val="43E70053"/>
    <w:rsid w:val="441D16AC"/>
    <w:rsid w:val="442962A2"/>
    <w:rsid w:val="4464552C"/>
    <w:rsid w:val="44823C05"/>
    <w:rsid w:val="450E5498"/>
    <w:rsid w:val="45324524"/>
    <w:rsid w:val="454113CA"/>
    <w:rsid w:val="454D7D6F"/>
    <w:rsid w:val="4574354D"/>
    <w:rsid w:val="45B147A1"/>
    <w:rsid w:val="46C978C9"/>
    <w:rsid w:val="476F65BA"/>
    <w:rsid w:val="47A345BE"/>
    <w:rsid w:val="47E50732"/>
    <w:rsid w:val="47F646ED"/>
    <w:rsid w:val="481728B6"/>
    <w:rsid w:val="4847319B"/>
    <w:rsid w:val="49396F88"/>
    <w:rsid w:val="49423962"/>
    <w:rsid w:val="49997A26"/>
    <w:rsid w:val="49C01457"/>
    <w:rsid w:val="49E50EBD"/>
    <w:rsid w:val="4A162E25"/>
    <w:rsid w:val="4A361719"/>
    <w:rsid w:val="4A9326C8"/>
    <w:rsid w:val="4A964557"/>
    <w:rsid w:val="4AD60806"/>
    <w:rsid w:val="4B1732F9"/>
    <w:rsid w:val="4B50680B"/>
    <w:rsid w:val="4B790318"/>
    <w:rsid w:val="4B8E10E1"/>
    <w:rsid w:val="4BD56D10"/>
    <w:rsid w:val="4C1550F3"/>
    <w:rsid w:val="4C3C0B3D"/>
    <w:rsid w:val="4C412451"/>
    <w:rsid w:val="4C567E51"/>
    <w:rsid w:val="4D185106"/>
    <w:rsid w:val="4D5048A0"/>
    <w:rsid w:val="4D6F764D"/>
    <w:rsid w:val="4D7C38E7"/>
    <w:rsid w:val="4DD51249"/>
    <w:rsid w:val="4DE1374A"/>
    <w:rsid w:val="4DFA4CDF"/>
    <w:rsid w:val="4DFE254E"/>
    <w:rsid w:val="4E086F29"/>
    <w:rsid w:val="4E427E3C"/>
    <w:rsid w:val="4E6A7057"/>
    <w:rsid w:val="4E915170"/>
    <w:rsid w:val="4ED37F67"/>
    <w:rsid w:val="4ED816D8"/>
    <w:rsid w:val="4F4E12B3"/>
    <w:rsid w:val="4F702FD7"/>
    <w:rsid w:val="502B33A2"/>
    <w:rsid w:val="506643DA"/>
    <w:rsid w:val="506D5769"/>
    <w:rsid w:val="510065DD"/>
    <w:rsid w:val="51136310"/>
    <w:rsid w:val="520914C1"/>
    <w:rsid w:val="52AB2578"/>
    <w:rsid w:val="52BE405A"/>
    <w:rsid w:val="53071EA5"/>
    <w:rsid w:val="53A616BE"/>
    <w:rsid w:val="53FC4E8E"/>
    <w:rsid w:val="54134879"/>
    <w:rsid w:val="54330A77"/>
    <w:rsid w:val="54613836"/>
    <w:rsid w:val="549E2395"/>
    <w:rsid w:val="55990DAE"/>
    <w:rsid w:val="55B94FAC"/>
    <w:rsid w:val="55E069DD"/>
    <w:rsid w:val="560721BC"/>
    <w:rsid w:val="563D798B"/>
    <w:rsid w:val="569E48CE"/>
    <w:rsid w:val="56A63783"/>
    <w:rsid w:val="571921A6"/>
    <w:rsid w:val="574C72B9"/>
    <w:rsid w:val="57763155"/>
    <w:rsid w:val="57CA16F3"/>
    <w:rsid w:val="57D367F9"/>
    <w:rsid w:val="58704048"/>
    <w:rsid w:val="58CF5213"/>
    <w:rsid w:val="591E3AA4"/>
    <w:rsid w:val="59E913FD"/>
    <w:rsid w:val="5A706581"/>
    <w:rsid w:val="5A7D3939"/>
    <w:rsid w:val="5A8776E3"/>
    <w:rsid w:val="5AA20705"/>
    <w:rsid w:val="5B2555BE"/>
    <w:rsid w:val="5B4377F2"/>
    <w:rsid w:val="5B6E1865"/>
    <w:rsid w:val="5BA67D81"/>
    <w:rsid w:val="5BB10BFF"/>
    <w:rsid w:val="5C401F83"/>
    <w:rsid w:val="5C566237"/>
    <w:rsid w:val="5CA644DC"/>
    <w:rsid w:val="5CCC1A69"/>
    <w:rsid w:val="5D064F7B"/>
    <w:rsid w:val="5D683540"/>
    <w:rsid w:val="5D885990"/>
    <w:rsid w:val="5D9C143B"/>
    <w:rsid w:val="5DA84284"/>
    <w:rsid w:val="5E08087F"/>
    <w:rsid w:val="5E20206C"/>
    <w:rsid w:val="5E3653EC"/>
    <w:rsid w:val="5EB0690E"/>
    <w:rsid w:val="5EC7698C"/>
    <w:rsid w:val="5F0454EA"/>
    <w:rsid w:val="5F6146EB"/>
    <w:rsid w:val="5F7D704B"/>
    <w:rsid w:val="5F942D12"/>
    <w:rsid w:val="5FC658F2"/>
    <w:rsid w:val="5FD56E87"/>
    <w:rsid w:val="5FE61FB3"/>
    <w:rsid w:val="60395667"/>
    <w:rsid w:val="60575AEE"/>
    <w:rsid w:val="607A6786"/>
    <w:rsid w:val="6094614B"/>
    <w:rsid w:val="60A06F01"/>
    <w:rsid w:val="60D4713E"/>
    <w:rsid w:val="61207F70"/>
    <w:rsid w:val="6155027F"/>
    <w:rsid w:val="615A7643"/>
    <w:rsid w:val="619568CD"/>
    <w:rsid w:val="61DE0274"/>
    <w:rsid w:val="624326C5"/>
    <w:rsid w:val="62546789"/>
    <w:rsid w:val="62572235"/>
    <w:rsid w:val="627C0B43"/>
    <w:rsid w:val="62CF5E0F"/>
    <w:rsid w:val="62FE04A2"/>
    <w:rsid w:val="63181564"/>
    <w:rsid w:val="63302D52"/>
    <w:rsid w:val="6347009B"/>
    <w:rsid w:val="63FA510E"/>
    <w:rsid w:val="64416899"/>
    <w:rsid w:val="64923598"/>
    <w:rsid w:val="649410BE"/>
    <w:rsid w:val="66BE68C6"/>
    <w:rsid w:val="66C7577B"/>
    <w:rsid w:val="66CB36B5"/>
    <w:rsid w:val="66E31E89"/>
    <w:rsid w:val="67073DC9"/>
    <w:rsid w:val="676C00D0"/>
    <w:rsid w:val="682B138A"/>
    <w:rsid w:val="683A3D2B"/>
    <w:rsid w:val="68D979E8"/>
    <w:rsid w:val="68FE11FC"/>
    <w:rsid w:val="694806C9"/>
    <w:rsid w:val="69564B94"/>
    <w:rsid w:val="69603C65"/>
    <w:rsid w:val="69765236"/>
    <w:rsid w:val="6AC16985"/>
    <w:rsid w:val="6B2A08A1"/>
    <w:rsid w:val="6BA3608B"/>
    <w:rsid w:val="6C591959"/>
    <w:rsid w:val="6C7A503E"/>
    <w:rsid w:val="6D1C3707"/>
    <w:rsid w:val="6D205BE5"/>
    <w:rsid w:val="6D2819A2"/>
    <w:rsid w:val="6D4118D6"/>
    <w:rsid w:val="6D4D0230"/>
    <w:rsid w:val="6D68133A"/>
    <w:rsid w:val="6D806684"/>
    <w:rsid w:val="6DA5433C"/>
    <w:rsid w:val="6DD16EDF"/>
    <w:rsid w:val="6DE76703"/>
    <w:rsid w:val="6E061605"/>
    <w:rsid w:val="6E625D89"/>
    <w:rsid w:val="6E641B01"/>
    <w:rsid w:val="6E6B10E2"/>
    <w:rsid w:val="6EDF562C"/>
    <w:rsid w:val="6F141779"/>
    <w:rsid w:val="6F410095"/>
    <w:rsid w:val="6F79782E"/>
    <w:rsid w:val="6FB72105"/>
    <w:rsid w:val="6FCA1717"/>
    <w:rsid w:val="70207CAA"/>
    <w:rsid w:val="70253512"/>
    <w:rsid w:val="70294DB1"/>
    <w:rsid w:val="703B0F88"/>
    <w:rsid w:val="70912956"/>
    <w:rsid w:val="710F044A"/>
    <w:rsid w:val="71341C5F"/>
    <w:rsid w:val="7172168B"/>
    <w:rsid w:val="71B608C6"/>
    <w:rsid w:val="71BE59CD"/>
    <w:rsid w:val="71CB1E97"/>
    <w:rsid w:val="724951A4"/>
    <w:rsid w:val="72807126"/>
    <w:rsid w:val="7376468C"/>
    <w:rsid w:val="73C372CA"/>
    <w:rsid w:val="74213FF1"/>
    <w:rsid w:val="748B2FEC"/>
    <w:rsid w:val="74A37283"/>
    <w:rsid w:val="74A52E74"/>
    <w:rsid w:val="74C74B98"/>
    <w:rsid w:val="74F51705"/>
    <w:rsid w:val="75436915"/>
    <w:rsid w:val="75A373B3"/>
    <w:rsid w:val="75AB0B47"/>
    <w:rsid w:val="76F93003"/>
    <w:rsid w:val="771C566F"/>
    <w:rsid w:val="77366005"/>
    <w:rsid w:val="77844FC2"/>
    <w:rsid w:val="77C67389"/>
    <w:rsid w:val="77C728D0"/>
    <w:rsid w:val="78542BE7"/>
    <w:rsid w:val="785B3F75"/>
    <w:rsid w:val="78676109"/>
    <w:rsid w:val="786A240A"/>
    <w:rsid w:val="78A07BDA"/>
    <w:rsid w:val="78BB2C66"/>
    <w:rsid w:val="794C1B10"/>
    <w:rsid w:val="79532E9E"/>
    <w:rsid w:val="79AA03C3"/>
    <w:rsid w:val="79AC0800"/>
    <w:rsid w:val="7A1940E8"/>
    <w:rsid w:val="7A2B5BC9"/>
    <w:rsid w:val="7A652E89"/>
    <w:rsid w:val="7A6A66F1"/>
    <w:rsid w:val="7A756E44"/>
    <w:rsid w:val="7ABD0F17"/>
    <w:rsid w:val="7B242D44"/>
    <w:rsid w:val="7B3665D4"/>
    <w:rsid w:val="7B6969A9"/>
    <w:rsid w:val="7B7B66DC"/>
    <w:rsid w:val="7BB816DF"/>
    <w:rsid w:val="7BD007D6"/>
    <w:rsid w:val="7C062E19"/>
    <w:rsid w:val="7CA3413D"/>
    <w:rsid w:val="7D853089"/>
    <w:rsid w:val="7D8950E1"/>
    <w:rsid w:val="7D9341B1"/>
    <w:rsid w:val="7DF0131E"/>
    <w:rsid w:val="7E123328"/>
    <w:rsid w:val="7E2766A8"/>
    <w:rsid w:val="7E327526"/>
    <w:rsid w:val="7E861620"/>
    <w:rsid w:val="7EFF6F9C"/>
    <w:rsid w:val="7F7E679B"/>
    <w:rsid w:val="7FA50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qFormat="1" w:uiPriority="99" w:name="Body Text 2"/>
    <w:lsdException w:uiPriority="99" w:name="Body Text 3"/>
    <w:lsdException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6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6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64"/>
    <w:semiHidden/>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unhideWhenUsed/>
    <w:qFormat/>
    <w:uiPriority w:val="99"/>
    <w:pPr>
      <w:jc w:val="left"/>
    </w:pPr>
  </w:style>
  <w:style w:type="paragraph" w:styleId="6">
    <w:name w:val="Body Text"/>
    <w:basedOn w:val="1"/>
    <w:link w:val="29"/>
    <w:unhideWhenUsed/>
    <w:qFormat/>
    <w:uiPriority w:val="99"/>
    <w:pPr>
      <w:spacing w:after="120"/>
    </w:pPr>
  </w:style>
  <w:style w:type="paragraph" w:styleId="7">
    <w:name w:val="Body Text Indent"/>
    <w:basedOn w:val="1"/>
    <w:link w:val="27"/>
    <w:unhideWhenUsed/>
    <w:qFormat/>
    <w:uiPriority w:val="0"/>
    <w:pPr>
      <w:spacing w:after="120"/>
      <w:ind w:left="420" w:leftChars="200"/>
    </w:pPr>
    <w:rPr>
      <w:rFonts w:ascii="Times New Roman" w:hAnsi="Times New Roman" w:eastAsia="宋体" w:cs="Times New Roman"/>
      <w:kern w:val="0"/>
      <w:sz w:val="20"/>
      <w:szCs w:val="24"/>
    </w:rPr>
  </w:style>
  <w:style w:type="paragraph" w:styleId="8">
    <w:name w:val="Balloon Text"/>
    <w:basedOn w:val="1"/>
    <w:link w:val="24"/>
    <w:semiHidden/>
    <w:unhideWhenUsed/>
    <w:qFormat/>
    <w:uiPriority w:val="99"/>
    <w:rPr>
      <w:sz w:val="18"/>
      <w:szCs w:val="18"/>
    </w:rPr>
  </w:style>
  <w:style w:type="paragraph" w:styleId="9">
    <w:name w:val="footer"/>
    <w:basedOn w:val="1"/>
    <w:link w:val="36"/>
    <w:unhideWhenUsed/>
    <w:qFormat/>
    <w:uiPriority w:val="99"/>
    <w:pPr>
      <w:tabs>
        <w:tab w:val="center" w:pos="4153"/>
        <w:tab w:val="right" w:pos="8306"/>
      </w:tabs>
      <w:snapToGrid w:val="0"/>
      <w:jc w:val="left"/>
    </w:pPr>
    <w:rPr>
      <w:sz w:val="18"/>
      <w:szCs w:val="18"/>
    </w:rPr>
  </w:style>
  <w:style w:type="paragraph" w:styleId="10">
    <w:name w:val="header"/>
    <w:basedOn w:val="1"/>
    <w:link w:val="35"/>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next w:val="12"/>
    <w:link w:val="34"/>
    <w:semi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2">
    <w:name w:val="样式 正文文本缩进 3 + 左侧:  2 字符"/>
    <w:basedOn w:val="1"/>
    <w:qFormat/>
    <w:uiPriority w:val="0"/>
  </w:style>
  <w:style w:type="paragraph" w:styleId="13">
    <w:name w:val="Body Text 2"/>
    <w:basedOn w:val="1"/>
    <w:link w:val="56"/>
    <w:semiHidden/>
    <w:unhideWhenUsed/>
    <w:qFormat/>
    <w:uiPriority w:val="99"/>
    <w:pPr>
      <w:spacing w:after="120" w:line="480" w:lineRule="auto"/>
    </w:pPr>
  </w:style>
  <w:style w:type="paragraph" w:styleId="14">
    <w:name w:val="Normal (Web)"/>
    <w:basedOn w:val="1"/>
    <w:link w:val="23"/>
    <w:qFormat/>
    <w:uiPriority w:val="99"/>
    <w:pPr>
      <w:widowControl/>
      <w:spacing w:before="100" w:beforeAutospacing="1" w:after="100" w:afterAutospacing="1"/>
      <w:jc w:val="left"/>
    </w:pPr>
    <w:rPr>
      <w:rFonts w:ascii="宋体" w:hAnsi="宋体" w:eastAsia="宋体"/>
      <w:sz w:val="24"/>
    </w:rPr>
  </w:style>
  <w:style w:type="paragraph" w:styleId="15">
    <w:name w:val="annotation subject"/>
    <w:basedOn w:val="5"/>
    <w:next w:val="5"/>
    <w:link w:val="26"/>
    <w:semiHidden/>
    <w:unhideWhenUsed/>
    <w:qFormat/>
    <w:uiPriority w:val="99"/>
    <w:rPr>
      <w:b/>
      <w:bCs/>
    </w:rPr>
  </w:style>
  <w:style w:type="paragraph" w:styleId="16">
    <w:name w:val="Body Text First Indent"/>
    <w:basedOn w:val="6"/>
    <w:link w:val="30"/>
    <w:autoRedefine/>
    <w:semiHidden/>
    <w:unhideWhenUsed/>
    <w:qFormat/>
    <w:uiPriority w:val="99"/>
    <w:pPr>
      <w:ind w:firstLine="420" w:firstLineChars="100"/>
    </w:pPr>
  </w:style>
  <w:style w:type="table" w:styleId="18">
    <w:name w:val="Table Grid"/>
    <w:basedOn w:val="1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0">
    <w:name w:val="Strong"/>
    <w:basedOn w:val="19"/>
    <w:qFormat/>
    <w:uiPriority w:val="22"/>
    <w:rPr>
      <w:b/>
      <w:bCs/>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styleId="22">
    <w:name w:val="annotation reference"/>
    <w:basedOn w:val="19"/>
    <w:autoRedefine/>
    <w:unhideWhenUsed/>
    <w:qFormat/>
    <w:uiPriority w:val="0"/>
    <w:rPr>
      <w:sz w:val="21"/>
      <w:szCs w:val="21"/>
    </w:rPr>
  </w:style>
  <w:style w:type="character" w:customStyle="1" w:styleId="23">
    <w:name w:val="普通(网站) Char"/>
    <w:link w:val="14"/>
    <w:qFormat/>
    <w:locked/>
    <w:uiPriority w:val="0"/>
    <w:rPr>
      <w:rFonts w:ascii="宋体" w:hAnsi="宋体" w:eastAsia="宋体"/>
      <w:sz w:val="24"/>
    </w:rPr>
  </w:style>
  <w:style w:type="character" w:customStyle="1" w:styleId="24">
    <w:name w:val="批注框文本 Char"/>
    <w:basedOn w:val="19"/>
    <w:link w:val="8"/>
    <w:autoRedefine/>
    <w:semiHidden/>
    <w:qFormat/>
    <w:uiPriority w:val="99"/>
    <w:rPr>
      <w:sz w:val="18"/>
      <w:szCs w:val="18"/>
    </w:rPr>
  </w:style>
  <w:style w:type="character" w:customStyle="1" w:styleId="25">
    <w:name w:val="批注文字 Char"/>
    <w:basedOn w:val="19"/>
    <w:link w:val="5"/>
    <w:qFormat/>
    <w:uiPriority w:val="99"/>
  </w:style>
  <w:style w:type="character" w:customStyle="1" w:styleId="26">
    <w:name w:val="批注主题 Char"/>
    <w:basedOn w:val="25"/>
    <w:link w:val="15"/>
    <w:semiHidden/>
    <w:qFormat/>
    <w:uiPriority w:val="99"/>
    <w:rPr>
      <w:b/>
      <w:bCs/>
    </w:rPr>
  </w:style>
  <w:style w:type="character" w:customStyle="1" w:styleId="27">
    <w:name w:val="正文文本缩进 Char"/>
    <w:basedOn w:val="19"/>
    <w:link w:val="7"/>
    <w:qFormat/>
    <w:uiPriority w:val="0"/>
    <w:rPr>
      <w:rFonts w:ascii="Times New Roman" w:hAnsi="Times New Roman" w:eastAsia="宋体" w:cs="Times New Roman"/>
      <w:kern w:val="0"/>
      <w:sz w:val="20"/>
      <w:szCs w:val="24"/>
    </w:rPr>
  </w:style>
  <w:style w:type="paragraph" w:customStyle="1" w:styleId="28">
    <w:name w:val="MFS正文 Char"/>
    <w:basedOn w:val="16"/>
    <w:autoRedefine/>
    <w:qFormat/>
    <w:uiPriority w:val="0"/>
    <w:pPr>
      <w:adjustRightInd w:val="0"/>
      <w:snapToGrid w:val="0"/>
      <w:spacing w:before="93" w:line="360" w:lineRule="auto"/>
      <w:ind w:firstLine="200" w:firstLineChars="200"/>
    </w:pPr>
    <w:rPr>
      <w:rFonts w:ascii="Times New Roman" w:hAnsi="Times New Roman" w:eastAsia="楷体_GB2312" w:cs="Times New Roman"/>
      <w:sz w:val="24"/>
      <w:szCs w:val="24"/>
    </w:rPr>
  </w:style>
  <w:style w:type="character" w:customStyle="1" w:styleId="29">
    <w:name w:val="正文文本 Char"/>
    <w:basedOn w:val="19"/>
    <w:link w:val="6"/>
    <w:qFormat/>
    <w:uiPriority w:val="99"/>
  </w:style>
  <w:style w:type="character" w:customStyle="1" w:styleId="30">
    <w:name w:val="正文首行缩进 Char"/>
    <w:basedOn w:val="29"/>
    <w:link w:val="16"/>
    <w:semiHidden/>
    <w:qFormat/>
    <w:uiPriority w:val="99"/>
  </w:style>
  <w:style w:type="character" w:customStyle="1" w:styleId="31">
    <w:name w:val="表格正文 Char"/>
    <w:link w:val="32"/>
    <w:qFormat/>
    <w:locked/>
    <w:uiPriority w:val="0"/>
    <w:rPr>
      <w:rFonts w:ascii="Times New Roman" w:hAnsi="Times New Roman" w:eastAsia="宋体" w:cs="Times New Roman"/>
      <w:sz w:val="21"/>
      <w:szCs w:val="21"/>
    </w:rPr>
  </w:style>
  <w:style w:type="paragraph" w:customStyle="1" w:styleId="32">
    <w:name w:val="表格正文"/>
    <w:basedOn w:val="1"/>
    <w:next w:val="1"/>
    <w:link w:val="31"/>
    <w:autoRedefine/>
    <w:qFormat/>
    <w:uiPriority w:val="0"/>
    <w:pPr>
      <w:spacing w:line="276" w:lineRule="auto"/>
      <w:jc w:val="center"/>
    </w:pPr>
    <w:rPr>
      <w:rFonts w:ascii="Times New Roman" w:hAnsi="Times New Roman" w:eastAsia="宋体" w:cs="Times New Roman"/>
      <w:kern w:val="0"/>
      <w:szCs w:val="21"/>
    </w:rPr>
  </w:style>
  <w:style w:type="paragraph" w:customStyle="1" w:styleId="33">
    <w:name w:val="表内容"/>
    <w:basedOn w:val="1"/>
    <w:next w:val="1"/>
    <w:qFormat/>
    <w:uiPriority w:val="99"/>
    <w:pPr>
      <w:spacing w:line="320" w:lineRule="exact"/>
      <w:jc w:val="center"/>
    </w:pPr>
    <w:rPr>
      <w:rFonts w:ascii="Times New Roman" w:hAnsi="Times New Roman" w:eastAsia="宋体" w:cs="Times New Roman"/>
      <w:szCs w:val="20"/>
    </w:rPr>
  </w:style>
  <w:style w:type="character" w:customStyle="1" w:styleId="34">
    <w:name w:val="正文文本缩进 3 Char"/>
    <w:basedOn w:val="19"/>
    <w:link w:val="11"/>
    <w:semiHidden/>
    <w:qFormat/>
    <w:uiPriority w:val="99"/>
    <w:rPr>
      <w:sz w:val="16"/>
      <w:szCs w:val="16"/>
    </w:rPr>
  </w:style>
  <w:style w:type="character" w:customStyle="1" w:styleId="35">
    <w:name w:val="页眉 Char"/>
    <w:basedOn w:val="19"/>
    <w:link w:val="10"/>
    <w:qFormat/>
    <w:uiPriority w:val="0"/>
    <w:rPr>
      <w:sz w:val="18"/>
      <w:szCs w:val="18"/>
    </w:rPr>
  </w:style>
  <w:style w:type="character" w:customStyle="1" w:styleId="36">
    <w:name w:val="页脚 Char"/>
    <w:basedOn w:val="19"/>
    <w:link w:val="9"/>
    <w:autoRedefine/>
    <w:qFormat/>
    <w:uiPriority w:val="99"/>
    <w:rPr>
      <w:sz w:val="18"/>
      <w:szCs w:val="18"/>
    </w:rPr>
  </w:style>
  <w:style w:type="paragraph" w:customStyle="1" w:styleId="37">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8">
    <w:name w:val="中文报告书样式"/>
    <w:basedOn w:val="1"/>
    <w:qFormat/>
    <w:uiPriority w:val="0"/>
    <w:pPr>
      <w:widowControl/>
      <w:adjustRightInd w:val="0"/>
      <w:spacing w:line="480" w:lineRule="atLeast"/>
      <w:ind w:firstLine="482"/>
      <w:jc w:val="left"/>
    </w:pPr>
    <w:rPr>
      <w:rFonts w:ascii="黑体" w:hAnsi="黑体" w:eastAsia="宋体" w:cs="黑体"/>
      <w:kern w:val="24"/>
      <w:sz w:val="24"/>
      <w:szCs w:val="20"/>
    </w:rPr>
  </w:style>
  <w:style w:type="paragraph" w:customStyle="1" w:styleId="39">
    <w:name w:val="表格内格式"/>
    <w:basedOn w:val="1"/>
    <w:link w:val="40"/>
    <w:qFormat/>
    <w:uiPriority w:val="0"/>
    <w:pPr>
      <w:adjustRightInd w:val="0"/>
      <w:snapToGrid w:val="0"/>
      <w:spacing w:before="60"/>
      <w:jc w:val="center"/>
    </w:pPr>
    <w:rPr>
      <w:rFonts w:ascii="Times New Roman" w:hAnsi="Times New Roman" w:eastAsia="宋体" w:cs="宋体"/>
      <w:snapToGrid w:val="0"/>
      <w:kern w:val="0"/>
      <w:sz w:val="18"/>
      <w:szCs w:val="20"/>
    </w:rPr>
  </w:style>
  <w:style w:type="character" w:customStyle="1" w:styleId="40">
    <w:name w:val="表格内格式 Char"/>
    <w:link w:val="39"/>
    <w:autoRedefine/>
    <w:qFormat/>
    <w:uiPriority w:val="0"/>
    <w:rPr>
      <w:rFonts w:ascii="Times New Roman" w:hAnsi="Times New Roman" w:eastAsia="宋体" w:cs="宋体"/>
      <w:snapToGrid w:val="0"/>
      <w:kern w:val="0"/>
      <w:sz w:val="18"/>
      <w:szCs w:val="20"/>
    </w:rPr>
  </w:style>
  <w:style w:type="character" w:customStyle="1" w:styleId="41">
    <w:name w:val="表格 Char"/>
    <w:link w:val="42"/>
    <w:qFormat/>
    <w:locked/>
    <w:uiPriority w:val="0"/>
    <w:rPr>
      <w:rFonts w:ascii="宋体"/>
    </w:rPr>
  </w:style>
  <w:style w:type="paragraph" w:customStyle="1" w:styleId="42">
    <w:name w:val="表格"/>
    <w:basedOn w:val="1"/>
    <w:next w:val="1"/>
    <w:link w:val="41"/>
    <w:qFormat/>
    <w:uiPriority w:val="0"/>
    <w:pPr>
      <w:adjustRightInd w:val="0"/>
      <w:snapToGrid w:val="0"/>
      <w:spacing w:beforeLines="10" w:afterLines="10" w:line="259" w:lineRule="auto"/>
      <w:jc w:val="center"/>
    </w:pPr>
    <w:rPr>
      <w:rFonts w:ascii="宋体"/>
    </w:rPr>
  </w:style>
  <w:style w:type="character" w:customStyle="1" w:styleId="43">
    <w:name w:val="2 表格内容 Char"/>
    <w:link w:val="44"/>
    <w:qFormat/>
    <w:uiPriority w:val="0"/>
    <w:rPr>
      <w:szCs w:val="21"/>
    </w:rPr>
  </w:style>
  <w:style w:type="paragraph" w:customStyle="1" w:styleId="44">
    <w:name w:val="2 表格内容"/>
    <w:basedOn w:val="1"/>
    <w:link w:val="43"/>
    <w:qFormat/>
    <w:uiPriority w:val="0"/>
    <w:pPr>
      <w:adjustRightInd w:val="0"/>
      <w:snapToGrid w:val="0"/>
      <w:spacing w:line="320" w:lineRule="exact"/>
      <w:jc w:val="center"/>
    </w:pPr>
    <w:rPr>
      <w:szCs w:val="21"/>
    </w:rPr>
  </w:style>
  <w:style w:type="character" w:customStyle="1" w:styleId="45">
    <w:name w:val="图表标注 Char"/>
    <w:link w:val="46"/>
    <w:autoRedefine/>
    <w:qFormat/>
    <w:uiPriority w:val="0"/>
    <w:rPr>
      <w:rFonts w:eastAsia="黑体"/>
      <w:sz w:val="24"/>
    </w:rPr>
  </w:style>
  <w:style w:type="paragraph" w:customStyle="1" w:styleId="46">
    <w:name w:val="图表标注"/>
    <w:basedOn w:val="1"/>
    <w:link w:val="45"/>
    <w:autoRedefine/>
    <w:qFormat/>
    <w:uiPriority w:val="0"/>
    <w:pPr>
      <w:spacing w:line="480" w:lineRule="exact"/>
      <w:jc w:val="center"/>
    </w:pPr>
    <w:rPr>
      <w:rFonts w:eastAsia="黑体"/>
      <w:sz w:val="24"/>
    </w:rPr>
  </w:style>
  <w:style w:type="character" w:customStyle="1" w:styleId="47">
    <w:name w:val="fontstyle01"/>
    <w:qFormat/>
    <w:uiPriority w:val="0"/>
    <w:rPr>
      <w:rFonts w:hint="eastAsia" w:ascii="宋体" w:hAnsi="宋体" w:eastAsia="宋体"/>
      <w:color w:val="000000"/>
      <w:sz w:val="24"/>
      <w:szCs w:val="24"/>
    </w:rPr>
  </w:style>
  <w:style w:type="paragraph" w:customStyle="1" w:styleId="48">
    <w:name w:val="Default"/>
    <w:link w:val="49"/>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9">
    <w:name w:val="Default Char Char"/>
    <w:link w:val="48"/>
    <w:qFormat/>
    <w:uiPriority w:val="0"/>
    <w:rPr>
      <w:rFonts w:ascii="宋体" w:hAnsi="Times New Roman" w:eastAsia="宋体" w:cs="宋体"/>
      <w:color w:val="000000"/>
      <w:kern w:val="0"/>
      <w:sz w:val="24"/>
      <w:szCs w:val="24"/>
    </w:rPr>
  </w:style>
  <w:style w:type="paragraph" w:customStyle="1" w:styleId="50">
    <w:name w:val="无间隔1"/>
    <w:qFormat/>
    <w:uiPriority w:val="1"/>
    <w:pPr>
      <w:widowControl w:val="0"/>
      <w:jc w:val="center"/>
    </w:pPr>
    <w:rPr>
      <w:rFonts w:ascii="Times New Roman" w:hAnsi="Times New Roman" w:eastAsia="宋体" w:cs="Times New Roman"/>
      <w:kern w:val="2"/>
      <w:sz w:val="21"/>
      <w:szCs w:val="24"/>
      <w:lang w:val="en-US" w:eastAsia="zh-CN" w:bidi="ar-SA"/>
    </w:rPr>
  </w:style>
  <w:style w:type="paragraph" w:styleId="51">
    <w:name w:val="List Paragraph"/>
    <w:basedOn w:val="1"/>
    <w:qFormat/>
    <w:uiPriority w:val="99"/>
    <w:pPr>
      <w:ind w:firstLine="420" w:firstLineChars="200"/>
    </w:pPr>
    <w:rPr>
      <w:rFonts w:ascii="Times New Roman" w:hAnsi="Times New Roman" w:eastAsia="宋体" w:cs="Times New Roman"/>
    </w:rPr>
  </w:style>
  <w:style w:type="character" w:customStyle="1" w:styleId="52">
    <w:name w:val="报告表正文 Char Char"/>
    <w:link w:val="53"/>
    <w:qFormat/>
    <w:uiPriority w:val="0"/>
    <w:rPr>
      <w:rFonts w:eastAsia="宋体"/>
      <w:sz w:val="24"/>
    </w:rPr>
  </w:style>
  <w:style w:type="paragraph" w:customStyle="1" w:styleId="53">
    <w:name w:val="报告表正文"/>
    <w:basedOn w:val="1"/>
    <w:link w:val="52"/>
    <w:qFormat/>
    <w:uiPriority w:val="0"/>
    <w:pPr>
      <w:adjustRightInd w:val="0"/>
      <w:spacing w:line="312" w:lineRule="auto"/>
      <w:ind w:left="113" w:right="113" w:firstLine="482"/>
      <w:jc w:val="left"/>
      <w:textAlignment w:val="baseline"/>
    </w:pPr>
    <w:rPr>
      <w:rFonts w:eastAsia="宋体"/>
      <w:sz w:val="24"/>
    </w:rPr>
  </w:style>
  <w:style w:type="paragraph" w:customStyle="1" w:styleId="54">
    <w:name w:val="表格内容"/>
    <w:basedOn w:val="1"/>
    <w:link w:val="55"/>
    <w:autoRedefine/>
    <w:qFormat/>
    <w:uiPriority w:val="0"/>
    <w:pPr>
      <w:overflowPunct w:val="0"/>
      <w:adjustRightInd w:val="0"/>
      <w:snapToGrid w:val="0"/>
      <w:spacing w:line="276" w:lineRule="auto"/>
      <w:jc w:val="center"/>
      <w:textAlignment w:val="baseline"/>
    </w:pPr>
    <w:rPr>
      <w:rFonts w:ascii="Times New Roman" w:hAnsi="Times New Roman" w:eastAsia="宋体" w:cs="Times New Roman"/>
      <w:kern w:val="0"/>
      <w:szCs w:val="21"/>
    </w:rPr>
  </w:style>
  <w:style w:type="character" w:customStyle="1" w:styleId="55">
    <w:name w:val="表格内容 Char Char"/>
    <w:link w:val="54"/>
    <w:qFormat/>
    <w:uiPriority w:val="0"/>
    <w:rPr>
      <w:sz w:val="21"/>
      <w:szCs w:val="21"/>
    </w:rPr>
  </w:style>
  <w:style w:type="character" w:customStyle="1" w:styleId="56">
    <w:name w:val="正文文本 2 Char"/>
    <w:basedOn w:val="19"/>
    <w:link w:val="13"/>
    <w:semiHidden/>
    <w:qFormat/>
    <w:uiPriority w:val="99"/>
  </w:style>
  <w:style w:type="character" w:customStyle="1" w:styleId="57">
    <w:name w:val="1正文段落 Char"/>
    <w:link w:val="58"/>
    <w:autoRedefine/>
    <w:qFormat/>
    <w:uiPriority w:val="0"/>
    <w:rPr>
      <w:rFonts w:cs="Times New Roman"/>
      <w:snapToGrid w:val="0"/>
      <w:sz w:val="24"/>
      <w:szCs w:val="21"/>
    </w:rPr>
  </w:style>
  <w:style w:type="paragraph" w:customStyle="1" w:styleId="58">
    <w:name w:val="1正文段落"/>
    <w:basedOn w:val="1"/>
    <w:link w:val="57"/>
    <w:qFormat/>
    <w:uiPriority w:val="0"/>
    <w:pPr>
      <w:spacing w:line="360" w:lineRule="auto"/>
      <w:ind w:firstLine="200" w:firstLineChars="200"/>
    </w:pPr>
    <w:rPr>
      <w:rFonts w:cs="Times New Roman"/>
      <w:snapToGrid w:val="0"/>
      <w:sz w:val="24"/>
      <w:szCs w:val="21"/>
    </w:rPr>
  </w:style>
  <w:style w:type="paragraph" w:customStyle="1" w:styleId="59">
    <w:name w:val="正文内容"/>
    <w:link w:val="60"/>
    <w:qFormat/>
    <w:uiPriority w:val="0"/>
    <w:pPr>
      <w:widowControl w:val="0"/>
      <w:snapToGrid w:val="0"/>
      <w:spacing w:before="60" w:after="60" w:line="480" w:lineRule="exact"/>
      <w:ind w:firstLine="200" w:firstLineChars="200"/>
      <w:jc w:val="both"/>
    </w:pPr>
    <w:rPr>
      <w:rFonts w:ascii="Times New Roman" w:hAnsi="Times New Roman" w:eastAsia="宋体" w:cs="Times New Roman"/>
      <w:kern w:val="2"/>
      <w:sz w:val="24"/>
      <w:szCs w:val="24"/>
      <w:lang w:val="en-US" w:eastAsia="zh-CN" w:bidi="ar-SA"/>
    </w:rPr>
  </w:style>
  <w:style w:type="character" w:customStyle="1" w:styleId="60">
    <w:name w:val="正文内容 Char"/>
    <w:link w:val="59"/>
    <w:qFormat/>
    <w:uiPriority w:val="0"/>
    <w:rPr>
      <w:rFonts w:ascii="Times New Roman" w:hAnsi="Times New Roman" w:eastAsia="宋体" w:cs="Times New Roman"/>
      <w:sz w:val="24"/>
      <w:szCs w:val="24"/>
    </w:rPr>
  </w:style>
  <w:style w:type="character" w:customStyle="1" w:styleId="61">
    <w:name w:val="标题 1 Char"/>
    <w:basedOn w:val="19"/>
    <w:link w:val="2"/>
    <w:autoRedefine/>
    <w:qFormat/>
    <w:uiPriority w:val="9"/>
    <w:rPr>
      <w:rFonts w:ascii="宋体" w:hAnsi="宋体" w:eastAsia="宋体" w:cs="宋体"/>
      <w:b/>
      <w:bCs/>
      <w:kern w:val="36"/>
      <w:sz w:val="48"/>
      <w:szCs w:val="48"/>
    </w:rPr>
  </w:style>
  <w:style w:type="paragraph" w:customStyle="1" w:styleId="62">
    <w:name w:val="表格内部—常用"/>
    <w:basedOn w:val="1"/>
    <w:next w:val="1"/>
    <w:autoRedefine/>
    <w:qFormat/>
    <w:uiPriority w:val="0"/>
    <w:pPr>
      <w:jc w:val="center"/>
    </w:pPr>
    <w:rPr>
      <w:rFonts w:ascii="Times New Roman" w:hAnsi="Times New Roman" w:eastAsia="宋体" w:cs="Times New Roman"/>
      <w:szCs w:val="21"/>
    </w:rPr>
  </w:style>
  <w:style w:type="character" w:customStyle="1" w:styleId="63">
    <w:name w:val="font81"/>
    <w:basedOn w:val="19"/>
    <w:autoRedefine/>
    <w:qFormat/>
    <w:uiPriority w:val="0"/>
    <w:rPr>
      <w:rFonts w:hint="eastAsia" w:ascii="宋体" w:hAnsi="宋体" w:eastAsia="宋体" w:cs="宋体"/>
      <w:color w:val="000000"/>
      <w:sz w:val="18"/>
      <w:szCs w:val="18"/>
      <w:u w:val="none"/>
    </w:rPr>
  </w:style>
  <w:style w:type="character" w:customStyle="1" w:styleId="64">
    <w:name w:val="标题 3 Char"/>
    <w:basedOn w:val="19"/>
    <w:link w:val="4"/>
    <w:autoRedefine/>
    <w:semiHidden/>
    <w:qFormat/>
    <w:uiPriority w:val="9"/>
    <w:rPr>
      <w:b/>
      <w:bCs/>
      <w:sz w:val="32"/>
      <w:szCs w:val="32"/>
    </w:rPr>
  </w:style>
  <w:style w:type="paragraph" w:customStyle="1" w:styleId="65">
    <w:name w:val="正文-7"/>
    <w:basedOn w:val="1"/>
    <w:autoRedefine/>
    <w:qFormat/>
    <w:uiPriority w:val="0"/>
    <w:pPr>
      <w:spacing w:line="440" w:lineRule="exact"/>
      <w:ind w:firstLine="200" w:firstLineChars="200"/>
    </w:pPr>
    <w:rPr>
      <w:rFonts w:ascii="Times New Roman" w:hAnsi="Times New Roman" w:eastAsia="宋体" w:cs="Times New Roman"/>
      <w:snapToGrid w:val="0"/>
      <w:kern w:val="0"/>
      <w:sz w:val="24"/>
      <w:szCs w:val="24"/>
    </w:rPr>
  </w:style>
  <w:style w:type="character" w:customStyle="1" w:styleId="66">
    <w:name w:val="+正文 Char Char"/>
    <w:link w:val="67"/>
    <w:autoRedefine/>
    <w:qFormat/>
    <w:uiPriority w:val="0"/>
    <w:rPr>
      <w:rFonts w:eastAsia="宋体"/>
      <w:sz w:val="24"/>
      <w:szCs w:val="28"/>
    </w:rPr>
  </w:style>
  <w:style w:type="paragraph" w:customStyle="1" w:styleId="67">
    <w:name w:val="+正文"/>
    <w:basedOn w:val="1"/>
    <w:link w:val="66"/>
    <w:autoRedefine/>
    <w:qFormat/>
    <w:uiPriority w:val="0"/>
    <w:pPr>
      <w:spacing w:line="360" w:lineRule="auto"/>
      <w:ind w:firstLine="200" w:firstLineChars="200"/>
    </w:pPr>
    <w:rPr>
      <w:rFonts w:eastAsia="宋体"/>
      <w:sz w:val="24"/>
      <w:szCs w:val="28"/>
    </w:rPr>
  </w:style>
  <w:style w:type="character" w:customStyle="1" w:styleId="68">
    <w:name w:val="标题 2 Char"/>
    <w:basedOn w:val="19"/>
    <w:link w:val="3"/>
    <w:autoRedefine/>
    <w:semiHidden/>
    <w:qFormat/>
    <w:uiPriority w:val="9"/>
    <w:rPr>
      <w:rFonts w:asciiTheme="majorHAnsi" w:hAnsiTheme="majorHAnsi" w:eastAsiaTheme="majorEastAsia" w:cstheme="majorBidi"/>
      <w:b/>
      <w:bCs/>
      <w:sz w:val="32"/>
      <w:szCs w:val="32"/>
    </w:rPr>
  </w:style>
  <w:style w:type="character" w:customStyle="1" w:styleId="69">
    <w:name w:val="表格文字2 Char"/>
    <w:link w:val="70"/>
    <w:autoRedefine/>
    <w:qFormat/>
    <w:locked/>
    <w:uiPriority w:val="0"/>
    <w:rPr>
      <w:rFonts w:cs="宋体"/>
      <w:szCs w:val="21"/>
    </w:rPr>
  </w:style>
  <w:style w:type="paragraph" w:customStyle="1" w:styleId="70">
    <w:name w:val="表格文字2"/>
    <w:basedOn w:val="1"/>
    <w:link w:val="69"/>
    <w:autoRedefine/>
    <w:qFormat/>
    <w:uiPriority w:val="0"/>
    <w:pPr>
      <w:tabs>
        <w:tab w:val="left" w:pos="277"/>
        <w:tab w:val="left" w:pos="600"/>
        <w:tab w:val="left" w:pos="780"/>
        <w:tab w:val="left" w:pos="2517"/>
      </w:tabs>
      <w:adjustRightInd w:val="0"/>
      <w:spacing w:before="60"/>
      <w:jc w:val="center"/>
      <w:textAlignment w:val="baseline"/>
    </w:pPr>
    <w:rPr>
      <w:rFonts w:cs="宋体"/>
      <w:szCs w:val="21"/>
    </w:rPr>
  </w:style>
  <w:style w:type="paragraph" w:customStyle="1" w:styleId="71">
    <w:name w:val="表格内文字"/>
    <w:basedOn w:val="1"/>
    <w:link w:val="72"/>
    <w:autoRedefine/>
    <w:qFormat/>
    <w:uiPriority w:val="0"/>
    <w:pPr>
      <w:adjustRightInd w:val="0"/>
      <w:snapToGrid w:val="0"/>
      <w:jc w:val="center"/>
    </w:pPr>
    <w:rPr>
      <w:rFonts w:ascii="Times New Roman" w:hAnsi="Times New Roman" w:eastAsia="宋体" w:cs="Times New Roman"/>
      <w:color w:val="000000"/>
      <w:szCs w:val="24"/>
    </w:rPr>
  </w:style>
  <w:style w:type="character" w:customStyle="1" w:styleId="72">
    <w:name w:val="表格内文字 Char"/>
    <w:link w:val="71"/>
    <w:qFormat/>
    <w:uiPriority w:val="0"/>
    <w:rPr>
      <w:color w:val="000000"/>
      <w:kern w:val="2"/>
      <w:sz w:val="21"/>
      <w:szCs w:val="24"/>
    </w:rPr>
  </w:style>
  <w:style w:type="paragraph" w:customStyle="1" w:styleId="73">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74">
    <w:name w:val="表格标题"/>
    <w:autoRedefine/>
    <w:qFormat/>
    <w:uiPriority w:val="0"/>
    <w:pPr>
      <w:spacing w:before="50" w:beforeLines="50"/>
      <w:ind w:firstLine="0" w:firstLineChars="0"/>
      <w:jc w:val="center"/>
    </w:pPr>
    <w:rPr>
      <w:rFonts w:ascii="Times New Roman" w:hAnsi="Times New Roman" w:eastAsia="宋体" w:cs="Times New Roman"/>
      <w:b/>
      <w:sz w:val="21"/>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jpe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19E14F-C0CA-49E4-977F-3BD39529946E}">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86</Pages>
  <Words>20249</Words>
  <Characters>22249</Characters>
  <Lines>358</Lines>
  <Paragraphs>100</Paragraphs>
  <TotalTime>13</TotalTime>
  <ScaleCrop>false</ScaleCrop>
  <LinksUpToDate>false</LinksUpToDate>
  <CharactersWithSpaces>22300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2025-06-12T01:04:00Z</dcterms:created>
  <dc:creator>L</dc:creator>
  <cp:lastModifiedBy>沐若清辰</cp:lastModifiedBy>
  <cp:lastPrinted>2022-08-31T07:39:00Z</cp:lastPrinted>
  <dcterms:modified xsi:type="dcterms:W3CDTF">2025-09-15T03:03:16Z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F6496BDFC4E74CDFA66DBD8B0055F845_13</vt:lpwstr>
  </property>
  <property fmtid="{D5CDD505-2E9C-101B-9397-08002B2CF9AE}" pid="4" name="KSOTemplateDocerSaveRecord">
    <vt:lpwstr>eyJoZGlkIjoiMzgyNDE0Mjg5NDgyMjAwNWJlYTg4ZThlZDFlYzZiOTYiLCJ1c2VySWQiOiIxMDY0ODMwNzY3In0=</vt:lpwstr>
  </property>
</Properties>
</file>