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798CF">
      <w:pPr>
        <w:rPr>
          <w:rFonts w:eastAsia="仿宋_GB2312"/>
          <w:color w:val="auto"/>
          <w:kern w:val="21"/>
          <w:sz w:val="36"/>
          <w:szCs w:val="36"/>
        </w:rPr>
      </w:pPr>
    </w:p>
    <w:p w14:paraId="510E985C">
      <w:pPr>
        <w:rPr>
          <w:rFonts w:eastAsia="仿宋_GB2312"/>
          <w:color w:val="auto"/>
          <w:kern w:val="21"/>
          <w:sz w:val="36"/>
          <w:szCs w:val="36"/>
        </w:rPr>
      </w:pPr>
    </w:p>
    <w:p w14:paraId="12EA7DA3">
      <w:pPr>
        <w:rPr>
          <w:rFonts w:eastAsia="仿宋_GB2312"/>
          <w:color w:val="auto"/>
          <w:kern w:val="21"/>
          <w:sz w:val="36"/>
          <w:szCs w:val="36"/>
        </w:rPr>
      </w:pPr>
    </w:p>
    <w:p w14:paraId="0DE17D67">
      <w:pPr>
        <w:rPr>
          <w:rFonts w:eastAsia="仿宋_GB2312"/>
          <w:color w:val="auto"/>
          <w:kern w:val="21"/>
          <w:sz w:val="36"/>
          <w:szCs w:val="36"/>
        </w:rPr>
      </w:pPr>
    </w:p>
    <w:p w14:paraId="77808A10">
      <w:pPr>
        <w:rPr>
          <w:rFonts w:eastAsia="仿宋_GB2312"/>
          <w:color w:val="auto"/>
          <w:kern w:val="21"/>
          <w:sz w:val="36"/>
          <w:szCs w:val="36"/>
        </w:rPr>
      </w:pPr>
    </w:p>
    <w:p w14:paraId="58720800">
      <w:pPr>
        <w:adjustRightInd w:val="0"/>
        <w:snapToGrid w:val="0"/>
        <w:jc w:val="center"/>
        <w:outlineLvl w:val="0"/>
        <w:rPr>
          <w:rFonts w:eastAsia="方正小标宋_GBK"/>
          <w:bCs/>
          <w:color w:val="auto"/>
          <w:kern w:val="21"/>
          <w:sz w:val="72"/>
          <w:szCs w:val="72"/>
        </w:rPr>
      </w:pPr>
      <w:r>
        <w:rPr>
          <w:rFonts w:eastAsia="方正小标宋_GBK"/>
          <w:bCs/>
          <w:color w:val="auto"/>
          <w:kern w:val="21"/>
          <w:sz w:val="72"/>
          <w:szCs w:val="72"/>
        </w:rPr>
        <w:t>建设项目环境影响报告表</w:t>
      </w:r>
    </w:p>
    <w:p w14:paraId="309089CB">
      <w:pPr>
        <w:adjustRightInd w:val="0"/>
        <w:snapToGrid w:val="0"/>
        <w:spacing w:beforeLines="80"/>
        <w:jc w:val="center"/>
        <w:rPr>
          <w:rFonts w:eastAsia="楷体_GB2312"/>
          <w:bCs/>
          <w:color w:val="auto"/>
          <w:kern w:val="21"/>
          <w:sz w:val="48"/>
          <w:szCs w:val="48"/>
        </w:rPr>
      </w:pPr>
      <w:r>
        <w:rPr>
          <w:rFonts w:eastAsia="楷体_GB2312"/>
          <w:bCs/>
          <w:color w:val="auto"/>
          <w:kern w:val="21"/>
          <w:sz w:val="48"/>
          <w:szCs w:val="48"/>
        </w:rPr>
        <w:t>（污染影响类）</w:t>
      </w:r>
    </w:p>
    <w:p w14:paraId="21EB8862">
      <w:pPr>
        <w:adjustRightInd w:val="0"/>
        <w:snapToGrid w:val="0"/>
        <w:spacing w:line="288" w:lineRule="auto"/>
        <w:jc w:val="center"/>
        <w:outlineLvl w:val="0"/>
        <w:rPr>
          <w:rFonts w:eastAsia="华文仿宋"/>
          <w:color w:val="auto"/>
          <w:kern w:val="21"/>
          <w:sz w:val="44"/>
          <w:szCs w:val="44"/>
        </w:rPr>
      </w:pPr>
    </w:p>
    <w:p w14:paraId="05F8698F">
      <w:pPr>
        <w:ind w:firstLine="1040"/>
        <w:rPr>
          <w:rFonts w:eastAsia="仿宋"/>
          <w:color w:val="auto"/>
          <w:kern w:val="21"/>
          <w:sz w:val="44"/>
          <w:szCs w:val="44"/>
        </w:rPr>
      </w:pPr>
    </w:p>
    <w:p w14:paraId="6F86C054">
      <w:pPr>
        <w:ind w:firstLine="1040"/>
        <w:rPr>
          <w:rFonts w:eastAsia="仿宋"/>
          <w:color w:val="auto"/>
          <w:kern w:val="21"/>
          <w:sz w:val="44"/>
          <w:szCs w:val="44"/>
        </w:rPr>
      </w:pPr>
    </w:p>
    <w:p w14:paraId="6ED05025">
      <w:pPr>
        <w:keepNext w:val="0"/>
        <w:keepLines w:val="0"/>
        <w:pageBreakBefore w:val="0"/>
        <w:widowControl w:val="0"/>
        <w:kinsoku/>
        <w:wordWrap/>
        <w:overflowPunct/>
        <w:topLinePunct w:val="0"/>
        <w:autoSpaceDE/>
        <w:autoSpaceDN/>
        <w:bidi w:val="0"/>
        <w:adjustRightInd w:val="0"/>
        <w:snapToGrid w:val="0"/>
        <w:spacing w:line="480" w:lineRule="auto"/>
        <w:ind w:firstLine="720" w:firstLineChars="200"/>
        <w:jc w:val="both"/>
        <w:textAlignment w:val="auto"/>
        <w:rPr>
          <w:rFonts w:eastAsia="仿宋_GB2312"/>
          <w:color w:val="auto"/>
          <w:kern w:val="21"/>
          <w:sz w:val="36"/>
          <w:szCs w:val="36"/>
        </w:rPr>
      </w:pPr>
    </w:p>
    <w:p w14:paraId="6727250D">
      <w:pPr>
        <w:keepNext w:val="0"/>
        <w:keepLines w:val="0"/>
        <w:pageBreakBefore w:val="0"/>
        <w:widowControl w:val="0"/>
        <w:kinsoku/>
        <w:wordWrap/>
        <w:overflowPunct/>
        <w:topLinePunct w:val="0"/>
        <w:autoSpaceDE/>
        <w:autoSpaceDN/>
        <w:bidi w:val="0"/>
        <w:adjustRightInd w:val="0"/>
        <w:snapToGrid w:val="0"/>
        <w:spacing w:line="480" w:lineRule="auto"/>
        <w:ind w:firstLine="720" w:firstLineChars="200"/>
        <w:jc w:val="both"/>
        <w:textAlignment w:val="auto"/>
        <w:rPr>
          <w:rFonts w:eastAsia="仿宋_GB2312"/>
          <w:color w:val="auto"/>
          <w:kern w:val="21"/>
          <w:sz w:val="36"/>
          <w:szCs w:val="36"/>
        </w:rPr>
      </w:pPr>
    </w:p>
    <w:p w14:paraId="1359D87C">
      <w:pPr>
        <w:keepNext w:val="0"/>
        <w:keepLines w:val="0"/>
        <w:pageBreakBefore w:val="0"/>
        <w:widowControl w:val="0"/>
        <w:kinsoku/>
        <w:wordWrap/>
        <w:overflowPunct/>
        <w:topLinePunct w:val="0"/>
        <w:autoSpaceDE/>
        <w:autoSpaceDN/>
        <w:bidi w:val="0"/>
        <w:adjustRightInd w:val="0"/>
        <w:snapToGrid w:val="0"/>
        <w:spacing w:line="480" w:lineRule="auto"/>
        <w:ind w:firstLine="720" w:firstLineChars="200"/>
        <w:jc w:val="both"/>
        <w:textAlignment w:val="auto"/>
        <w:rPr>
          <w:rFonts w:hint="default" w:eastAsia="仿宋_GB2312"/>
          <w:color w:val="auto"/>
          <w:kern w:val="21"/>
          <w:sz w:val="36"/>
          <w:szCs w:val="36"/>
          <w:u w:val="single"/>
          <w:lang w:val="en-US" w:eastAsia="zh-CN"/>
        </w:rPr>
      </w:pPr>
      <w:r>
        <w:rPr>
          <w:rFonts w:eastAsia="仿宋_GB2312"/>
          <w:color w:val="auto"/>
          <w:kern w:val="21"/>
          <w:sz w:val="36"/>
          <w:szCs w:val="36"/>
        </w:rPr>
        <w:t>项目名称：</w:t>
      </w:r>
      <w:r>
        <w:rPr>
          <w:rFonts w:hint="eastAsia" w:eastAsia="仿宋_GB2312"/>
          <w:color w:val="auto"/>
          <w:kern w:val="21"/>
          <w:sz w:val="36"/>
          <w:szCs w:val="36"/>
          <w:u w:val="single"/>
          <w:lang w:val="en-US" w:eastAsia="zh-CN"/>
        </w:rPr>
        <w:t xml:space="preserve">    </w:t>
      </w:r>
      <w:r>
        <w:rPr>
          <w:rFonts w:hint="eastAsia" w:eastAsia="仿宋_GB2312"/>
          <w:color w:val="auto"/>
          <w:kern w:val="21"/>
          <w:sz w:val="36"/>
          <w:szCs w:val="36"/>
          <w:u w:val="single"/>
          <w:lang w:eastAsia="zh-CN"/>
        </w:rPr>
        <w:t>架河循环产业园田福食品项目</w:t>
      </w:r>
      <w:r>
        <w:rPr>
          <w:rFonts w:hint="eastAsia" w:eastAsia="仿宋_GB2312"/>
          <w:color w:val="auto"/>
          <w:kern w:val="21"/>
          <w:sz w:val="36"/>
          <w:szCs w:val="36"/>
          <w:u w:val="single"/>
          <w:lang w:val="en-US" w:eastAsia="zh-CN"/>
        </w:rPr>
        <w:t xml:space="preserve">    </w:t>
      </w:r>
    </w:p>
    <w:p w14:paraId="7ED332E9">
      <w:pPr>
        <w:keepNext w:val="0"/>
        <w:keepLines w:val="0"/>
        <w:pageBreakBefore w:val="0"/>
        <w:widowControl w:val="0"/>
        <w:kinsoku/>
        <w:wordWrap/>
        <w:overflowPunct/>
        <w:topLinePunct w:val="0"/>
        <w:autoSpaceDE/>
        <w:autoSpaceDN/>
        <w:bidi w:val="0"/>
        <w:adjustRightInd w:val="0"/>
        <w:snapToGrid w:val="0"/>
        <w:spacing w:before="192" w:line="480" w:lineRule="auto"/>
        <w:ind w:firstLine="720" w:firstLineChars="200"/>
        <w:textAlignment w:val="auto"/>
        <w:rPr>
          <w:rFonts w:eastAsia="仿宋_GB2312"/>
          <w:color w:val="auto"/>
          <w:kern w:val="21"/>
          <w:sz w:val="36"/>
          <w:szCs w:val="36"/>
          <w:u w:val="single"/>
          <w:lang w:eastAsia="en-US"/>
        </w:rPr>
      </w:pPr>
      <w:r>
        <w:rPr>
          <w:rFonts w:eastAsia="仿宋_GB2312"/>
          <w:color w:val="auto"/>
          <w:kern w:val="21"/>
          <w:sz w:val="36"/>
          <w:szCs w:val="36"/>
        </w:rPr>
        <w:t>建设单位（盖章）：</w:t>
      </w:r>
      <w:r>
        <w:rPr>
          <w:rFonts w:hint="eastAsia" w:eastAsia="仿宋_GB2312"/>
          <w:color w:val="auto"/>
          <w:kern w:val="21"/>
          <w:sz w:val="36"/>
          <w:szCs w:val="36"/>
          <w:u w:val="single"/>
          <w:lang w:val="en-US" w:eastAsia="zh-CN"/>
        </w:rPr>
        <w:t xml:space="preserve">  </w:t>
      </w:r>
      <w:r>
        <w:rPr>
          <w:rFonts w:eastAsia="仿宋_GB2312"/>
          <w:color w:val="auto"/>
          <w:kern w:val="21"/>
          <w:sz w:val="36"/>
          <w:szCs w:val="36"/>
          <w:u w:val="single"/>
          <w:lang w:eastAsia="en-US"/>
        </w:rPr>
        <w:t>安徽</w:t>
      </w:r>
      <w:r>
        <w:rPr>
          <w:rFonts w:hint="eastAsia" w:eastAsia="仿宋_GB2312"/>
          <w:color w:val="auto"/>
          <w:kern w:val="21"/>
          <w:sz w:val="36"/>
          <w:szCs w:val="36"/>
          <w:u w:val="single"/>
        </w:rPr>
        <w:t>田福农业科技</w:t>
      </w:r>
      <w:r>
        <w:rPr>
          <w:rFonts w:eastAsia="仿宋_GB2312"/>
          <w:color w:val="auto"/>
          <w:kern w:val="21"/>
          <w:sz w:val="36"/>
          <w:szCs w:val="36"/>
          <w:u w:val="single"/>
          <w:lang w:eastAsia="en-US"/>
        </w:rPr>
        <w:t>有限公司</w:t>
      </w:r>
      <w:r>
        <w:rPr>
          <w:rFonts w:hint="eastAsia" w:eastAsia="仿宋_GB2312"/>
          <w:color w:val="auto"/>
          <w:kern w:val="21"/>
          <w:sz w:val="36"/>
          <w:szCs w:val="36"/>
          <w:u w:val="single"/>
          <w:lang w:val="en-US" w:eastAsia="zh-CN"/>
        </w:rPr>
        <w:t xml:space="preserve"> </w:t>
      </w:r>
      <w:r>
        <w:rPr>
          <w:rFonts w:eastAsia="仿宋_GB2312"/>
          <w:color w:val="auto"/>
          <w:kern w:val="21"/>
          <w:sz w:val="36"/>
          <w:szCs w:val="36"/>
          <w:u w:val="single"/>
          <w:lang w:eastAsia="en-US"/>
        </w:rPr>
        <w:t xml:space="preserve"> </w:t>
      </w:r>
    </w:p>
    <w:p w14:paraId="7BF665FD">
      <w:pPr>
        <w:keepNext w:val="0"/>
        <w:keepLines w:val="0"/>
        <w:pageBreakBefore w:val="0"/>
        <w:widowControl w:val="0"/>
        <w:kinsoku/>
        <w:wordWrap/>
        <w:overflowPunct/>
        <w:topLinePunct w:val="0"/>
        <w:autoSpaceDE/>
        <w:autoSpaceDN/>
        <w:bidi w:val="0"/>
        <w:adjustRightInd w:val="0"/>
        <w:snapToGrid w:val="0"/>
        <w:spacing w:line="480" w:lineRule="auto"/>
        <w:ind w:firstLine="720" w:firstLineChars="200"/>
        <w:textAlignment w:val="auto"/>
        <w:rPr>
          <w:rFonts w:eastAsia="仿宋_GB2312"/>
          <w:color w:val="auto"/>
          <w:kern w:val="21"/>
          <w:sz w:val="36"/>
          <w:szCs w:val="36"/>
          <w:u w:val="single"/>
        </w:rPr>
      </w:pPr>
      <w:r>
        <w:rPr>
          <w:rFonts w:eastAsia="仿宋_GB2312"/>
          <w:color w:val="auto"/>
          <w:kern w:val="21"/>
          <w:sz w:val="36"/>
          <w:szCs w:val="36"/>
        </w:rPr>
        <w:t>编制日期：</w:t>
      </w:r>
      <w:r>
        <w:rPr>
          <w:rFonts w:eastAsia="仿宋_GB2312"/>
          <w:color w:val="auto"/>
          <w:kern w:val="21"/>
          <w:sz w:val="36"/>
          <w:szCs w:val="36"/>
          <w:u w:val="single"/>
        </w:rPr>
        <w:t xml:space="preserve">  </w:t>
      </w:r>
      <w:r>
        <w:rPr>
          <w:rFonts w:hint="eastAsia" w:eastAsia="仿宋_GB2312"/>
          <w:color w:val="auto"/>
          <w:kern w:val="21"/>
          <w:sz w:val="36"/>
          <w:szCs w:val="36"/>
          <w:u w:val="single"/>
          <w:lang w:val="en-US" w:eastAsia="zh-CN"/>
        </w:rPr>
        <w:t xml:space="preserve">         </w:t>
      </w:r>
      <w:r>
        <w:rPr>
          <w:rFonts w:hint="eastAsia" w:eastAsia="仿宋_GB2312"/>
          <w:b w:val="0"/>
          <w:bCs w:val="0"/>
          <w:color w:val="auto"/>
          <w:kern w:val="21"/>
          <w:sz w:val="36"/>
          <w:szCs w:val="36"/>
          <w:u w:val="single"/>
          <w:lang w:val="en-US" w:eastAsia="zh-CN"/>
        </w:rPr>
        <w:t xml:space="preserve"> </w:t>
      </w:r>
      <w:r>
        <w:rPr>
          <w:rFonts w:hint="default" w:ascii="Times New Roman" w:hAnsi="Times New Roman" w:eastAsia="仿宋_GB2312" w:cs="Times New Roman"/>
          <w:b w:val="0"/>
          <w:bCs w:val="0"/>
          <w:color w:val="auto"/>
          <w:kern w:val="21"/>
          <w:sz w:val="36"/>
          <w:szCs w:val="36"/>
          <w:u w:val="single"/>
        </w:rPr>
        <w:t>202</w:t>
      </w:r>
      <w:r>
        <w:rPr>
          <w:rFonts w:hint="default" w:ascii="Times New Roman" w:hAnsi="Times New Roman" w:eastAsia="仿宋_GB2312" w:cs="Times New Roman"/>
          <w:b w:val="0"/>
          <w:bCs w:val="0"/>
          <w:color w:val="auto"/>
          <w:kern w:val="21"/>
          <w:sz w:val="36"/>
          <w:szCs w:val="36"/>
          <w:u w:val="single"/>
          <w:lang w:val="en-US" w:eastAsia="zh-CN"/>
        </w:rPr>
        <w:t>5</w:t>
      </w:r>
      <w:r>
        <w:rPr>
          <w:rFonts w:hint="default" w:ascii="Times New Roman" w:hAnsi="Times New Roman" w:eastAsia="仿宋_GB2312" w:cs="Times New Roman"/>
          <w:b w:val="0"/>
          <w:bCs w:val="0"/>
          <w:color w:val="auto"/>
          <w:kern w:val="21"/>
          <w:sz w:val="36"/>
          <w:szCs w:val="36"/>
          <w:u w:val="single"/>
        </w:rPr>
        <w:t>年</w:t>
      </w:r>
      <w:r>
        <w:rPr>
          <w:rFonts w:hint="eastAsia" w:eastAsia="仿宋_GB2312" w:cs="Times New Roman"/>
          <w:b w:val="0"/>
          <w:bCs w:val="0"/>
          <w:color w:val="auto"/>
          <w:kern w:val="21"/>
          <w:sz w:val="36"/>
          <w:szCs w:val="36"/>
          <w:u w:val="single"/>
          <w:lang w:val="en-US" w:eastAsia="zh-CN"/>
        </w:rPr>
        <w:t>8</w:t>
      </w:r>
      <w:r>
        <w:rPr>
          <w:rFonts w:hint="default" w:ascii="Times New Roman" w:hAnsi="Times New Roman" w:eastAsia="仿宋_GB2312" w:cs="Times New Roman"/>
          <w:b w:val="0"/>
          <w:bCs w:val="0"/>
          <w:color w:val="auto"/>
          <w:kern w:val="21"/>
          <w:sz w:val="36"/>
          <w:szCs w:val="36"/>
          <w:u w:val="single"/>
        </w:rPr>
        <w:t>月</w:t>
      </w:r>
      <w:r>
        <w:rPr>
          <w:rFonts w:hint="eastAsia" w:eastAsia="仿宋_GB2312"/>
          <w:color w:val="auto"/>
          <w:kern w:val="21"/>
          <w:sz w:val="36"/>
          <w:szCs w:val="36"/>
          <w:u w:val="single"/>
          <w:lang w:val="en-US" w:eastAsia="zh-CN"/>
        </w:rPr>
        <w:t xml:space="preserve">          </w:t>
      </w:r>
      <w:r>
        <w:rPr>
          <w:rFonts w:eastAsia="仿宋_GB2312"/>
          <w:color w:val="auto"/>
          <w:kern w:val="21"/>
          <w:sz w:val="36"/>
          <w:szCs w:val="36"/>
          <w:u w:val="single"/>
        </w:rPr>
        <w:t xml:space="preserve">   </w:t>
      </w:r>
    </w:p>
    <w:p w14:paraId="6647C5D5">
      <w:pPr>
        <w:adjustRightInd w:val="0"/>
        <w:snapToGrid w:val="0"/>
        <w:spacing w:line="288" w:lineRule="auto"/>
        <w:ind w:firstLine="1040"/>
        <w:rPr>
          <w:rFonts w:eastAsia="仿宋_GB2312"/>
          <w:color w:val="auto"/>
          <w:kern w:val="21"/>
          <w:sz w:val="36"/>
          <w:szCs w:val="36"/>
          <w:u w:val="single"/>
        </w:rPr>
      </w:pPr>
      <w:bookmarkStart w:id="0" w:name="_Hlk57884087"/>
    </w:p>
    <w:p w14:paraId="04CE547C">
      <w:pPr>
        <w:adjustRightInd w:val="0"/>
        <w:snapToGrid w:val="0"/>
        <w:spacing w:line="288" w:lineRule="auto"/>
        <w:ind w:firstLine="1040"/>
        <w:rPr>
          <w:rFonts w:eastAsia="仿宋_GB2312"/>
          <w:color w:val="auto"/>
          <w:kern w:val="21"/>
          <w:sz w:val="36"/>
          <w:szCs w:val="36"/>
        </w:rPr>
      </w:pPr>
    </w:p>
    <w:p w14:paraId="2CECA95B">
      <w:pPr>
        <w:adjustRightInd w:val="0"/>
        <w:snapToGrid w:val="0"/>
        <w:spacing w:line="288" w:lineRule="auto"/>
        <w:ind w:firstLine="1040"/>
        <w:rPr>
          <w:rFonts w:eastAsia="仿宋_GB2312"/>
          <w:color w:val="auto"/>
          <w:kern w:val="21"/>
          <w:sz w:val="36"/>
          <w:szCs w:val="36"/>
        </w:rPr>
      </w:pPr>
    </w:p>
    <w:p w14:paraId="293E43D5">
      <w:pPr>
        <w:adjustRightInd w:val="0"/>
        <w:snapToGrid w:val="0"/>
        <w:spacing w:line="288" w:lineRule="auto"/>
        <w:ind w:firstLine="1040"/>
        <w:rPr>
          <w:rFonts w:eastAsia="仿宋_GB2312"/>
          <w:color w:val="auto"/>
          <w:kern w:val="21"/>
          <w:sz w:val="36"/>
          <w:szCs w:val="36"/>
        </w:rPr>
      </w:pPr>
    </w:p>
    <w:bookmarkEnd w:id="0"/>
    <w:p w14:paraId="57073A97">
      <w:pPr>
        <w:adjustRightInd w:val="0"/>
        <w:snapToGrid w:val="0"/>
        <w:spacing w:line="288" w:lineRule="auto"/>
        <w:jc w:val="center"/>
        <w:rPr>
          <w:rFonts w:eastAsia="仿宋_GB2312"/>
          <w:color w:val="auto"/>
          <w:kern w:val="21"/>
          <w:sz w:val="36"/>
          <w:szCs w:val="36"/>
        </w:rPr>
      </w:pPr>
      <w:r>
        <w:rPr>
          <w:rFonts w:eastAsia="楷体_GB2312"/>
          <w:color w:val="auto"/>
          <w:kern w:val="21"/>
          <w:sz w:val="36"/>
          <w:szCs w:val="36"/>
        </w:rPr>
        <w:t>中华人民共和国生态环境部制</w:t>
      </w:r>
    </w:p>
    <w:p w14:paraId="3AEDC22C">
      <w:pPr>
        <w:adjustRightInd w:val="0"/>
        <w:snapToGrid w:val="0"/>
        <w:spacing w:line="288" w:lineRule="auto"/>
        <w:ind w:firstLine="1040"/>
        <w:rPr>
          <w:rFonts w:eastAsia="仿宋_GB2312"/>
          <w:color w:val="auto"/>
          <w:kern w:val="21"/>
          <w:sz w:val="36"/>
          <w:szCs w:val="36"/>
        </w:rPr>
      </w:pPr>
    </w:p>
    <w:p w14:paraId="223F1ECD">
      <w:pPr>
        <w:pStyle w:val="7"/>
        <w:ind w:firstLine="560"/>
        <w:rPr>
          <w:color w:val="auto"/>
        </w:rPr>
        <w:sectPr>
          <w:footerReference r:id="rId3" w:type="default"/>
          <w:footerReference r:id="rId4" w:type="even"/>
          <w:pgSz w:w="11906" w:h="16838"/>
          <w:pgMar w:top="1701" w:right="1531" w:bottom="1701" w:left="1531" w:header="851" w:footer="1077" w:gutter="0"/>
          <w:pgNumType w:start="3"/>
          <w:cols w:space="720" w:num="1"/>
          <w:docGrid w:linePitch="312" w:charSpace="0"/>
        </w:sectPr>
      </w:pPr>
    </w:p>
    <w:p w14:paraId="7673D16E">
      <w:pPr>
        <w:pStyle w:val="25"/>
        <w:adjustRightInd w:val="0"/>
        <w:snapToGrid w:val="0"/>
        <w:jc w:val="center"/>
        <w:outlineLvl w:val="0"/>
        <w:rPr>
          <w:rFonts w:ascii="Times New Roman" w:hAnsi="Times New Roman" w:eastAsia="黑体"/>
          <w:snapToGrid w:val="0"/>
          <w:color w:val="auto"/>
          <w:kern w:val="21"/>
          <w:sz w:val="30"/>
          <w:szCs w:val="30"/>
        </w:rPr>
      </w:pPr>
      <w:r>
        <w:rPr>
          <w:rFonts w:ascii="Times New Roman" w:hAnsi="Times New Roman" w:eastAsia="黑体"/>
          <w:snapToGrid w:val="0"/>
          <w:color w:val="auto"/>
          <w:kern w:val="21"/>
          <w:sz w:val="30"/>
          <w:szCs w:val="30"/>
        </w:rPr>
        <w:t>一、建设项目基本情况</w:t>
      </w:r>
      <w:bookmarkStart w:id="29" w:name="_GoBack"/>
      <w:bookmarkEnd w:id="29"/>
    </w:p>
    <w:tbl>
      <w:tblPr>
        <w:tblStyle w:val="29"/>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390"/>
        <w:gridCol w:w="1528"/>
        <w:gridCol w:w="3289"/>
      </w:tblGrid>
      <w:tr w14:paraId="4A919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7" w:type="dxa"/>
            <w:tcMar>
              <w:top w:w="16" w:type="dxa"/>
              <w:left w:w="16" w:type="dxa"/>
              <w:right w:w="16" w:type="dxa"/>
            </w:tcMar>
            <w:vAlign w:val="center"/>
          </w:tcPr>
          <w:p w14:paraId="1A480C93">
            <w:pPr>
              <w:adjustRightInd w:val="0"/>
              <w:snapToGrid w:val="0"/>
              <w:jc w:val="center"/>
              <w:rPr>
                <w:color w:val="auto"/>
                <w:sz w:val="24"/>
              </w:rPr>
            </w:pPr>
            <w:r>
              <w:rPr>
                <w:color w:val="auto"/>
                <w:sz w:val="24"/>
              </w:rPr>
              <w:t>建设项目名称</w:t>
            </w:r>
          </w:p>
        </w:tc>
        <w:tc>
          <w:tcPr>
            <w:tcW w:w="7207" w:type="dxa"/>
            <w:gridSpan w:val="3"/>
            <w:vAlign w:val="center"/>
          </w:tcPr>
          <w:p w14:paraId="7315C914">
            <w:pPr>
              <w:adjustRightInd w:val="0"/>
              <w:snapToGrid w:val="0"/>
              <w:jc w:val="center"/>
              <w:rPr>
                <w:rFonts w:hint="eastAsia" w:eastAsia="宋体"/>
                <w:color w:val="auto"/>
                <w:sz w:val="24"/>
                <w:lang w:eastAsia="zh-CN"/>
              </w:rPr>
            </w:pPr>
            <w:r>
              <w:rPr>
                <w:rFonts w:hint="eastAsia"/>
                <w:color w:val="auto"/>
                <w:sz w:val="24"/>
                <w:lang w:eastAsia="zh-CN"/>
              </w:rPr>
              <w:t>架河循环产业园田福食品项目</w:t>
            </w:r>
          </w:p>
        </w:tc>
      </w:tr>
      <w:tr w14:paraId="4FB9BC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7" w:type="dxa"/>
            <w:tcMar>
              <w:top w:w="16" w:type="dxa"/>
              <w:left w:w="16" w:type="dxa"/>
              <w:right w:w="16" w:type="dxa"/>
            </w:tcMar>
            <w:vAlign w:val="center"/>
          </w:tcPr>
          <w:p w14:paraId="230D905F">
            <w:pPr>
              <w:adjustRightInd w:val="0"/>
              <w:snapToGrid w:val="0"/>
              <w:jc w:val="center"/>
              <w:rPr>
                <w:color w:val="auto"/>
                <w:kern w:val="21"/>
                <w:sz w:val="24"/>
              </w:rPr>
            </w:pPr>
            <w:r>
              <w:rPr>
                <w:color w:val="auto"/>
                <w:kern w:val="21"/>
                <w:sz w:val="24"/>
              </w:rPr>
              <w:t>项目代码</w:t>
            </w:r>
          </w:p>
        </w:tc>
        <w:tc>
          <w:tcPr>
            <w:tcW w:w="7207" w:type="dxa"/>
            <w:gridSpan w:val="3"/>
            <w:vAlign w:val="center"/>
          </w:tcPr>
          <w:p w14:paraId="13A3FBAA">
            <w:pPr>
              <w:adjustRightInd w:val="0"/>
              <w:snapToGrid w:val="0"/>
              <w:jc w:val="center"/>
              <w:rPr>
                <w:rFonts w:hint="eastAsia" w:eastAsia="宋体"/>
                <w:color w:val="auto"/>
                <w:kern w:val="21"/>
                <w:sz w:val="24"/>
                <w:lang w:eastAsia="zh-CN"/>
              </w:rPr>
            </w:pPr>
            <w:r>
              <w:rPr>
                <w:rFonts w:hint="eastAsia"/>
                <w:color w:val="auto"/>
                <w:kern w:val="21"/>
                <w:sz w:val="24"/>
                <w:lang w:eastAsia="zh-CN"/>
              </w:rPr>
              <w:t>2401-340406-04-01-572380</w:t>
            </w:r>
          </w:p>
        </w:tc>
      </w:tr>
      <w:tr w14:paraId="0AA20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7" w:type="dxa"/>
            <w:tcMar>
              <w:top w:w="16" w:type="dxa"/>
              <w:left w:w="16" w:type="dxa"/>
              <w:right w:w="16" w:type="dxa"/>
            </w:tcMar>
            <w:vAlign w:val="center"/>
          </w:tcPr>
          <w:p w14:paraId="735A80C8">
            <w:pPr>
              <w:adjustRightInd w:val="0"/>
              <w:snapToGrid w:val="0"/>
              <w:jc w:val="center"/>
              <w:rPr>
                <w:color w:val="auto"/>
                <w:kern w:val="21"/>
                <w:sz w:val="24"/>
              </w:rPr>
            </w:pPr>
            <w:r>
              <w:rPr>
                <w:color w:val="auto"/>
                <w:kern w:val="21"/>
                <w:sz w:val="24"/>
              </w:rPr>
              <w:t>建设单位联系人</w:t>
            </w:r>
          </w:p>
        </w:tc>
        <w:tc>
          <w:tcPr>
            <w:tcW w:w="2390" w:type="dxa"/>
            <w:vAlign w:val="center"/>
          </w:tcPr>
          <w:p w14:paraId="419237D4">
            <w:pPr>
              <w:adjustRightInd w:val="0"/>
              <w:snapToGrid w:val="0"/>
              <w:jc w:val="center"/>
              <w:rPr>
                <w:color w:val="auto"/>
                <w:kern w:val="21"/>
                <w:sz w:val="24"/>
              </w:rPr>
            </w:pPr>
            <w:r>
              <w:rPr>
                <w:rFonts w:hint="eastAsia"/>
                <w:color w:val="auto"/>
                <w:kern w:val="21"/>
                <w:sz w:val="24"/>
              </w:rPr>
              <w:t>许强强</w:t>
            </w:r>
          </w:p>
        </w:tc>
        <w:tc>
          <w:tcPr>
            <w:tcW w:w="1528" w:type="dxa"/>
            <w:vAlign w:val="center"/>
          </w:tcPr>
          <w:p w14:paraId="5B337C99">
            <w:pPr>
              <w:adjustRightInd w:val="0"/>
              <w:snapToGrid w:val="0"/>
              <w:jc w:val="center"/>
              <w:rPr>
                <w:color w:val="auto"/>
                <w:kern w:val="21"/>
                <w:sz w:val="24"/>
              </w:rPr>
            </w:pPr>
            <w:r>
              <w:rPr>
                <w:rFonts w:hint="eastAsia"/>
                <w:color w:val="auto"/>
                <w:kern w:val="21"/>
                <w:sz w:val="24"/>
              </w:rPr>
              <w:t>联系方式</w:t>
            </w:r>
          </w:p>
        </w:tc>
        <w:tc>
          <w:tcPr>
            <w:tcW w:w="3289" w:type="dxa"/>
            <w:vAlign w:val="center"/>
          </w:tcPr>
          <w:p w14:paraId="78799E7B">
            <w:pPr>
              <w:adjustRightInd w:val="0"/>
              <w:snapToGrid w:val="0"/>
              <w:jc w:val="center"/>
              <w:rPr>
                <w:color w:val="auto"/>
                <w:kern w:val="21"/>
                <w:sz w:val="24"/>
              </w:rPr>
            </w:pPr>
            <w:r>
              <w:rPr>
                <w:rFonts w:hint="eastAsia"/>
                <w:color w:val="auto"/>
                <w:kern w:val="21"/>
                <w:sz w:val="24"/>
              </w:rPr>
              <w:t>13866343578</w:t>
            </w:r>
          </w:p>
        </w:tc>
      </w:tr>
      <w:tr w14:paraId="1C5114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7" w:type="dxa"/>
            <w:tcMar>
              <w:top w:w="16" w:type="dxa"/>
              <w:left w:w="16" w:type="dxa"/>
              <w:right w:w="16" w:type="dxa"/>
            </w:tcMar>
            <w:vAlign w:val="center"/>
          </w:tcPr>
          <w:p w14:paraId="1D084FF0">
            <w:pPr>
              <w:adjustRightInd w:val="0"/>
              <w:snapToGrid w:val="0"/>
              <w:jc w:val="center"/>
              <w:rPr>
                <w:color w:val="auto"/>
                <w:kern w:val="21"/>
                <w:sz w:val="24"/>
              </w:rPr>
            </w:pPr>
            <w:r>
              <w:rPr>
                <w:color w:val="auto"/>
                <w:kern w:val="21"/>
                <w:sz w:val="24"/>
              </w:rPr>
              <w:t>建设地点</w:t>
            </w:r>
          </w:p>
        </w:tc>
        <w:tc>
          <w:tcPr>
            <w:tcW w:w="7207" w:type="dxa"/>
            <w:gridSpan w:val="3"/>
            <w:vAlign w:val="center"/>
          </w:tcPr>
          <w:p w14:paraId="2ECC38B4">
            <w:pPr>
              <w:adjustRightInd w:val="0"/>
              <w:snapToGrid w:val="0"/>
              <w:jc w:val="center"/>
              <w:rPr>
                <w:color w:val="auto"/>
                <w:kern w:val="21"/>
                <w:sz w:val="24"/>
              </w:rPr>
            </w:pPr>
            <w:r>
              <w:rPr>
                <w:rFonts w:hint="eastAsia"/>
                <w:color w:val="auto"/>
                <w:kern w:val="21"/>
                <w:sz w:val="24"/>
              </w:rPr>
              <w:t>安徽省淮南市潘集区架河镇小郢村架河立富产业园</w:t>
            </w:r>
          </w:p>
        </w:tc>
      </w:tr>
      <w:tr w14:paraId="26845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7" w:type="dxa"/>
            <w:tcMar>
              <w:top w:w="16" w:type="dxa"/>
              <w:left w:w="16" w:type="dxa"/>
              <w:right w:w="16" w:type="dxa"/>
            </w:tcMar>
            <w:vAlign w:val="center"/>
          </w:tcPr>
          <w:p w14:paraId="420791C6">
            <w:pPr>
              <w:adjustRightInd w:val="0"/>
              <w:snapToGrid w:val="0"/>
              <w:jc w:val="center"/>
              <w:rPr>
                <w:color w:val="auto"/>
                <w:sz w:val="24"/>
                <w:lang w:eastAsia="en-US"/>
              </w:rPr>
            </w:pPr>
            <w:r>
              <w:rPr>
                <w:color w:val="auto"/>
                <w:sz w:val="24"/>
                <w:lang w:eastAsia="en-US"/>
              </w:rPr>
              <w:t>地理坐标</w:t>
            </w:r>
          </w:p>
        </w:tc>
        <w:tc>
          <w:tcPr>
            <w:tcW w:w="7207" w:type="dxa"/>
            <w:gridSpan w:val="3"/>
            <w:vAlign w:val="center"/>
          </w:tcPr>
          <w:p w14:paraId="358018D8">
            <w:pPr>
              <w:adjustRightInd w:val="0"/>
              <w:snapToGrid w:val="0"/>
              <w:jc w:val="center"/>
              <w:rPr>
                <w:color w:val="auto"/>
                <w:sz w:val="24"/>
                <w:lang w:eastAsia="en-US"/>
              </w:rPr>
            </w:pPr>
            <w:r>
              <w:rPr>
                <w:rFonts w:hint="default" w:ascii="Times New Roman" w:hAnsi="Times New Roman" w:cs="Times New Roman"/>
                <w:color w:val="auto"/>
                <w:sz w:val="24"/>
                <w:lang w:eastAsia="en-US"/>
              </w:rPr>
              <w:t>（E116°49′7.8492″，N32°44′15.3779″）</w:t>
            </w:r>
          </w:p>
        </w:tc>
      </w:tr>
      <w:tr w14:paraId="759AF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97" w:type="dxa"/>
            <w:tcMar>
              <w:top w:w="16" w:type="dxa"/>
              <w:left w:w="16" w:type="dxa"/>
              <w:right w:w="16" w:type="dxa"/>
            </w:tcMar>
            <w:vAlign w:val="center"/>
          </w:tcPr>
          <w:p w14:paraId="52FBD9DD">
            <w:pPr>
              <w:adjustRightInd w:val="0"/>
              <w:snapToGrid w:val="0"/>
              <w:jc w:val="center"/>
              <w:rPr>
                <w:color w:val="auto"/>
                <w:kern w:val="21"/>
                <w:sz w:val="24"/>
              </w:rPr>
            </w:pPr>
            <w:r>
              <w:rPr>
                <w:color w:val="auto"/>
                <w:kern w:val="21"/>
                <w:sz w:val="24"/>
              </w:rPr>
              <w:t>国民经济</w:t>
            </w:r>
          </w:p>
          <w:p w14:paraId="074B8245">
            <w:pPr>
              <w:adjustRightInd w:val="0"/>
              <w:snapToGrid w:val="0"/>
              <w:jc w:val="center"/>
              <w:rPr>
                <w:color w:val="auto"/>
                <w:kern w:val="21"/>
                <w:sz w:val="24"/>
              </w:rPr>
            </w:pPr>
            <w:r>
              <w:rPr>
                <w:color w:val="auto"/>
                <w:kern w:val="21"/>
                <w:sz w:val="24"/>
              </w:rPr>
              <w:t>行业类别</w:t>
            </w:r>
          </w:p>
        </w:tc>
        <w:tc>
          <w:tcPr>
            <w:tcW w:w="2390" w:type="dxa"/>
            <w:vAlign w:val="center"/>
          </w:tcPr>
          <w:p w14:paraId="78F6CBA3">
            <w:pPr>
              <w:adjustRightInd w:val="0"/>
              <w:snapToGrid w:val="0"/>
              <w:jc w:val="center"/>
              <w:rPr>
                <w:color w:val="auto"/>
                <w:sz w:val="24"/>
              </w:rPr>
            </w:pPr>
            <w:r>
              <w:rPr>
                <w:rFonts w:hint="eastAsia"/>
                <w:color w:val="auto"/>
                <w:sz w:val="24"/>
              </w:rPr>
              <w:t>C1392豆制品制造</w:t>
            </w:r>
          </w:p>
        </w:tc>
        <w:tc>
          <w:tcPr>
            <w:tcW w:w="1528" w:type="dxa"/>
            <w:vAlign w:val="center"/>
          </w:tcPr>
          <w:p w14:paraId="3773EBC1">
            <w:pPr>
              <w:adjustRightInd w:val="0"/>
              <w:snapToGrid w:val="0"/>
              <w:jc w:val="center"/>
              <w:rPr>
                <w:color w:val="auto"/>
                <w:kern w:val="21"/>
                <w:sz w:val="24"/>
              </w:rPr>
            </w:pPr>
            <w:bookmarkStart w:id="1" w:name="_Hlk49843745"/>
            <w:r>
              <w:rPr>
                <w:color w:val="auto"/>
                <w:kern w:val="21"/>
                <w:sz w:val="24"/>
              </w:rPr>
              <w:t>建设项目</w:t>
            </w:r>
          </w:p>
          <w:p w14:paraId="59ADADF7">
            <w:pPr>
              <w:adjustRightInd w:val="0"/>
              <w:snapToGrid w:val="0"/>
              <w:jc w:val="center"/>
              <w:rPr>
                <w:color w:val="auto"/>
                <w:kern w:val="21"/>
                <w:sz w:val="24"/>
              </w:rPr>
            </w:pPr>
            <w:r>
              <w:rPr>
                <w:color w:val="auto"/>
                <w:kern w:val="21"/>
                <w:sz w:val="24"/>
              </w:rPr>
              <w:t>行业类别</w:t>
            </w:r>
            <w:bookmarkEnd w:id="1"/>
          </w:p>
        </w:tc>
        <w:tc>
          <w:tcPr>
            <w:tcW w:w="3289" w:type="dxa"/>
            <w:vAlign w:val="center"/>
          </w:tcPr>
          <w:p w14:paraId="5BC6305C">
            <w:pPr>
              <w:widowControl/>
              <w:jc w:val="left"/>
              <w:rPr>
                <w:color w:val="auto"/>
                <w:sz w:val="24"/>
              </w:rPr>
            </w:pPr>
            <w:r>
              <w:rPr>
                <w:rFonts w:hint="eastAsia"/>
                <w:color w:val="auto"/>
                <w:sz w:val="24"/>
              </w:rPr>
              <w:t>十、农副食品加工业 13 其他农副食品加工139*——含发酵工艺的淀粉、淀粉糖制造；淀粉制品制造；豆制品制造以上均不含单纯分装的</w:t>
            </w:r>
          </w:p>
        </w:tc>
      </w:tr>
      <w:tr w14:paraId="5DEAB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297" w:type="dxa"/>
            <w:tcMar>
              <w:top w:w="16" w:type="dxa"/>
              <w:left w:w="16" w:type="dxa"/>
              <w:right w:w="16" w:type="dxa"/>
            </w:tcMar>
            <w:vAlign w:val="center"/>
          </w:tcPr>
          <w:p w14:paraId="1DE410CF">
            <w:pPr>
              <w:adjustRightInd w:val="0"/>
              <w:snapToGrid w:val="0"/>
              <w:jc w:val="center"/>
              <w:rPr>
                <w:color w:val="auto"/>
                <w:kern w:val="21"/>
                <w:sz w:val="24"/>
              </w:rPr>
            </w:pPr>
            <w:r>
              <w:rPr>
                <w:color w:val="auto"/>
                <w:kern w:val="21"/>
                <w:sz w:val="24"/>
              </w:rPr>
              <w:t>建设性质</w:t>
            </w:r>
          </w:p>
          <w:p w14:paraId="2F16372F">
            <w:pPr>
              <w:adjustRightInd w:val="0"/>
              <w:snapToGrid w:val="0"/>
              <w:jc w:val="center"/>
              <w:rPr>
                <w:color w:val="auto"/>
                <w:kern w:val="21"/>
                <w:sz w:val="24"/>
              </w:rPr>
            </w:pPr>
          </w:p>
        </w:tc>
        <w:tc>
          <w:tcPr>
            <w:tcW w:w="2390" w:type="dxa"/>
            <w:vAlign w:val="center"/>
          </w:tcPr>
          <w:p w14:paraId="510A2C24">
            <w:pPr>
              <w:adjustRightInd w:val="0"/>
              <w:snapToGrid w:val="0"/>
              <w:jc w:val="left"/>
              <w:rPr>
                <w:color w:val="auto"/>
                <w:kern w:val="21"/>
                <w:sz w:val="24"/>
              </w:rPr>
            </w:pPr>
            <w:r>
              <w:rPr>
                <w:rFonts w:hint="eastAsia"/>
                <w:color w:val="auto"/>
                <w:kern w:val="21"/>
                <w:sz w:val="24"/>
                <w:lang w:eastAsia="zh-CN"/>
              </w:rPr>
              <w:t>□</w:t>
            </w:r>
            <w:r>
              <w:rPr>
                <w:color w:val="auto"/>
                <w:kern w:val="21"/>
                <w:sz w:val="24"/>
              </w:rPr>
              <w:t>新建（迁建）</w:t>
            </w:r>
          </w:p>
          <w:p w14:paraId="1DDEB7B8">
            <w:pPr>
              <w:adjustRightInd w:val="0"/>
              <w:snapToGrid w:val="0"/>
              <w:jc w:val="left"/>
              <w:rPr>
                <w:color w:val="auto"/>
                <w:kern w:val="21"/>
                <w:sz w:val="24"/>
              </w:rPr>
            </w:pPr>
            <w:r>
              <w:rPr>
                <w:rFonts w:hint="eastAsia"/>
                <w:color w:val="auto"/>
                <w:kern w:val="21"/>
                <w:sz w:val="24"/>
              </w:rPr>
              <w:t>□</w:t>
            </w:r>
            <w:r>
              <w:rPr>
                <w:color w:val="auto"/>
                <w:kern w:val="21"/>
                <w:sz w:val="24"/>
              </w:rPr>
              <w:t>改建</w:t>
            </w:r>
          </w:p>
          <w:p w14:paraId="5F5F9614">
            <w:pPr>
              <w:adjustRightInd w:val="0"/>
              <w:snapToGrid w:val="0"/>
              <w:jc w:val="left"/>
              <w:rPr>
                <w:color w:val="auto"/>
                <w:kern w:val="21"/>
                <w:sz w:val="24"/>
              </w:rPr>
            </w:pPr>
            <w:r>
              <w:rPr>
                <w:rFonts w:hint="eastAsia"/>
                <w:color w:val="auto"/>
                <w:kern w:val="21"/>
                <w:sz w:val="24"/>
                <w:lang w:eastAsia="zh-CN"/>
              </w:rPr>
              <w:t>☑</w:t>
            </w:r>
            <w:r>
              <w:rPr>
                <w:color w:val="auto"/>
                <w:kern w:val="21"/>
                <w:sz w:val="24"/>
              </w:rPr>
              <w:t>扩建</w:t>
            </w:r>
          </w:p>
          <w:p w14:paraId="4AC67186">
            <w:pPr>
              <w:adjustRightInd w:val="0"/>
              <w:snapToGrid w:val="0"/>
              <w:jc w:val="left"/>
              <w:rPr>
                <w:color w:val="auto"/>
                <w:kern w:val="21"/>
                <w:sz w:val="24"/>
              </w:rPr>
            </w:pPr>
            <w:r>
              <w:rPr>
                <w:rFonts w:hint="eastAsia"/>
                <w:color w:val="auto"/>
                <w:kern w:val="21"/>
                <w:sz w:val="24"/>
              </w:rPr>
              <w:t>□</w:t>
            </w:r>
            <w:r>
              <w:rPr>
                <w:color w:val="auto"/>
                <w:kern w:val="21"/>
                <w:sz w:val="24"/>
              </w:rPr>
              <w:t>技术改造</w:t>
            </w:r>
          </w:p>
        </w:tc>
        <w:tc>
          <w:tcPr>
            <w:tcW w:w="1528" w:type="dxa"/>
            <w:vAlign w:val="center"/>
          </w:tcPr>
          <w:p w14:paraId="25E90972">
            <w:pPr>
              <w:adjustRightInd w:val="0"/>
              <w:snapToGrid w:val="0"/>
              <w:jc w:val="center"/>
              <w:rPr>
                <w:color w:val="auto"/>
                <w:kern w:val="21"/>
                <w:sz w:val="24"/>
              </w:rPr>
            </w:pPr>
            <w:r>
              <w:rPr>
                <w:color w:val="auto"/>
                <w:kern w:val="21"/>
                <w:sz w:val="24"/>
              </w:rPr>
              <w:t>建设项目申报情形</w:t>
            </w:r>
          </w:p>
        </w:tc>
        <w:tc>
          <w:tcPr>
            <w:tcW w:w="3289" w:type="dxa"/>
            <w:vAlign w:val="center"/>
          </w:tcPr>
          <w:p w14:paraId="12E3E919">
            <w:pPr>
              <w:adjustRightInd w:val="0"/>
              <w:snapToGrid w:val="0"/>
              <w:jc w:val="left"/>
              <w:rPr>
                <w:color w:val="auto"/>
                <w:kern w:val="21"/>
                <w:sz w:val="24"/>
              </w:rPr>
            </w:pPr>
            <w:r>
              <w:rPr>
                <w:rFonts w:hint="eastAsia"/>
                <w:color w:val="auto"/>
                <w:kern w:val="21"/>
                <w:sz w:val="24"/>
              </w:rPr>
              <w:t>☑</w:t>
            </w:r>
            <w:r>
              <w:rPr>
                <w:color w:val="auto"/>
                <w:kern w:val="21"/>
                <w:sz w:val="24"/>
              </w:rPr>
              <w:t>首次申报项目</w:t>
            </w:r>
          </w:p>
          <w:p w14:paraId="315FB14C">
            <w:pPr>
              <w:adjustRightInd w:val="0"/>
              <w:snapToGrid w:val="0"/>
              <w:jc w:val="left"/>
              <w:rPr>
                <w:color w:val="auto"/>
                <w:kern w:val="21"/>
                <w:sz w:val="24"/>
              </w:rPr>
            </w:pPr>
            <w:r>
              <w:rPr>
                <w:rFonts w:hint="eastAsia"/>
                <w:color w:val="auto"/>
                <w:kern w:val="21"/>
                <w:sz w:val="24"/>
              </w:rPr>
              <w:t>□</w:t>
            </w:r>
            <w:r>
              <w:rPr>
                <w:color w:val="auto"/>
                <w:kern w:val="21"/>
                <w:sz w:val="24"/>
              </w:rPr>
              <w:t>不予批准后再次申报项目</w:t>
            </w:r>
          </w:p>
          <w:p w14:paraId="3A312837">
            <w:pPr>
              <w:adjustRightInd w:val="0"/>
              <w:snapToGrid w:val="0"/>
              <w:jc w:val="left"/>
              <w:rPr>
                <w:color w:val="auto"/>
                <w:kern w:val="21"/>
                <w:sz w:val="24"/>
              </w:rPr>
            </w:pPr>
            <w:r>
              <w:rPr>
                <w:rFonts w:hint="eastAsia"/>
                <w:color w:val="auto"/>
                <w:kern w:val="21"/>
                <w:sz w:val="24"/>
              </w:rPr>
              <w:t>□</w:t>
            </w:r>
            <w:r>
              <w:rPr>
                <w:color w:val="auto"/>
                <w:kern w:val="21"/>
                <w:sz w:val="24"/>
              </w:rPr>
              <w:t>超五年重新审核项目</w:t>
            </w:r>
          </w:p>
          <w:p w14:paraId="7E5C3185">
            <w:pPr>
              <w:adjustRightInd w:val="0"/>
              <w:snapToGrid w:val="0"/>
              <w:jc w:val="left"/>
              <w:rPr>
                <w:color w:val="auto"/>
                <w:kern w:val="21"/>
                <w:sz w:val="24"/>
              </w:rPr>
            </w:pPr>
            <w:r>
              <w:rPr>
                <w:rFonts w:hint="eastAsia"/>
                <w:color w:val="auto"/>
                <w:kern w:val="21"/>
                <w:sz w:val="24"/>
              </w:rPr>
              <w:t>□</w:t>
            </w:r>
            <w:r>
              <w:rPr>
                <w:color w:val="auto"/>
                <w:kern w:val="21"/>
                <w:sz w:val="24"/>
              </w:rPr>
              <w:t>重大变动重新报批项目</w:t>
            </w:r>
          </w:p>
        </w:tc>
      </w:tr>
      <w:tr w14:paraId="1B8B3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tcMar>
              <w:top w:w="16" w:type="dxa"/>
              <w:left w:w="16" w:type="dxa"/>
              <w:right w:w="16" w:type="dxa"/>
            </w:tcMar>
            <w:vAlign w:val="center"/>
          </w:tcPr>
          <w:p w14:paraId="212F9094">
            <w:pPr>
              <w:adjustRightInd w:val="0"/>
              <w:snapToGrid w:val="0"/>
              <w:jc w:val="center"/>
              <w:rPr>
                <w:color w:val="auto"/>
                <w:kern w:val="21"/>
                <w:sz w:val="24"/>
              </w:rPr>
            </w:pPr>
            <w:r>
              <w:rPr>
                <w:color w:val="auto"/>
                <w:kern w:val="21"/>
                <w:sz w:val="24"/>
              </w:rPr>
              <w:t>项目审批（核准/</w:t>
            </w:r>
          </w:p>
          <w:p w14:paraId="16D325D2">
            <w:pPr>
              <w:adjustRightInd w:val="0"/>
              <w:snapToGrid w:val="0"/>
              <w:jc w:val="center"/>
              <w:rPr>
                <w:color w:val="auto"/>
                <w:kern w:val="21"/>
                <w:sz w:val="24"/>
              </w:rPr>
            </w:pPr>
            <w:r>
              <w:rPr>
                <w:color w:val="auto"/>
                <w:kern w:val="21"/>
                <w:sz w:val="24"/>
              </w:rPr>
              <w:t>备案）部门</w:t>
            </w:r>
          </w:p>
          <w:p w14:paraId="4C9F463C">
            <w:pPr>
              <w:adjustRightInd w:val="0"/>
              <w:snapToGrid w:val="0"/>
              <w:jc w:val="center"/>
              <w:rPr>
                <w:color w:val="auto"/>
                <w:kern w:val="21"/>
                <w:sz w:val="24"/>
              </w:rPr>
            </w:pPr>
            <w:r>
              <w:rPr>
                <w:color w:val="auto"/>
                <w:kern w:val="21"/>
                <w:sz w:val="24"/>
              </w:rPr>
              <w:t>（选填）</w:t>
            </w:r>
          </w:p>
        </w:tc>
        <w:tc>
          <w:tcPr>
            <w:tcW w:w="2390" w:type="dxa"/>
            <w:vAlign w:val="center"/>
          </w:tcPr>
          <w:p w14:paraId="279F0036">
            <w:pPr>
              <w:adjustRightInd w:val="0"/>
              <w:snapToGrid w:val="0"/>
              <w:jc w:val="center"/>
              <w:rPr>
                <w:color w:val="auto"/>
                <w:kern w:val="21"/>
                <w:sz w:val="24"/>
              </w:rPr>
            </w:pPr>
            <w:r>
              <w:rPr>
                <w:rFonts w:hint="eastAsia"/>
                <w:color w:val="auto"/>
                <w:kern w:val="21"/>
                <w:sz w:val="24"/>
              </w:rPr>
              <w:t>淮南市潘集区发展和改革委员会</w:t>
            </w:r>
          </w:p>
        </w:tc>
        <w:tc>
          <w:tcPr>
            <w:tcW w:w="1528" w:type="dxa"/>
            <w:vAlign w:val="center"/>
          </w:tcPr>
          <w:p w14:paraId="2E7EE954">
            <w:pPr>
              <w:adjustRightInd w:val="0"/>
              <w:snapToGrid w:val="0"/>
              <w:jc w:val="center"/>
              <w:rPr>
                <w:color w:val="auto"/>
                <w:kern w:val="21"/>
                <w:sz w:val="24"/>
              </w:rPr>
            </w:pPr>
            <w:r>
              <w:rPr>
                <w:color w:val="auto"/>
                <w:kern w:val="21"/>
                <w:sz w:val="24"/>
              </w:rPr>
              <w:t>项目审批（核准/</w:t>
            </w:r>
          </w:p>
          <w:p w14:paraId="54816341">
            <w:pPr>
              <w:adjustRightInd w:val="0"/>
              <w:snapToGrid w:val="0"/>
              <w:jc w:val="center"/>
              <w:rPr>
                <w:color w:val="auto"/>
                <w:kern w:val="21"/>
                <w:sz w:val="24"/>
              </w:rPr>
            </w:pPr>
            <w:r>
              <w:rPr>
                <w:color w:val="auto"/>
                <w:kern w:val="21"/>
                <w:sz w:val="24"/>
              </w:rPr>
              <w:t>备案）文号（选填）</w:t>
            </w:r>
          </w:p>
        </w:tc>
        <w:tc>
          <w:tcPr>
            <w:tcW w:w="3289" w:type="dxa"/>
            <w:vAlign w:val="center"/>
          </w:tcPr>
          <w:p w14:paraId="5862BE7C">
            <w:pPr>
              <w:adjustRightInd w:val="0"/>
              <w:snapToGrid w:val="0"/>
              <w:jc w:val="center"/>
              <w:rPr>
                <w:color w:val="auto"/>
                <w:kern w:val="21"/>
                <w:sz w:val="24"/>
              </w:rPr>
            </w:pPr>
            <w:r>
              <w:rPr>
                <w:rFonts w:hint="eastAsia"/>
                <w:color w:val="auto"/>
                <w:kern w:val="21"/>
                <w:sz w:val="24"/>
              </w:rPr>
              <w:t>无</w:t>
            </w:r>
          </w:p>
        </w:tc>
      </w:tr>
      <w:tr w14:paraId="475F2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97" w:type="dxa"/>
            <w:tcMar>
              <w:top w:w="16" w:type="dxa"/>
              <w:left w:w="16" w:type="dxa"/>
              <w:right w:w="16" w:type="dxa"/>
            </w:tcMar>
            <w:vAlign w:val="center"/>
          </w:tcPr>
          <w:p w14:paraId="6C225D0C">
            <w:pPr>
              <w:adjustRightInd w:val="0"/>
              <w:snapToGrid w:val="0"/>
              <w:jc w:val="center"/>
              <w:rPr>
                <w:color w:val="auto"/>
                <w:kern w:val="21"/>
                <w:sz w:val="24"/>
              </w:rPr>
            </w:pPr>
            <w:r>
              <w:rPr>
                <w:color w:val="auto"/>
                <w:kern w:val="21"/>
                <w:sz w:val="24"/>
              </w:rPr>
              <w:t>总投资（万元）</w:t>
            </w:r>
          </w:p>
        </w:tc>
        <w:tc>
          <w:tcPr>
            <w:tcW w:w="2390" w:type="dxa"/>
            <w:vAlign w:val="center"/>
          </w:tcPr>
          <w:p w14:paraId="510A7118">
            <w:pPr>
              <w:adjustRightInd w:val="0"/>
              <w:snapToGrid w:val="0"/>
              <w:jc w:val="center"/>
              <w:rPr>
                <w:rFonts w:hint="default" w:eastAsia="宋体"/>
                <w:color w:val="auto"/>
                <w:kern w:val="21"/>
                <w:sz w:val="24"/>
                <w:lang w:val="en-US" w:eastAsia="zh-CN"/>
              </w:rPr>
            </w:pPr>
            <w:r>
              <w:rPr>
                <w:rFonts w:hint="eastAsia"/>
                <w:color w:val="auto"/>
                <w:sz w:val="24"/>
                <w:lang w:val="en-US" w:eastAsia="zh-CN"/>
              </w:rPr>
              <w:t>1000</w:t>
            </w:r>
          </w:p>
        </w:tc>
        <w:tc>
          <w:tcPr>
            <w:tcW w:w="1528" w:type="dxa"/>
            <w:tcMar>
              <w:top w:w="16" w:type="dxa"/>
              <w:left w:w="16" w:type="dxa"/>
              <w:right w:w="16" w:type="dxa"/>
            </w:tcMar>
            <w:vAlign w:val="center"/>
          </w:tcPr>
          <w:p w14:paraId="79450B99">
            <w:pPr>
              <w:adjustRightInd w:val="0"/>
              <w:snapToGrid w:val="0"/>
              <w:jc w:val="center"/>
              <w:rPr>
                <w:color w:val="auto"/>
                <w:kern w:val="21"/>
                <w:sz w:val="24"/>
              </w:rPr>
            </w:pPr>
            <w:r>
              <w:rPr>
                <w:color w:val="auto"/>
                <w:kern w:val="21"/>
                <w:sz w:val="24"/>
              </w:rPr>
              <w:t>环保投资（万元）</w:t>
            </w:r>
          </w:p>
        </w:tc>
        <w:tc>
          <w:tcPr>
            <w:tcW w:w="3289" w:type="dxa"/>
            <w:vAlign w:val="center"/>
          </w:tcPr>
          <w:p w14:paraId="49947814">
            <w:pPr>
              <w:adjustRightInd w:val="0"/>
              <w:snapToGrid w:val="0"/>
              <w:jc w:val="center"/>
              <w:rPr>
                <w:rFonts w:hint="default" w:eastAsia="宋体"/>
                <w:color w:val="auto"/>
                <w:kern w:val="21"/>
                <w:sz w:val="24"/>
                <w:lang w:val="en-US" w:eastAsia="zh-CN"/>
              </w:rPr>
            </w:pPr>
            <w:r>
              <w:rPr>
                <w:rFonts w:hint="eastAsia"/>
                <w:color w:val="auto"/>
                <w:kern w:val="21"/>
                <w:sz w:val="24"/>
                <w:lang w:val="en-US" w:eastAsia="zh-CN"/>
              </w:rPr>
              <w:t>60</w:t>
            </w:r>
          </w:p>
        </w:tc>
      </w:tr>
      <w:tr w14:paraId="35EBE7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297" w:type="dxa"/>
            <w:tcMar>
              <w:top w:w="16" w:type="dxa"/>
              <w:left w:w="16" w:type="dxa"/>
              <w:right w:w="16" w:type="dxa"/>
            </w:tcMar>
            <w:vAlign w:val="center"/>
          </w:tcPr>
          <w:p w14:paraId="447AABD2">
            <w:pPr>
              <w:adjustRightInd w:val="0"/>
              <w:snapToGrid w:val="0"/>
              <w:jc w:val="center"/>
              <w:rPr>
                <w:color w:val="auto"/>
                <w:kern w:val="21"/>
                <w:sz w:val="24"/>
              </w:rPr>
            </w:pPr>
            <w:r>
              <w:rPr>
                <w:color w:val="auto"/>
                <w:kern w:val="21"/>
                <w:sz w:val="24"/>
              </w:rPr>
              <w:t>环保投资占比（%）</w:t>
            </w:r>
          </w:p>
        </w:tc>
        <w:tc>
          <w:tcPr>
            <w:tcW w:w="2390" w:type="dxa"/>
            <w:vAlign w:val="center"/>
          </w:tcPr>
          <w:p w14:paraId="2BFEB928">
            <w:pPr>
              <w:adjustRightInd w:val="0"/>
              <w:snapToGrid w:val="0"/>
              <w:jc w:val="center"/>
              <w:rPr>
                <w:color w:val="auto"/>
                <w:kern w:val="21"/>
                <w:sz w:val="24"/>
              </w:rPr>
            </w:pPr>
            <w:r>
              <w:rPr>
                <w:rFonts w:hint="eastAsia"/>
                <w:color w:val="auto"/>
                <w:kern w:val="21"/>
                <w:sz w:val="24"/>
                <w:lang w:val="en-US" w:eastAsia="zh-CN"/>
              </w:rPr>
              <w:t>6.0</w:t>
            </w:r>
            <w:r>
              <w:rPr>
                <w:rFonts w:hint="eastAsia"/>
                <w:color w:val="auto"/>
                <w:kern w:val="21"/>
                <w:sz w:val="24"/>
              </w:rPr>
              <w:t>%</w:t>
            </w:r>
          </w:p>
        </w:tc>
        <w:tc>
          <w:tcPr>
            <w:tcW w:w="1528" w:type="dxa"/>
            <w:tcMar>
              <w:top w:w="16" w:type="dxa"/>
              <w:left w:w="16" w:type="dxa"/>
              <w:right w:w="16" w:type="dxa"/>
            </w:tcMar>
            <w:vAlign w:val="center"/>
          </w:tcPr>
          <w:p w14:paraId="6FDAE4DD">
            <w:pPr>
              <w:adjustRightInd w:val="0"/>
              <w:snapToGrid w:val="0"/>
              <w:jc w:val="center"/>
              <w:rPr>
                <w:color w:val="auto"/>
                <w:kern w:val="21"/>
                <w:sz w:val="24"/>
              </w:rPr>
            </w:pPr>
            <w:r>
              <w:rPr>
                <w:color w:val="auto"/>
                <w:kern w:val="21"/>
                <w:sz w:val="24"/>
              </w:rPr>
              <w:t>施工工期</w:t>
            </w:r>
          </w:p>
        </w:tc>
        <w:tc>
          <w:tcPr>
            <w:tcW w:w="3289" w:type="dxa"/>
            <w:vAlign w:val="center"/>
          </w:tcPr>
          <w:p w14:paraId="2260897B">
            <w:pPr>
              <w:adjustRightInd w:val="0"/>
              <w:snapToGrid w:val="0"/>
              <w:jc w:val="center"/>
              <w:rPr>
                <w:color w:val="auto"/>
                <w:kern w:val="21"/>
                <w:sz w:val="24"/>
              </w:rPr>
            </w:pPr>
            <w:r>
              <w:rPr>
                <w:rFonts w:hint="eastAsia"/>
                <w:color w:val="auto"/>
                <w:kern w:val="21"/>
                <w:sz w:val="24"/>
                <w:lang w:val="en-US" w:eastAsia="zh-CN"/>
              </w:rPr>
              <w:t>10</w:t>
            </w:r>
            <w:r>
              <w:rPr>
                <w:color w:val="auto"/>
                <w:kern w:val="21"/>
                <w:sz w:val="24"/>
              </w:rPr>
              <w:t>个月</w:t>
            </w:r>
          </w:p>
        </w:tc>
      </w:tr>
      <w:tr w14:paraId="71DE00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297" w:type="dxa"/>
            <w:tcMar>
              <w:top w:w="16" w:type="dxa"/>
              <w:left w:w="16" w:type="dxa"/>
              <w:right w:w="16" w:type="dxa"/>
            </w:tcMar>
            <w:vAlign w:val="center"/>
          </w:tcPr>
          <w:p w14:paraId="16437946">
            <w:pPr>
              <w:adjustRightInd w:val="0"/>
              <w:snapToGrid w:val="0"/>
              <w:jc w:val="center"/>
              <w:rPr>
                <w:color w:val="auto"/>
                <w:kern w:val="21"/>
                <w:sz w:val="24"/>
              </w:rPr>
            </w:pPr>
            <w:r>
              <w:rPr>
                <w:color w:val="auto"/>
                <w:kern w:val="21"/>
                <w:sz w:val="24"/>
              </w:rPr>
              <w:t>是否开工建设</w:t>
            </w:r>
          </w:p>
        </w:tc>
        <w:tc>
          <w:tcPr>
            <w:tcW w:w="2390" w:type="dxa"/>
            <w:vAlign w:val="center"/>
          </w:tcPr>
          <w:p w14:paraId="0802BB31">
            <w:pPr>
              <w:pStyle w:val="24"/>
              <w:adjustRightInd w:val="0"/>
              <w:snapToGrid w:val="0"/>
              <w:spacing w:before="60" w:after="60" w:line="240" w:lineRule="auto"/>
              <w:rPr>
                <w:rFonts w:eastAsia="宋体"/>
                <w:color w:val="auto"/>
                <w:sz w:val="24"/>
              </w:rPr>
            </w:pPr>
            <w:r>
              <w:rPr>
                <w:rFonts w:hint="eastAsia" w:eastAsia="宋体"/>
                <w:color w:val="auto"/>
                <w:sz w:val="24"/>
                <w:lang w:eastAsia="zh-CN"/>
              </w:rPr>
              <w:t>□</w:t>
            </w:r>
            <w:r>
              <w:rPr>
                <w:rFonts w:eastAsia="宋体"/>
                <w:color w:val="auto"/>
                <w:sz w:val="24"/>
              </w:rPr>
              <w:t>否</w:t>
            </w:r>
          </w:p>
          <w:p w14:paraId="357FB579">
            <w:pPr>
              <w:adjustRightInd w:val="0"/>
              <w:snapToGrid w:val="0"/>
              <w:rPr>
                <w:rFonts w:hint="default" w:eastAsia="宋体"/>
                <w:color w:val="auto"/>
                <w:kern w:val="21"/>
                <w:sz w:val="24"/>
                <w:lang w:val="en-US" w:eastAsia="zh-CN"/>
              </w:rPr>
            </w:pPr>
            <w:r>
              <w:rPr>
                <w:rFonts w:hint="eastAsia"/>
                <w:color w:val="auto"/>
                <w:sz w:val="24"/>
                <w:lang w:eastAsia="zh-CN"/>
              </w:rPr>
              <w:t>☑</w:t>
            </w:r>
            <w:r>
              <w:rPr>
                <w:color w:val="auto"/>
                <w:sz w:val="24"/>
              </w:rPr>
              <w:t>是：</w:t>
            </w:r>
            <w:r>
              <w:rPr>
                <w:rFonts w:hint="eastAsia"/>
                <w:color w:val="auto"/>
                <w:sz w:val="24"/>
                <w:lang w:eastAsia="zh-CN"/>
              </w:rPr>
              <w:t>部分生产厂房已建设，</w:t>
            </w:r>
            <w:r>
              <w:rPr>
                <w:rFonts w:hint="eastAsia"/>
                <w:color w:val="auto"/>
                <w:sz w:val="24"/>
                <w:lang w:val="en-US" w:eastAsia="zh-CN"/>
              </w:rPr>
              <w:t>暂未投产</w:t>
            </w:r>
          </w:p>
        </w:tc>
        <w:tc>
          <w:tcPr>
            <w:tcW w:w="1528" w:type="dxa"/>
            <w:tcMar>
              <w:top w:w="16" w:type="dxa"/>
              <w:left w:w="16" w:type="dxa"/>
              <w:right w:w="16" w:type="dxa"/>
            </w:tcMar>
            <w:vAlign w:val="center"/>
          </w:tcPr>
          <w:p w14:paraId="179BA01D">
            <w:pPr>
              <w:adjustRightInd w:val="0"/>
              <w:snapToGrid w:val="0"/>
              <w:jc w:val="center"/>
              <w:rPr>
                <w:color w:val="auto"/>
                <w:kern w:val="21"/>
                <w:sz w:val="24"/>
              </w:rPr>
            </w:pPr>
            <w:r>
              <w:rPr>
                <w:color w:val="auto"/>
                <w:kern w:val="21"/>
                <w:sz w:val="24"/>
              </w:rPr>
              <w:t>用地（用海）</w:t>
            </w:r>
          </w:p>
          <w:p w14:paraId="40C188A6">
            <w:pPr>
              <w:adjustRightInd w:val="0"/>
              <w:snapToGrid w:val="0"/>
              <w:jc w:val="center"/>
              <w:rPr>
                <w:color w:val="auto"/>
                <w:kern w:val="21"/>
                <w:sz w:val="24"/>
              </w:rPr>
            </w:pPr>
            <w:r>
              <w:rPr>
                <w:color w:val="auto"/>
                <w:kern w:val="21"/>
                <w:sz w:val="24"/>
              </w:rPr>
              <w:t>面积（m</w:t>
            </w:r>
            <w:r>
              <w:rPr>
                <w:color w:val="auto"/>
                <w:kern w:val="21"/>
                <w:sz w:val="24"/>
                <w:vertAlign w:val="superscript"/>
              </w:rPr>
              <w:t>2</w:t>
            </w:r>
            <w:r>
              <w:rPr>
                <w:color w:val="auto"/>
                <w:kern w:val="21"/>
                <w:sz w:val="24"/>
              </w:rPr>
              <w:t>）</w:t>
            </w:r>
          </w:p>
        </w:tc>
        <w:tc>
          <w:tcPr>
            <w:tcW w:w="3289" w:type="dxa"/>
            <w:vAlign w:val="center"/>
          </w:tcPr>
          <w:p w14:paraId="2A087C22">
            <w:pPr>
              <w:adjustRightInd w:val="0"/>
              <w:snapToGrid w:val="0"/>
              <w:jc w:val="center"/>
              <w:rPr>
                <w:rFonts w:hint="default" w:eastAsia="宋体"/>
                <w:color w:val="auto"/>
                <w:kern w:val="21"/>
                <w:sz w:val="24"/>
                <w:lang w:val="en-US" w:eastAsia="zh-CN"/>
              </w:rPr>
            </w:pPr>
            <w:r>
              <w:rPr>
                <w:rFonts w:hint="eastAsia"/>
                <w:color w:val="auto"/>
                <w:kern w:val="21"/>
                <w:sz w:val="24"/>
                <w:lang w:val="en-US" w:eastAsia="zh-CN"/>
              </w:rPr>
              <w:t>5600</w:t>
            </w:r>
          </w:p>
        </w:tc>
      </w:tr>
      <w:tr w14:paraId="04A1E4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297" w:type="dxa"/>
            <w:vAlign w:val="center"/>
          </w:tcPr>
          <w:p w14:paraId="7600840F">
            <w:pPr>
              <w:autoSpaceDE w:val="0"/>
              <w:autoSpaceDN w:val="0"/>
              <w:adjustRightInd w:val="0"/>
              <w:snapToGrid w:val="0"/>
              <w:jc w:val="center"/>
              <w:rPr>
                <w:color w:val="auto"/>
                <w:kern w:val="21"/>
                <w:sz w:val="24"/>
              </w:rPr>
            </w:pPr>
            <w:r>
              <w:rPr>
                <w:color w:val="auto"/>
                <w:kern w:val="21"/>
                <w:sz w:val="24"/>
              </w:rPr>
              <w:t>专项评价设置情况</w:t>
            </w:r>
          </w:p>
        </w:tc>
        <w:tc>
          <w:tcPr>
            <w:tcW w:w="7207" w:type="dxa"/>
            <w:gridSpan w:val="3"/>
            <w:vAlign w:val="center"/>
          </w:tcPr>
          <w:p w14:paraId="1757D394">
            <w:pPr>
              <w:adjustRightInd w:val="0"/>
              <w:snapToGrid w:val="0"/>
              <w:jc w:val="center"/>
              <w:rPr>
                <w:rFonts w:hint="eastAsia" w:eastAsia="宋体"/>
                <w:color w:val="auto"/>
                <w:kern w:val="21"/>
                <w:sz w:val="24"/>
                <w:lang w:eastAsia="zh-CN"/>
              </w:rPr>
            </w:pPr>
            <w:r>
              <w:rPr>
                <w:rFonts w:hint="eastAsia"/>
                <w:color w:val="auto"/>
                <w:kern w:val="0"/>
                <w:sz w:val="24"/>
                <w:lang w:val="en-US" w:eastAsia="zh-CN"/>
              </w:rPr>
              <w:t>无</w:t>
            </w:r>
          </w:p>
        </w:tc>
      </w:tr>
      <w:tr w14:paraId="13E35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297" w:type="dxa"/>
            <w:vAlign w:val="center"/>
          </w:tcPr>
          <w:p w14:paraId="13B1242C">
            <w:pPr>
              <w:autoSpaceDE w:val="0"/>
              <w:autoSpaceDN w:val="0"/>
              <w:adjustRightInd w:val="0"/>
              <w:snapToGrid w:val="0"/>
              <w:jc w:val="center"/>
              <w:rPr>
                <w:color w:val="auto"/>
                <w:kern w:val="21"/>
                <w:sz w:val="24"/>
              </w:rPr>
            </w:pPr>
            <w:r>
              <w:rPr>
                <w:color w:val="auto"/>
                <w:kern w:val="21"/>
                <w:sz w:val="24"/>
              </w:rPr>
              <w:t>规划情况</w:t>
            </w:r>
          </w:p>
        </w:tc>
        <w:tc>
          <w:tcPr>
            <w:tcW w:w="7207" w:type="dxa"/>
            <w:gridSpan w:val="3"/>
            <w:vAlign w:val="center"/>
          </w:tcPr>
          <w:p w14:paraId="77394765">
            <w:pPr>
              <w:pStyle w:val="7"/>
              <w:spacing w:line="240" w:lineRule="auto"/>
              <w:ind w:firstLine="0" w:firstLineChars="0"/>
              <w:jc w:val="center"/>
              <w:rPr>
                <w:color w:val="auto"/>
              </w:rPr>
            </w:pPr>
            <w:r>
              <w:rPr>
                <w:rFonts w:hint="eastAsia"/>
                <w:color w:val="auto"/>
                <w:sz w:val="24"/>
                <w:szCs w:val="24"/>
              </w:rPr>
              <w:t>无</w:t>
            </w:r>
          </w:p>
        </w:tc>
      </w:tr>
      <w:tr w14:paraId="76C59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297" w:type="dxa"/>
            <w:vAlign w:val="center"/>
          </w:tcPr>
          <w:p w14:paraId="4BCE1A08">
            <w:pPr>
              <w:adjustRightInd w:val="0"/>
              <w:snapToGrid w:val="0"/>
              <w:jc w:val="center"/>
              <w:rPr>
                <w:color w:val="auto"/>
                <w:kern w:val="21"/>
                <w:sz w:val="24"/>
              </w:rPr>
            </w:pPr>
            <w:r>
              <w:rPr>
                <w:color w:val="auto"/>
                <w:kern w:val="21"/>
                <w:sz w:val="24"/>
              </w:rPr>
              <w:t>规划环境影响评价情况</w:t>
            </w:r>
          </w:p>
        </w:tc>
        <w:tc>
          <w:tcPr>
            <w:tcW w:w="7207" w:type="dxa"/>
            <w:gridSpan w:val="3"/>
            <w:vAlign w:val="center"/>
          </w:tcPr>
          <w:p w14:paraId="36576ED1">
            <w:pPr>
              <w:adjustRightInd w:val="0"/>
              <w:snapToGrid w:val="0"/>
              <w:jc w:val="center"/>
              <w:rPr>
                <w:color w:val="auto"/>
                <w:kern w:val="21"/>
                <w:sz w:val="24"/>
              </w:rPr>
            </w:pPr>
            <w:r>
              <w:rPr>
                <w:color w:val="auto"/>
                <w:kern w:val="0"/>
                <w:sz w:val="24"/>
              </w:rPr>
              <w:t>无</w:t>
            </w:r>
          </w:p>
        </w:tc>
      </w:tr>
      <w:tr w14:paraId="7D880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7" w:type="dxa"/>
            <w:vAlign w:val="center"/>
          </w:tcPr>
          <w:p w14:paraId="6AEC24E8">
            <w:pPr>
              <w:autoSpaceDE w:val="0"/>
              <w:autoSpaceDN w:val="0"/>
              <w:adjustRightInd w:val="0"/>
              <w:snapToGrid w:val="0"/>
              <w:jc w:val="center"/>
              <w:rPr>
                <w:color w:val="auto"/>
                <w:kern w:val="21"/>
                <w:sz w:val="24"/>
              </w:rPr>
            </w:pPr>
            <w:r>
              <w:rPr>
                <w:color w:val="auto"/>
                <w:kern w:val="21"/>
                <w:sz w:val="24"/>
              </w:rPr>
              <w:t>规划及规划环境影响评价符合性分析</w:t>
            </w:r>
          </w:p>
        </w:tc>
        <w:tc>
          <w:tcPr>
            <w:tcW w:w="7207" w:type="dxa"/>
            <w:gridSpan w:val="3"/>
            <w:vAlign w:val="center"/>
          </w:tcPr>
          <w:p w14:paraId="18D9425D">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bCs/>
                <w:color w:val="auto"/>
                <w:sz w:val="24"/>
              </w:rPr>
            </w:pPr>
            <w:r>
              <w:rPr>
                <w:rFonts w:hint="eastAsia"/>
                <w:b/>
                <w:bCs/>
                <w:color w:val="auto"/>
                <w:sz w:val="24"/>
              </w:rPr>
              <w:t>一、与《淮南市潘集区土地利用总体规划（2006-2020）》、《潘集区架河镇土地利用总体规划（2006-2020）调整完善》</w:t>
            </w:r>
            <w:r>
              <w:rPr>
                <w:b/>
                <w:bCs/>
                <w:color w:val="auto"/>
                <w:sz w:val="24"/>
              </w:rPr>
              <w:t>符合性分析</w:t>
            </w:r>
          </w:p>
          <w:p w14:paraId="3CF61906">
            <w:pPr>
              <w:spacing w:line="360" w:lineRule="auto"/>
              <w:ind w:firstLine="480" w:firstLineChars="200"/>
              <w:rPr>
                <w:bCs/>
                <w:color w:val="auto"/>
                <w:sz w:val="24"/>
              </w:rPr>
            </w:pPr>
            <w:r>
              <w:rPr>
                <w:rFonts w:hint="eastAsia"/>
                <w:bCs/>
                <w:color w:val="auto"/>
                <w:sz w:val="24"/>
              </w:rPr>
              <w:t>本项目位于潘集区架河镇小郢村，主要从事豆制品制造，</w:t>
            </w:r>
            <w:r>
              <w:rPr>
                <w:bCs/>
                <w:color w:val="auto"/>
                <w:sz w:val="24"/>
              </w:rPr>
              <w:t>对照《</w:t>
            </w:r>
            <w:r>
              <w:rPr>
                <w:rFonts w:hint="eastAsia"/>
                <w:bCs/>
                <w:color w:val="auto"/>
                <w:sz w:val="24"/>
              </w:rPr>
              <w:t>淮南市潘集区土地利用总体规划（2006-2020）</w:t>
            </w:r>
            <w:r>
              <w:rPr>
                <w:bCs/>
                <w:color w:val="auto"/>
                <w:sz w:val="24"/>
              </w:rPr>
              <w:t>》</w:t>
            </w:r>
            <w:r>
              <w:rPr>
                <w:rFonts w:hint="eastAsia"/>
                <w:bCs/>
                <w:color w:val="auto"/>
                <w:sz w:val="24"/>
              </w:rPr>
              <w:t>及</w:t>
            </w:r>
            <w:r>
              <w:rPr>
                <w:rFonts w:hint="eastAsia"/>
                <w:color w:val="auto"/>
                <w:sz w:val="24"/>
              </w:rPr>
              <w:t>《潘集区架河镇土地利用总体规划（2006-2020）调整完善》</w:t>
            </w:r>
            <w:r>
              <w:rPr>
                <w:rFonts w:hint="eastAsia"/>
                <w:bCs/>
                <w:color w:val="auto"/>
                <w:sz w:val="24"/>
              </w:rPr>
              <w:t>，</w:t>
            </w:r>
            <w:r>
              <w:rPr>
                <w:bCs/>
                <w:color w:val="auto"/>
                <w:sz w:val="24"/>
              </w:rPr>
              <w:t>本项目</w:t>
            </w:r>
            <w:r>
              <w:rPr>
                <w:rFonts w:hint="eastAsia"/>
                <w:bCs/>
                <w:color w:val="auto"/>
                <w:sz w:val="24"/>
              </w:rPr>
              <w:t>不涉及占用</w:t>
            </w:r>
            <w:r>
              <w:rPr>
                <w:bCs/>
                <w:color w:val="auto"/>
                <w:sz w:val="24"/>
              </w:rPr>
              <w:t>永久基本农田</w:t>
            </w:r>
            <w:r>
              <w:rPr>
                <w:rFonts w:hint="eastAsia"/>
                <w:bCs/>
                <w:color w:val="auto"/>
                <w:sz w:val="24"/>
              </w:rPr>
              <w:t>，且项目周边均为农田，不存在环境制约因素，</w:t>
            </w:r>
            <w:r>
              <w:rPr>
                <w:bCs/>
                <w:color w:val="auto"/>
                <w:kern w:val="21"/>
                <w:sz w:val="24"/>
              </w:rPr>
              <w:t>因此，本项目的建设符合</w:t>
            </w:r>
            <w:r>
              <w:rPr>
                <w:rFonts w:hint="eastAsia"/>
                <w:bCs/>
                <w:color w:val="auto"/>
                <w:kern w:val="21"/>
                <w:sz w:val="24"/>
              </w:rPr>
              <w:t>《</w:t>
            </w:r>
            <w:r>
              <w:rPr>
                <w:rFonts w:hint="eastAsia"/>
                <w:bCs/>
                <w:color w:val="auto"/>
                <w:sz w:val="24"/>
              </w:rPr>
              <w:t>潘集区</w:t>
            </w:r>
            <w:r>
              <w:rPr>
                <w:rFonts w:hint="eastAsia"/>
                <w:color w:val="auto"/>
                <w:sz w:val="24"/>
              </w:rPr>
              <w:t>架河镇</w:t>
            </w:r>
            <w:r>
              <w:rPr>
                <w:rFonts w:hint="eastAsia"/>
                <w:bCs/>
                <w:color w:val="auto"/>
                <w:sz w:val="24"/>
              </w:rPr>
              <w:t>土地利用总体规划（2006-2020）调整完善</w:t>
            </w:r>
            <w:r>
              <w:rPr>
                <w:rFonts w:hint="eastAsia"/>
                <w:bCs/>
                <w:color w:val="auto"/>
                <w:kern w:val="21"/>
                <w:sz w:val="24"/>
              </w:rPr>
              <w:t>》</w:t>
            </w:r>
            <w:r>
              <w:rPr>
                <w:bCs/>
                <w:color w:val="auto"/>
                <w:kern w:val="21"/>
                <w:sz w:val="24"/>
              </w:rPr>
              <w:t>的要求</w:t>
            </w:r>
            <w:r>
              <w:rPr>
                <w:rFonts w:hint="eastAsia"/>
                <w:bCs/>
                <w:color w:val="auto"/>
                <w:sz w:val="24"/>
              </w:rPr>
              <w:t>。</w:t>
            </w:r>
          </w:p>
          <w:p w14:paraId="3BEDAEAF">
            <w:pPr>
              <w:spacing w:line="360" w:lineRule="auto"/>
              <w:ind w:firstLine="480" w:firstLineChars="200"/>
              <w:rPr>
                <w:color w:val="auto"/>
              </w:rPr>
            </w:pPr>
            <w:r>
              <w:rPr>
                <w:rFonts w:hint="eastAsia"/>
                <w:bCs/>
                <w:color w:val="auto"/>
                <w:sz w:val="24"/>
                <w:lang w:val="en-US" w:eastAsia="zh-CN"/>
              </w:rPr>
              <w:t>根据《潘集区架河镇小郢村村庄规划》（2021-2035年）和《安徽省人民政府建设用地批复-关于淮南市2024年第37批次村庄建设用地（只转不征）的批复》》（皖政地淮(南)〔2025】20号）文件</w:t>
            </w:r>
            <w:r>
              <w:rPr>
                <w:rFonts w:hint="eastAsia"/>
                <w:bCs/>
                <w:color w:val="auto"/>
                <w:sz w:val="24"/>
              </w:rPr>
              <w:t>，明确本项目</w:t>
            </w:r>
            <w:r>
              <w:rPr>
                <w:rFonts w:hint="eastAsia"/>
                <w:bCs/>
                <w:color w:val="auto"/>
                <w:sz w:val="24"/>
                <w:lang w:eastAsia="zh-CN"/>
              </w:rPr>
              <w:t>所在地</w:t>
            </w:r>
            <w:r>
              <w:rPr>
                <w:rFonts w:hint="eastAsia"/>
                <w:bCs/>
                <w:color w:val="auto"/>
                <w:sz w:val="24"/>
              </w:rPr>
              <w:t>用地类型为</w:t>
            </w:r>
            <w:r>
              <w:rPr>
                <w:rFonts w:hint="eastAsia"/>
                <w:bCs/>
                <w:color w:val="auto"/>
                <w:sz w:val="24"/>
                <w:lang w:val="en-US" w:eastAsia="zh-CN"/>
              </w:rPr>
              <w:t>由农民集体所有农用地转为建设用地</w:t>
            </w:r>
            <w:r>
              <w:rPr>
                <w:rFonts w:hint="eastAsia"/>
                <w:bCs/>
                <w:color w:val="auto"/>
                <w:sz w:val="24"/>
                <w:lang w:val="en-US" w:eastAsia="zh-CN"/>
              </w:rPr>
              <w:t>，规划土地用途是用于村庄建设</w:t>
            </w:r>
            <w:r>
              <w:rPr>
                <w:rFonts w:hint="eastAsia"/>
                <w:bCs/>
                <w:color w:val="auto"/>
                <w:sz w:val="24"/>
              </w:rPr>
              <w:t>。本项目主要从事豆制品制造</w:t>
            </w:r>
            <w:r>
              <w:rPr>
                <w:rFonts w:hint="eastAsia"/>
                <w:color w:val="auto"/>
                <w:sz w:val="24"/>
              </w:rPr>
              <w:t>，</w:t>
            </w:r>
            <w:r>
              <w:rPr>
                <w:rFonts w:hint="eastAsia"/>
                <w:color w:val="auto"/>
                <w:sz w:val="24"/>
                <w:lang w:val="en-US" w:eastAsia="zh-CN"/>
              </w:rPr>
              <w:t>属于工业生产项目，用地基本</w:t>
            </w:r>
            <w:r>
              <w:rPr>
                <w:rFonts w:hint="eastAsia"/>
                <w:color w:val="auto"/>
                <w:sz w:val="24"/>
              </w:rPr>
              <w:t>满足要求。</w:t>
            </w:r>
          </w:p>
        </w:tc>
      </w:tr>
      <w:tr w14:paraId="08DEA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35" w:hRule="atLeast"/>
          <w:jc w:val="center"/>
        </w:trPr>
        <w:tc>
          <w:tcPr>
            <w:tcW w:w="1297" w:type="dxa"/>
            <w:vAlign w:val="center"/>
          </w:tcPr>
          <w:p w14:paraId="053A76F0">
            <w:pPr>
              <w:autoSpaceDE w:val="0"/>
              <w:autoSpaceDN w:val="0"/>
              <w:adjustRightInd w:val="0"/>
              <w:snapToGrid w:val="0"/>
              <w:jc w:val="center"/>
              <w:rPr>
                <w:color w:val="auto"/>
                <w:kern w:val="21"/>
                <w:sz w:val="24"/>
              </w:rPr>
            </w:pPr>
            <w:r>
              <w:rPr>
                <w:color w:val="auto"/>
                <w:kern w:val="21"/>
                <w:sz w:val="24"/>
              </w:rPr>
              <w:t>其他符合性分析</w:t>
            </w:r>
          </w:p>
        </w:tc>
        <w:tc>
          <w:tcPr>
            <w:tcW w:w="7207" w:type="dxa"/>
            <w:gridSpan w:val="3"/>
            <w:vAlign w:val="center"/>
          </w:tcPr>
          <w:p w14:paraId="53AA3CDD">
            <w:pPr>
              <w:adjustRightInd w:val="0"/>
              <w:snapToGrid w:val="0"/>
              <w:spacing w:beforeLines="50" w:line="360" w:lineRule="auto"/>
              <w:rPr>
                <w:b/>
                <w:bCs/>
                <w:color w:val="auto"/>
                <w:sz w:val="24"/>
              </w:rPr>
            </w:pPr>
            <w:r>
              <w:rPr>
                <w:b/>
                <w:bCs/>
                <w:color w:val="auto"/>
                <w:sz w:val="24"/>
              </w:rPr>
              <w:t>一、与</w:t>
            </w:r>
            <w:r>
              <w:rPr>
                <w:rFonts w:hint="eastAsia"/>
                <w:b/>
                <w:bCs/>
                <w:color w:val="auto"/>
                <w:sz w:val="24"/>
              </w:rPr>
              <w:t>“</w:t>
            </w:r>
            <w:r>
              <w:rPr>
                <w:b/>
                <w:bCs/>
                <w:color w:val="auto"/>
                <w:sz w:val="24"/>
              </w:rPr>
              <w:t>三线一单</w:t>
            </w:r>
            <w:r>
              <w:rPr>
                <w:rFonts w:hint="eastAsia"/>
                <w:b/>
                <w:bCs/>
                <w:color w:val="auto"/>
                <w:sz w:val="24"/>
              </w:rPr>
              <w:t>”</w:t>
            </w:r>
            <w:r>
              <w:rPr>
                <w:b/>
                <w:bCs/>
                <w:color w:val="auto"/>
                <w:sz w:val="24"/>
              </w:rPr>
              <w:t>符合性分析</w:t>
            </w:r>
          </w:p>
          <w:p w14:paraId="61F34F59">
            <w:pPr>
              <w:spacing w:line="360" w:lineRule="auto"/>
              <w:ind w:firstLine="480" w:firstLineChars="200"/>
              <w:rPr>
                <w:bCs/>
                <w:color w:val="auto"/>
                <w:sz w:val="24"/>
              </w:rPr>
            </w:pPr>
            <w:r>
              <w:rPr>
                <w:rFonts w:hint="eastAsia"/>
                <w:bCs/>
                <w:color w:val="auto"/>
                <w:sz w:val="24"/>
              </w:rPr>
              <w:t>根据环境保护部环环评[2016]150号文“关于以改善环境质量为核心加强环境影响评价管理的通知”中“为适应以改善环境质量为核心的环境管理要求，切实加强环境影响评价管理，落实“生态保护红线、环境质量底线、资源利用上线和环境准入负面清单”约束，建立项目环评审批与规划环评、现有项目环境管理、区域环境质量联动机制（以下简称“三挂钩”机制），更好地发挥环评制度从源头防范环境污染和生态破坏的作用，加快推进改善环境质量”等“强化“三线一单”约束作用、建立“三挂钩”机制”的要求。以及2020年7月安徽省人民政府关于加快实施“三线一单”生态环境分区管控的通知要求，全面落实《中共中央国务院关于全面加强生态环境保护坚决打好污染防治攻坚战的意见》，加快实施生态保护红线、环境质量底线、资源利用上线和生态环境准入清单“三线一单”生态环境分区管控体系，扎实推进我省生态环境治理体系和治理能力现代化</w:t>
            </w:r>
            <w:r>
              <w:rPr>
                <w:bCs/>
                <w:color w:val="auto"/>
                <w:sz w:val="24"/>
              </w:rPr>
              <w:t>。</w:t>
            </w:r>
          </w:p>
          <w:p w14:paraId="0965B85C">
            <w:pPr>
              <w:spacing w:line="360" w:lineRule="auto"/>
              <w:ind w:firstLine="482" w:firstLineChars="200"/>
              <w:rPr>
                <w:b/>
                <w:bCs/>
                <w:color w:val="auto"/>
                <w:sz w:val="24"/>
              </w:rPr>
            </w:pPr>
            <w:r>
              <w:rPr>
                <w:b/>
                <w:bCs/>
                <w:color w:val="auto"/>
                <w:sz w:val="24"/>
              </w:rPr>
              <w:t>1、生态保护红线及生态分区管控</w:t>
            </w:r>
          </w:p>
          <w:p w14:paraId="3C31E7C0">
            <w:pPr>
              <w:spacing w:line="360" w:lineRule="auto"/>
              <w:ind w:firstLine="480" w:firstLineChars="200"/>
              <w:rPr>
                <w:bCs/>
                <w:color w:val="auto"/>
                <w:sz w:val="24"/>
                <w:highlight w:val="yellow"/>
              </w:rPr>
            </w:pPr>
            <w:r>
              <w:rPr>
                <w:rFonts w:hint="eastAsia"/>
                <w:bCs/>
                <w:color w:val="auto"/>
                <w:sz w:val="24"/>
              </w:rPr>
              <w:t>本项目位于安徽省淮南市潘集区架河镇小郢村，项目厂区不涉及具有重要水源涵养、生物多样性维护、水土保持、防风固沙、海岸生态稳定等功能的生态功能重要区域，以及水土流失、土地沙化、石漠化、盐渍化等生态环境敏感脆弱区域，不涉及自然保护区、文物古迹保护单位、著名自然历史遗产等敏感区。项目所在区域不涉及安徽省生态保护红线。根据自然资源部办公厅《关于依据“三区三线”划定成果报批建设项目用地用海有关事宜的函》（自然资办函〔2022〕2072），对照淮南市“三区三线”划定方案及《长江经济带战略环境评价淮南市“三线一单”生态环境准入清单》中淮南市生态保护红线图可知，本项目占地不涉及淮南市生态保护红线，不在城镇开发边界范围之内</w:t>
            </w:r>
            <w:r>
              <w:rPr>
                <w:bCs/>
                <w:color w:val="auto"/>
                <w:sz w:val="24"/>
              </w:rPr>
              <w:t>。</w:t>
            </w:r>
          </w:p>
          <w:p w14:paraId="018D829B">
            <w:pPr>
              <w:spacing w:line="360" w:lineRule="auto"/>
              <w:ind w:firstLine="482" w:firstLineChars="200"/>
              <w:rPr>
                <w:b/>
                <w:bCs/>
                <w:color w:val="auto"/>
                <w:sz w:val="24"/>
              </w:rPr>
            </w:pPr>
            <w:r>
              <w:rPr>
                <w:b/>
                <w:bCs/>
                <w:color w:val="auto"/>
                <w:sz w:val="24"/>
              </w:rPr>
              <w:t>2、环境质量底线及环境分区管控</w:t>
            </w:r>
          </w:p>
          <w:p w14:paraId="2C56AE14">
            <w:pPr>
              <w:spacing w:line="360" w:lineRule="auto"/>
              <w:ind w:firstLine="480" w:firstLineChars="200"/>
              <w:rPr>
                <w:bCs/>
                <w:color w:val="auto"/>
                <w:sz w:val="24"/>
              </w:rPr>
            </w:pPr>
            <w:r>
              <w:rPr>
                <w:bCs/>
                <w:color w:val="auto"/>
                <w:sz w:val="24"/>
              </w:rPr>
              <w:t>（1）大气环境质量底线及分区管控</w:t>
            </w:r>
          </w:p>
          <w:p w14:paraId="40C43B39">
            <w:pPr>
              <w:spacing w:line="360" w:lineRule="auto"/>
              <w:ind w:firstLine="480" w:firstLineChars="200"/>
              <w:rPr>
                <w:bCs/>
                <w:color w:val="auto"/>
                <w:sz w:val="24"/>
              </w:rPr>
            </w:pPr>
            <w:r>
              <w:rPr>
                <w:bCs/>
                <w:color w:val="auto"/>
                <w:sz w:val="24"/>
              </w:rPr>
              <w:t>根据</w:t>
            </w:r>
            <w:r>
              <w:rPr>
                <w:rFonts w:hint="eastAsia"/>
                <w:bCs/>
                <w:color w:val="auto"/>
                <w:sz w:val="24"/>
              </w:rPr>
              <w:t>《2024年淮南市生态环境质量状况公报》，本项目环境空气执行《环境空气质量标准》（GB3095-2012）二级标准。</w:t>
            </w:r>
          </w:p>
          <w:p w14:paraId="382689C4">
            <w:pPr>
              <w:spacing w:line="360" w:lineRule="auto"/>
              <w:ind w:firstLine="480" w:firstLineChars="200"/>
              <w:rPr>
                <w:bCs/>
                <w:color w:val="auto"/>
                <w:sz w:val="24"/>
              </w:rPr>
            </w:pPr>
            <w:r>
              <w:rPr>
                <w:rFonts w:hint="eastAsia"/>
                <w:bCs/>
                <w:color w:val="auto"/>
                <w:sz w:val="24"/>
              </w:rPr>
              <w:t>建设项目位于潘集区架河镇小郢村，根据《</w:t>
            </w:r>
            <w:r>
              <w:rPr>
                <w:rFonts w:hint="eastAsia"/>
                <w:bCs/>
                <w:color w:val="auto"/>
                <w:sz w:val="24"/>
                <w:lang w:eastAsia="zh-CN"/>
              </w:rPr>
              <w:t>2024年淮南市生态环境质量状况公报</w:t>
            </w:r>
            <w:r>
              <w:rPr>
                <w:rFonts w:hint="eastAsia"/>
                <w:bCs/>
                <w:color w:val="auto"/>
                <w:sz w:val="24"/>
              </w:rPr>
              <w:t>》，202</w:t>
            </w:r>
            <w:r>
              <w:rPr>
                <w:rFonts w:hint="eastAsia"/>
                <w:bCs/>
                <w:color w:val="auto"/>
                <w:sz w:val="24"/>
                <w:lang w:val="en-US" w:eastAsia="zh-CN"/>
              </w:rPr>
              <w:t>4</w:t>
            </w:r>
            <w:r>
              <w:rPr>
                <w:rFonts w:hint="eastAsia"/>
                <w:bCs/>
                <w:color w:val="auto"/>
                <w:sz w:val="24"/>
              </w:rPr>
              <w:t>年淮南市区域环境空气质量不达标，为不达标区域，主要超标物为细颗粒物（PM</w:t>
            </w:r>
            <w:r>
              <w:rPr>
                <w:rFonts w:hint="eastAsia"/>
                <w:bCs/>
                <w:color w:val="auto"/>
                <w:sz w:val="24"/>
                <w:vertAlign w:val="subscript"/>
              </w:rPr>
              <w:t>2.5</w:t>
            </w:r>
            <w:r>
              <w:rPr>
                <w:rFonts w:hint="eastAsia"/>
                <w:bCs/>
                <w:color w:val="auto"/>
                <w:sz w:val="24"/>
              </w:rPr>
              <w:t>）。</w:t>
            </w:r>
          </w:p>
          <w:p w14:paraId="7868CF23">
            <w:pPr>
              <w:spacing w:line="360" w:lineRule="auto"/>
              <w:ind w:firstLine="480" w:firstLineChars="200"/>
              <w:rPr>
                <w:bCs/>
                <w:color w:val="auto"/>
                <w:sz w:val="24"/>
              </w:rPr>
            </w:pPr>
            <w:r>
              <w:rPr>
                <w:bCs/>
                <w:color w:val="auto"/>
                <w:sz w:val="24"/>
              </w:rPr>
              <w:t>对照</w:t>
            </w:r>
            <w:r>
              <w:rPr>
                <w:rFonts w:hint="eastAsia"/>
                <w:bCs/>
                <w:color w:val="auto"/>
                <w:sz w:val="24"/>
              </w:rPr>
              <w:t>淮南</w:t>
            </w:r>
            <w:r>
              <w:rPr>
                <w:bCs/>
                <w:color w:val="auto"/>
                <w:sz w:val="24"/>
              </w:rPr>
              <w:t>市大气环境分区管控图，本项目位于一般管控区。一般管控区管控要求：依据《中华人民共和国大气污染防治法》《打赢蓝天保卫战三年行动计划》《安徽省打赢蓝天保卫战三年行动计划实施方案》等法律法规和规章对一般管控区实施管控。上年度PM</w:t>
            </w:r>
            <w:r>
              <w:rPr>
                <w:bCs/>
                <w:color w:val="auto"/>
                <w:sz w:val="24"/>
                <w:vertAlign w:val="subscript"/>
              </w:rPr>
              <w:t>2.5</w:t>
            </w:r>
            <w:r>
              <w:rPr>
                <w:bCs/>
                <w:color w:val="auto"/>
                <w:sz w:val="24"/>
              </w:rPr>
              <w:t>不达标城市新建、改建和扩建项目大气污染物实施</w:t>
            </w:r>
            <w:r>
              <w:rPr>
                <w:rFonts w:hint="eastAsia"/>
                <w:bCs/>
                <w:color w:val="auto"/>
                <w:sz w:val="24"/>
              </w:rPr>
              <w:t>“</w:t>
            </w:r>
            <w:r>
              <w:rPr>
                <w:bCs/>
                <w:color w:val="auto"/>
                <w:sz w:val="24"/>
              </w:rPr>
              <w:t>倍量替代</w:t>
            </w:r>
            <w:r>
              <w:rPr>
                <w:rFonts w:hint="eastAsia"/>
                <w:bCs/>
                <w:color w:val="auto"/>
                <w:sz w:val="24"/>
              </w:rPr>
              <w:t>”</w:t>
            </w:r>
            <w:r>
              <w:rPr>
                <w:bCs/>
                <w:color w:val="auto"/>
                <w:sz w:val="24"/>
              </w:rPr>
              <w:t>，执行特别排放标准的行业实施提标升级改造。</w:t>
            </w:r>
          </w:p>
          <w:p w14:paraId="1906D24D">
            <w:pPr>
              <w:spacing w:line="360" w:lineRule="auto"/>
              <w:ind w:firstLine="480" w:firstLineChars="200"/>
              <w:rPr>
                <w:bCs/>
                <w:color w:val="auto"/>
                <w:sz w:val="24"/>
              </w:rPr>
            </w:pPr>
            <w:r>
              <w:rPr>
                <w:rFonts w:hint="eastAsia"/>
                <w:bCs/>
                <w:color w:val="auto"/>
                <w:sz w:val="24"/>
              </w:rPr>
              <w:t>本项目所在区域环境空气质量属于不达标区，但本项目所排放污染物经采取的污染物治理措施处理后均可达标排放，废气排放不会降低当地空气质量。因此本项目建设不会突破当地环境质量底线，符合当地环境质量底线要求。项目建成后对周围大气环境影响比较小。</w:t>
            </w:r>
          </w:p>
          <w:p w14:paraId="6E7553D5">
            <w:pPr>
              <w:pStyle w:val="7"/>
              <w:spacing w:line="360" w:lineRule="auto"/>
              <w:ind w:firstLine="480"/>
              <w:rPr>
                <w:bCs/>
                <w:color w:val="auto"/>
                <w:sz w:val="24"/>
                <w:szCs w:val="24"/>
              </w:rPr>
            </w:pPr>
            <w:r>
              <w:rPr>
                <w:rFonts w:hint="eastAsia"/>
                <w:bCs/>
                <w:color w:val="auto"/>
                <w:sz w:val="24"/>
                <w:szCs w:val="24"/>
              </w:rPr>
              <w:t>（2）水环境质量底线及分区管控</w:t>
            </w:r>
          </w:p>
          <w:p w14:paraId="3FA70F14">
            <w:pPr>
              <w:spacing w:line="360" w:lineRule="auto"/>
              <w:ind w:firstLine="480" w:firstLineChars="200"/>
              <w:rPr>
                <w:bCs/>
                <w:color w:val="auto"/>
                <w:sz w:val="24"/>
              </w:rPr>
            </w:pPr>
            <w:r>
              <w:rPr>
                <w:rFonts w:hint="eastAsia"/>
                <w:bCs/>
                <w:color w:val="auto"/>
                <w:sz w:val="24"/>
              </w:rPr>
              <w:t>根据《</w:t>
            </w:r>
            <w:r>
              <w:rPr>
                <w:rFonts w:hint="eastAsia"/>
                <w:bCs/>
                <w:color w:val="auto"/>
                <w:sz w:val="24"/>
                <w:lang w:eastAsia="zh-CN"/>
              </w:rPr>
              <w:t>2024年淮南市生态环境质量状况公报</w:t>
            </w:r>
            <w:r>
              <w:rPr>
                <w:rFonts w:hint="eastAsia"/>
                <w:bCs/>
                <w:color w:val="auto"/>
                <w:sz w:val="24"/>
              </w:rPr>
              <w:t>》，202</w:t>
            </w:r>
            <w:r>
              <w:rPr>
                <w:rFonts w:hint="eastAsia"/>
                <w:bCs/>
                <w:color w:val="auto"/>
                <w:sz w:val="24"/>
                <w:lang w:val="en-US" w:eastAsia="zh-CN"/>
              </w:rPr>
              <w:t>4</w:t>
            </w:r>
            <w:r>
              <w:rPr>
                <w:rFonts w:hint="eastAsia"/>
                <w:bCs/>
                <w:color w:val="auto"/>
                <w:sz w:val="24"/>
              </w:rPr>
              <w:t>年，全市地表水24个监测断面中优良水质比例为91.7%，比上年下降了4.1个百分点，Ⅳ类水质比例8.3%，总体水质状况优。</w:t>
            </w:r>
          </w:p>
          <w:p w14:paraId="41DFDD0B">
            <w:pPr>
              <w:spacing w:line="360" w:lineRule="auto"/>
              <w:ind w:firstLine="480" w:firstLineChars="200"/>
              <w:rPr>
                <w:bCs/>
                <w:color w:val="auto"/>
                <w:sz w:val="24"/>
              </w:rPr>
            </w:pPr>
            <w:r>
              <w:rPr>
                <w:bCs/>
                <w:color w:val="auto"/>
                <w:sz w:val="24"/>
              </w:rPr>
              <w:t>对照淮</w:t>
            </w:r>
            <w:r>
              <w:rPr>
                <w:rFonts w:hint="eastAsia"/>
                <w:bCs/>
                <w:color w:val="auto"/>
                <w:sz w:val="24"/>
              </w:rPr>
              <w:t>南</w:t>
            </w:r>
            <w:r>
              <w:rPr>
                <w:bCs/>
                <w:color w:val="auto"/>
                <w:sz w:val="24"/>
              </w:rPr>
              <w:t>市水环境分区管控图，本项目位于一般管控区。一般管控区管控要求：依据《中华人民共和国水污染防治法》《水污染防治行动计划》《安徽省水污染防治工作方案》及各市水污染防治工作方案对一般管控区实施管控；依据《安徽省淮河流域水污染防治条例》对淮河流域实施管控。</w:t>
            </w:r>
          </w:p>
          <w:p w14:paraId="11E78A61">
            <w:pPr>
              <w:pStyle w:val="7"/>
              <w:spacing w:line="360" w:lineRule="auto"/>
              <w:ind w:firstLine="480"/>
              <w:rPr>
                <w:color w:val="auto"/>
                <w:highlight w:val="yellow"/>
              </w:rPr>
            </w:pPr>
            <w:r>
              <w:rPr>
                <w:bCs/>
                <w:color w:val="auto"/>
                <w:sz w:val="24"/>
                <w:szCs w:val="24"/>
              </w:rPr>
              <w:t>本项目位于淮河流域，项目建设符合《安徽省淮河流域水污染防治条例》的要求。</w:t>
            </w:r>
            <w:r>
              <w:rPr>
                <w:rFonts w:hint="eastAsia"/>
                <w:bCs/>
                <w:color w:val="auto"/>
                <w:sz w:val="24"/>
                <w:szCs w:val="24"/>
              </w:rPr>
              <w:t>本项目生产废水和生活废水均回用于生产。项目在运营期间无废水</w:t>
            </w:r>
            <w:r>
              <w:rPr>
                <w:rFonts w:hint="eastAsia"/>
                <w:bCs/>
                <w:color w:val="auto"/>
                <w:sz w:val="24"/>
                <w:szCs w:val="24"/>
                <w:lang w:eastAsia="zh-CN"/>
              </w:rPr>
              <w:t>外排</w:t>
            </w:r>
            <w:r>
              <w:rPr>
                <w:rFonts w:hint="eastAsia"/>
                <w:bCs/>
                <w:color w:val="auto"/>
                <w:sz w:val="24"/>
                <w:szCs w:val="24"/>
              </w:rPr>
              <w:t>，对地表水环境影响较小。</w:t>
            </w:r>
          </w:p>
          <w:p w14:paraId="4BAFAC4F">
            <w:pPr>
              <w:pStyle w:val="7"/>
              <w:spacing w:line="360" w:lineRule="auto"/>
              <w:ind w:firstLine="480"/>
              <w:rPr>
                <w:bCs/>
                <w:color w:val="auto"/>
                <w:sz w:val="24"/>
                <w:szCs w:val="24"/>
              </w:rPr>
            </w:pPr>
            <w:r>
              <w:rPr>
                <w:bCs/>
                <w:color w:val="auto"/>
                <w:sz w:val="24"/>
                <w:szCs w:val="24"/>
              </w:rPr>
              <w:t>（3）土壤环境风险防控底线及分区管控</w:t>
            </w:r>
          </w:p>
          <w:p w14:paraId="0C978A65">
            <w:pPr>
              <w:pStyle w:val="7"/>
              <w:spacing w:line="360" w:lineRule="auto"/>
              <w:ind w:firstLine="480"/>
              <w:rPr>
                <w:bCs/>
                <w:color w:val="auto"/>
                <w:sz w:val="24"/>
                <w:szCs w:val="24"/>
              </w:rPr>
            </w:pPr>
            <w:r>
              <w:rPr>
                <w:bCs/>
                <w:color w:val="auto"/>
                <w:sz w:val="24"/>
                <w:szCs w:val="24"/>
              </w:rPr>
              <w:t>对照</w:t>
            </w:r>
            <w:r>
              <w:rPr>
                <w:rFonts w:hint="eastAsia"/>
                <w:bCs/>
                <w:color w:val="auto"/>
                <w:sz w:val="24"/>
                <w:szCs w:val="24"/>
              </w:rPr>
              <w:t>淮南</w:t>
            </w:r>
            <w:r>
              <w:rPr>
                <w:bCs/>
                <w:color w:val="auto"/>
                <w:sz w:val="24"/>
                <w:szCs w:val="24"/>
              </w:rPr>
              <w:t>市土壤环境风险分区管控图，本项目位于</w:t>
            </w:r>
            <w:r>
              <w:rPr>
                <w:rFonts w:hint="eastAsia"/>
                <w:bCs/>
                <w:color w:val="auto"/>
                <w:sz w:val="24"/>
                <w:szCs w:val="24"/>
              </w:rPr>
              <w:t>一般</w:t>
            </w:r>
            <w:r>
              <w:rPr>
                <w:bCs/>
                <w:color w:val="auto"/>
                <w:sz w:val="24"/>
                <w:szCs w:val="24"/>
              </w:rPr>
              <w:t>防控区。</w:t>
            </w:r>
            <w:r>
              <w:rPr>
                <w:rFonts w:hint="eastAsia"/>
                <w:bCs/>
                <w:color w:val="auto"/>
                <w:sz w:val="24"/>
                <w:szCs w:val="24"/>
              </w:rPr>
              <w:t>一般</w:t>
            </w:r>
            <w:r>
              <w:rPr>
                <w:bCs/>
                <w:color w:val="auto"/>
                <w:sz w:val="24"/>
                <w:szCs w:val="24"/>
              </w:rPr>
              <w:t>防控区要求：</w:t>
            </w:r>
            <w:r>
              <w:rPr>
                <w:rFonts w:hint="eastAsia"/>
                <w:bCs/>
                <w:color w:val="auto"/>
                <w:sz w:val="24"/>
                <w:szCs w:val="24"/>
              </w:rPr>
              <w:t>依据《中华人民共和国土壤污染防治法》《土壤污染防治行动计划》《安徽省土壤污染防治工作方案》《安徽省“十三五”环境保护规划》等要求及各市土壤污染防治工作方案对一般管控区实施管控</w:t>
            </w:r>
            <w:r>
              <w:rPr>
                <w:bCs/>
                <w:color w:val="auto"/>
                <w:sz w:val="24"/>
                <w:szCs w:val="24"/>
              </w:rPr>
              <w:t>。</w:t>
            </w:r>
          </w:p>
          <w:p w14:paraId="7089D95A">
            <w:pPr>
              <w:pStyle w:val="7"/>
              <w:spacing w:line="360" w:lineRule="auto"/>
              <w:ind w:firstLine="480"/>
              <w:rPr>
                <w:color w:val="auto"/>
              </w:rPr>
            </w:pPr>
            <w:r>
              <w:rPr>
                <w:bCs/>
                <w:color w:val="auto"/>
                <w:sz w:val="24"/>
                <w:szCs w:val="24"/>
              </w:rPr>
              <w:t>本项目建设不占用永久基本农田；项目对可能产生地下水、土壤影响的各项途径均进行有效预防，在确保各项防渗措施得以落实，并加强维护和厂区环境管理的前提下，可有效控制厂区内的废水污染物下渗现象，避免污染土壤，因此本项目不会对区域土壤环境产生明显影响。</w:t>
            </w:r>
          </w:p>
          <w:p w14:paraId="16D2799D">
            <w:pPr>
              <w:spacing w:line="360" w:lineRule="auto"/>
              <w:ind w:firstLine="482" w:firstLineChars="200"/>
              <w:rPr>
                <w:b/>
                <w:bCs/>
                <w:color w:val="auto"/>
                <w:sz w:val="24"/>
              </w:rPr>
            </w:pPr>
            <w:r>
              <w:rPr>
                <w:b/>
                <w:bCs/>
                <w:color w:val="auto"/>
                <w:sz w:val="24"/>
              </w:rPr>
              <w:t>3、资源利用上线</w:t>
            </w:r>
          </w:p>
          <w:p w14:paraId="7E1FE1E1">
            <w:pPr>
              <w:spacing w:line="360" w:lineRule="auto"/>
              <w:ind w:firstLine="480" w:firstLineChars="200"/>
              <w:rPr>
                <w:color w:val="auto"/>
              </w:rPr>
            </w:pPr>
            <w:r>
              <w:rPr>
                <w:bCs/>
                <w:color w:val="auto"/>
                <w:sz w:val="24"/>
              </w:rPr>
              <w:t>本项目使用</w:t>
            </w:r>
            <w:r>
              <w:rPr>
                <w:rFonts w:hint="eastAsia"/>
                <w:bCs/>
                <w:color w:val="auto"/>
                <w:sz w:val="24"/>
              </w:rPr>
              <w:t>采用</w:t>
            </w:r>
            <w:r>
              <w:rPr>
                <w:rFonts w:hint="eastAsia"/>
                <w:bCs/>
                <w:color w:val="auto"/>
                <w:sz w:val="24"/>
                <w:lang w:val="en-US" w:eastAsia="zh-CN"/>
              </w:rPr>
              <w:t>太阳能发电和现状沼气</w:t>
            </w:r>
            <w:r>
              <w:rPr>
                <w:rFonts w:hint="eastAsia"/>
                <w:bCs/>
                <w:color w:val="auto"/>
                <w:sz w:val="24"/>
              </w:rPr>
              <w:t>能源进行发电，基本不使用外界电力</w:t>
            </w:r>
            <w:r>
              <w:rPr>
                <w:bCs/>
                <w:color w:val="auto"/>
                <w:sz w:val="24"/>
              </w:rPr>
              <w:t>能源，</w:t>
            </w:r>
            <w:r>
              <w:rPr>
                <w:rFonts w:hint="eastAsia"/>
                <w:bCs/>
                <w:color w:val="auto"/>
                <w:sz w:val="24"/>
              </w:rPr>
              <w:t>使用的少量电力来源于</w:t>
            </w:r>
            <w:r>
              <w:rPr>
                <w:bCs/>
                <w:color w:val="auto"/>
                <w:sz w:val="24"/>
              </w:rPr>
              <w:t>市政电网供给，</w:t>
            </w:r>
            <w:r>
              <w:rPr>
                <w:rFonts w:hint="eastAsia"/>
                <w:bCs/>
                <w:color w:val="auto"/>
                <w:sz w:val="24"/>
              </w:rPr>
              <w:t>项目</w:t>
            </w:r>
            <w:r>
              <w:rPr>
                <w:bCs/>
                <w:color w:val="auto"/>
                <w:sz w:val="24"/>
              </w:rPr>
              <w:t>用水来自市政供水</w:t>
            </w:r>
            <w:r>
              <w:rPr>
                <w:rFonts w:hint="eastAsia"/>
                <w:bCs/>
                <w:color w:val="auto"/>
                <w:sz w:val="24"/>
              </w:rPr>
              <w:t>，废水</w:t>
            </w:r>
            <w:r>
              <w:rPr>
                <w:rFonts w:hint="eastAsia"/>
                <w:bCs/>
                <w:color w:val="auto"/>
                <w:sz w:val="24"/>
                <w:lang w:val="en-US" w:eastAsia="zh-CN"/>
              </w:rPr>
              <w:t>全部进入企业现有沼气发电系统</w:t>
            </w:r>
            <w:r>
              <w:rPr>
                <w:rFonts w:hint="eastAsia"/>
                <w:bCs/>
                <w:color w:val="auto"/>
                <w:sz w:val="24"/>
              </w:rPr>
              <w:t>，</w:t>
            </w:r>
            <w:r>
              <w:rPr>
                <w:rFonts w:hint="eastAsia"/>
                <w:bCs/>
                <w:color w:val="auto"/>
                <w:sz w:val="24"/>
                <w:lang w:val="en-US" w:eastAsia="zh-CN"/>
              </w:rPr>
              <w:t>本项目废水不外排，</w:t>
            </w:r>
            <w:r>
              <w:rPr>
                <w:rFonts w:hint="eastAsia"/>
                <w:bCs/>
                <w:color w:val="auto"/>
                <w:sz w:val="24"/>
              </w:rPr>
              <w:t>且本</w:t>
            </w:r>
            <w:r>
              <w:rPr>
                <w:bCs/>
                <w:color w:val="auto"/>
                <w:sz w:val="24"/>
              </w:rPr>
              <w:t>项目用地为</w:t>
            </w:r>
            <w:r>
              <w:rPr>
                <w:rFonts w:hint="eastAsia"/>
                <w:bCs/>
                <w:color w:val="auto"/>
                <w:sz w:val="24"/>
                <w:lang w:val="en-US" w:eastAsia="zh-CN"/>
              </w:rPr>
              <w:t>建设</w:t>
            </w:r>
            <w:r>
              <w:rPr>
                <w:rFonts w:hint="eastAsia"/>
                <w:bCs/>
                <w:color w:val="auto"/>
                <w:sz w:val="24"/>
              </w:rPr>
              <w:t>用地</w:t>
            </w:r>
            <w:r>
              <w:rPr>
                <w:bCs/>
                <w:color w:val="auto"/>
                <w:sz w:val="24"/>
              </w:rPr>
              <w:t>。</w:t>
            </w:r>
            <w:r>
              <w:rPr>
                <w:rFonts w:hint="eastAsia"/>
                <w:bCs/>
                <w:color w:val="auto"/>
                <w:sz w:val="24"/>
              </w:rPr>
              <w:t>因此</w:t>
            </w:r>
            <w:r>
              <w:rPr>
                <w:bCs/>
                <w:color w:val="auto"/>
                <w:sz w:val="24"/>
              </w:rPr>
              <w:t>，本项目的建设不会突破当地资源利用上线。</w:t>
            </w:r>
          </w:p>
          <w:p w14:paraId="388E8F66">
            <w:pPr>
              <w:spacing w:line="360" w:lineRule="auto"/>
              <w:ind w:firstLine="482" w:firstLineChars="200"/>
              <w:rPr>
                <w:b/>
                <w:bCs/>
                <w:color w:val="auto"/>
                <w:sz w:val="24"/>
              </w:rPr>
            </w:pPr>
            <w:r>
              <w:rPr>
                <w:b/>
                <w:bCs/>
                <w:color w:val="auto"/>
                <w:sz w:val="24"/>
              </w:rPr>
              <w:t>4、</w:t>
            </w:r>
            <w:r>
              <w:rPr>
                <w:rFonts w:hint="eastAsia"/>
                <w:b/>
                <w:bCs/>
                <w:color w:val="auto"/>
                <w:sz w:val="24"/>
              </w:rPr>
              <w:t>生态</w:t>
            </w:r>
            <w:r>
              <w:rPr>
                <w:b/>
                <w:bCs/>
                <w:color w:val="auto"/>
                <w:sz w:val="24"/>
              </w:rPr>
              <w:t>环境准入清单</w:t>
            </w:r>
          </w:p>
          <w:p w14:paraId="30485CFA">
            <w:pPr>
              <w:spacing w:line="360" w:lineRule="auto"/>
              <w:ind w:firstLine="480" w:firstLineChars="200"/>
              <w:rPr>
                <w:bCs/>
                <w:color w:val="auto"/>
                <w:sz w:val="24"/>
              </w:rPr>
            </w:pPr>
            <w:r>
              <w:rPr>
                <w:bCs/>
                <w:color w:val="auto"/>
                <w:sz w:val="24"/>
              </w:rPr>
              <w:t>根据《</w:t>
            </w:r>
            <w:r>
              <w:rPr>
                <w:rFonts w:hint="eastAsia"/>
                <w:bCs/>
                <w:color w:val="auto"/>
                <w:sz w:val="24"/>
              </w:rPr>
              <w:t>“</w:t>
            </w:r>
            <w:r>
              <w:rPr>
                <w:bCs/>
                <w:color w:val="auto"/>
                <w:sz w:val="24"/>
              </w:rPr>
              <w:t>生态保护红线、环境质量底线、资源利用上线和环境准入负面清单</w:t>
            </w:r>
            <w:r>
              <w:rPr>
                <w:rFonts w:hint="eastAsia"/>
                <w:bCs/>
                <w:color w:val="auto"/>
                <w:sz w:val="24"/>
              </w:rPr>
              <w:t>”</w:t>
            </w:r>
            <w:r>
              <w:rPr>
                <w:bCs/>
                <w:color w:val="auto"/>
                <w:sz w:val="24"/>
              </w:rPr>
              <w:t>编制技术指南（试行）》及《安徽省长江经济带战略环境评价</w:t>
            </w:r>
            <w:r>
              <w:rPr>
                <w:rFonts w:hint="eastAsia"/>
                <w:bCs/>
                <w:color w:val="auto"/>
                <w:sz w:val="24"/>
              </w:rPr>
              <w:t>“</w:t>
            </w:r>
            <w:r>
              <w:rPr>
                <w:bCs/>
                <w:color w:val="auto"/>
                <w:sz w:val="24"/>
              </w:rPr>
              <w:t>三线一单</w:t>
            </w:r>
            <w:r>
              <w:rPr>
                <w:rFonts w:hint="eastAsia"/>
                <w:bCs/>
                <w:color w:val="auto"/>
                <w:sz w:val="24"/>
              </w:rPr>
              <w:t>”</w:t>
            </w:r>
            <w:r>
              <w:rPr>
                <w:bCs/>
                <w:color w:val="auto"/>
                <w:sz w:val="24"/>
              </w:rPr>
              <w:t>编制工作实施方案》要求，将</w:t>
            </w:r>
            <w:r>
              <w:rPr>
                <w:rFonts w:hint="eastAsia"/>
                <w:bCs/>
                <w:color w:val="auto"/>
                <w:sz w:val="24"/>
              </w:rPr>
              <w:t>淮南</w:t>
            </w:r>
            <w:r>
              <w:rPr>
                <w:bCs/>
                <w:color w:val="auto"/>
                <w:sz w:val="24"/>
              </w:rPr>
              <w:t>市生态环境管控单元划定为优先保护单元、重点管控单元和一般管控单元。</w:t>
            </w:r>
          </w:p>
          <w:p w14:paraId="170D23B5">
            <w:pPr>
              <w:spacing w:line="360" w:lineRule="auto"/>
              <w:ind w:firstLine="480" w:firstLineChars="200"/>
              <w:rPr>
                <w:bCs/>
                <w:color w:val="auto"/>
                <w:sz w:val="24"/>
              </w:rPr>
            </w:pPr>
            <w:r>
              <w:rPr>
                <w:bCs/>
                <w:color w:val="auto"/>
                <w:sz w:val="24"/>
              </w:rPr>
              <w:t>对照</w:t>
            </w:r>
            <w:r>
              <w:rPr>
                <w:rFonts w:hint="eastAsia"/>
                <w:bCs/>
                <w:color w:val="auto"/>
                <w:sz w:val="24"/>
              </w:rPr>
              <w:t>淮南</w:t>
            </w:r>
            <w:r>
              <w:rPr>
                <w:bCs/>
                <w:color w:val="auto"/>
                <w:sz w:val="24"/>
              </w:rPr>
              <w:t>市环境管控单元图，</w:t>
            </w:r>
            <w:r>
              <w:rPr>
                <w:rFonts w:hint="eastAsia"/>
                <w:bCs/>
                <w:color w:val="auto"/>
                <w:sz w:val="24"/>
              </w:rPr>
              <w:t>本项目不在生态红线范围内，项目建设符合“三线一单”的要求。</w:t>
            </w:r>
          </w:p>
          <w:p w14:paraId="07CB2B7A">
            <w:pPr>
              <w:spacing w:line="360" w:lineRule="auto"/>
              <w:rPr>
                <w:b/>
                <w:bCs/>
                <w:color w:val="auto"/>
                <w:sz w:val="24"/>
              </w:rPr>
            </w:pPr>
            <w:r>
              <w:rPr>
                <w:rFonts w:hint="eastAsia"/>
                <w:b/>
                <w:bCs/>
                <w:color w:val="auto"/>
                <w:sz w:val="24"/>
              </w:rPr>
              <w:t>三</w:t>
            </w:r>
            <w:r>
              <w:rPr>
                <w:b/>
                <w:bCs/>
                <w:color w:val="auto"/>
                <w:sz w:val="24"/>
              </w:rPr>
              <w:t>、产业政策、相关生态环境保护法律法规政策等符合性分析</w:t>
            </w:r>
          </w:p>
          <w:p w14:paraId="2496A127">
            <w:pPr>
              <w:spacing w:line="360" w:lineRule="auto"/>
              <w:ind w:firstLine="482" w:firstLineChars="200"/>
              <w:rPr>
                <w:b/>
                <w:bCs/>
                <w:color w:val="auto"/>
                <w:sz w:val="24"/>
              </w:rPr>
            </w:pPr>
            <w:r>
              <w:rPr>
                <w:b/>
                <w:bCs/>
                <w:color w:val="auto"/>
                <w:sz w:val="24"/>
              </w:rPr>
              <w:t>1、与产业政策符合性分析</w:t>
            </w:r>
          </w:p>
          <w:p w14:paraId="5EC7A579">
            <w:pPr>
              <w:pStyle w:val="54"/>
              <w:ind w:firstLine="480"/>
              <w:rPr>
                <w:rFonts w:hint="eastAsia"/>
                <w:color w:val="auto"/>
                <w:szCs w:val="24"/>
              </w:rPr>
            </w:pPr>
            <w:r>
              <w:rPr>
                <w:rFonts w:hint="eastAsia"/>
                <w:bCs/>
                <w:color w:val="auto"/>
                <w:sz w:val="24"/>
              </w:rPr>
              <w:t>本项目主要</w:t>
            </w:r>
            <w:r>
              <w:rPr>
                <w:rFonts w:hint="eastAsia"/>
                <w:bCs/>
                <w:color w:val="auto"/>
                <w:sz w:val="24"/>
                <w:lang w:val="en-US" w:eastAsia="zh-CN"/>
              </w:rPr>
              <w:t>从事豆制品生产</w:t>
            </w:r>
            <w:r>
              <w:rPr>
                <w:rFonts w:hint="eastAsia"/>
                <w:bCs/>
                <w:color w:val="auto"/>
                <w:sz w:val="24"/>
              </w:rPr>
              <w:t>，</w:t>
            </w:r>
            <w:r>
              <w:rPr>
                <w:rFonts w:hint="eastAsia"/>
                <w:color w:val="auto"/>
                <w:szCs w:val="24"/>
              </w:rPr>
              <w:t>对照《产业结构调整指导目录（20</w:t>
            </w:r>
            <w:r>
              <w:rPr>
                <w:rFonts w:hint="eastAsia"/>
                <w:color w:val="auto"/>
                <w:szCs w:val="24"/>
                <w:lang w:val="en-US" w:eastAsia="zh-CN"/>
              </w:rPr>
              <w:t>24</w:t>
            </w:r>
            <w:r>
              <w:rPr>
                <w:rFonts w:hint="eastAsia"/>
                <w:color w:val="auto"/>
                <w:szCs w:val="24"/>
              </w:rPr>
              <w:t>年本》，本项目不属于《产业结构调整指导目录（2</w:t>
            </w:r>
            <w:r>
              <w:rPr>
                <w:rFonts w:hint="eastAsia"/>
                <w:color w:val="auto"/>
                <w:szCs w:val="24"/>
                <w:lang w:val="en-US" w:eastAsia="zh-CN"/>
              </w:rPr>
              <w:t>024</w:t>
            </w:r>
            <w:r>
              <w:rPr>
                <w:rFonts w:hint="eastAsia"/>
                <w:color w:val="auto"/>
                <w:szCs w:val="24"/>
              </w:rPr>
              <w:t>年本》 中鼓励类、限制类和淘汰类，按照“非禁即入”的原则，</w:t>
            </w:r>
            <w:r>
              <w:rPr>
                <w:rFonts w:hint="eastAsia"/>
                <w:color w:val="auto"/>
                <w:szCs w:val="24"/>
                <w:lang w:eastAsia="zh-CN"/>
              </w:rPr>
              <w:t>可</w:t>
            </w:r>
            <w:r>
              <w:rPr>
                <w:rFonts w:hint="eastAsia"/>
                <w:color w:val="auto"/>
                <w:szCs w:val="24"/>
              </w:rPr>
              <w:t>视为允许类</w:t>
            </w:r>
            <w:r>
              <w:rPr>
                <w:rFonts w:hint="eastAsia"/>
                <w:color w:val="auto"/>
                <w:szCs w:val="24"/>
                <w:lang w:eastAsia="zh-CN"/>
              </w:rPr>
              <w:t>建设项目</w:t>
            </w:r>
            <w:r>
              <w:rPr>
                <w:rFonts w:hint="eastAsia"/>
                <w:color w:val="auto"/>
                <w:szCs w:val="24"/>
              </w:rPr>
              <w:t>。</w:t>
            </w:r>
          </w:p>
          <w:p w14:paraId="20C1310D">
            <w:pPr>
              <w:pStyle w:val="54"/>
              <w:ind w:firstLine="480"/>
              <w:rPr>
                <w:color w:val="auto"/>
                <w:szCs w:val="24"/>
              </w:rPr>
            </w:pPr>
            <w:r>
              <w:rPr>
                <w:rFonts w:hint="eastAsia"/>
                <w:color w:val="auto"/>
                <w:szCs w:val="24"/>
              </w:rPr>
              <w:t>同时项目建设不属于《限制用地项目目录（</w:t>
            </w:r>
            <w:r>
              <w:rPr>
                <w:color w:val="auto"/>
                <w:szCs w:val="24"/>
              </w:rPr>
              <w:t>2012</w:t>
            </w:r>
            <w:r>
              <w:rPr>
                <w:rFonts w:hint="eastAsia"/>
                <w:color w:val="auto"/>
                <w:szCs w:val="24"/>
              </w:rPr>
              <w:t>年本）》、《禁止用地项目目录（</w:t>
            </w:r>
            <w:r>
              <w:rPr>
                <w:color w:val="auto"/>
                <w:szCs w:val="24"/>
              </w:rPr>
              <w:t>2012</w:t>
            </w:r>
            <w:r>
              <w:rPr>
                <w:rFonts w:hint="eastAsia"/>
                <w:color w:val="auto"/>
                <w:szCs w:val="24"/>
              </w:rPr>
              <w:t>年本）》中“限制类”和“淘汰类”产业。另外项目不属于《安徽省工业产业结构调整指导目录（</w:t>
            </w:r>
            <w:r>
              <w:rPr>
                <w:color w:val="auto"/>
                <w:szCs w:val="24"/>
              </w:rPr>
              <w:t>2007</w:t>
            </w:r>
            <w:r>
              <w:rPr>
                <w:rFonts w:hint="eastAsia"/>
                <w:color w:val="auto"/>
                <w:szCs w:val="24"/>
              </w:rPr>
              <w:t>年本）》的淘汰类或限制类，亦不属于其他法律法规要求淘汰和限制的产业。因此项目建设符合国家和地方产业政策。</w:t>
            </w:r>
          </w:p>
          <w:p w14:paraId="2C99688F">
            <w:pPr>
              <w:spacing w:line="360" w:lineRule="auto"/>
              <w:ind w:firstLine="480" w:firstLineChars="200"/>
              <w:rPr>
                <w:bCs/>
                <w:color w:val="auto"/>
                <w:sz w:val="24"/>
              </w:rPr>
            </w:pPr>
            <w:r>
              <w:rPr>
                <w:rFonts w:hint="eastAsia"/>
                <w:bCs/>
                <w:color w:val="auto"/>
                <w:sz w:val="24"/>
              </w:rPr>
              <w:t>本项目于</w:t>
            </w:r>
            <w:r>
              <w:rPr>
                <w:rFonts w:hint="eastAsia"/>
                <w:bCs/>
                <w:color w:val="auto"/>
                <w:sz w:val="24"/>
                <w:lang w:eastAsia="zh-CN"/>
              </w:rPr>
              <w:t>2024年1月17日</w:t>
            </w:r>
            <w:r>
              <w:rPr>
                <w:rFonts w:hint="eastAsia"/>
                <w:bCs/>
                <w:color w:val="auto"/>
                <w:sz w:val="24"/>
              </w:rPr>
              <w:t>取得淮南市潘集区发展和改革委员会备案，项目代码</w:t>
            </w:r>
            <w:r>
              <w:rPr>
                <w:rFonts w:hint="eastAsia"/>
                <w:bCs/>
                <w:color w:val="auto"/>
                <w:sz w:val="24"/>
                <w:lang w:eastAsia="zh-CN"/>
              </w:rPr>
              <w:t>2401-340406-04-01-572380</w:t>
            </w:r>
            <w:r>
              <w:rPr>
                <w:rFonts w:hint="eastAsia"/>
                <w:bCs/>
                <w:color w:val="auto"/>
                <w:sz w:val="24"/>
              </w:rPr>
              <w:t>。综上，本项目建设符合国家及地方产业政策要求。</w:t>
            </w:r>
          </w:p>
          <w:p w14:paraId="01CC824B">
            <w:pPr>
              <w:spacing w:line="360" w:lineRule="auto"/>
              <w:ind w:firstLine="482" w:firstLineChars="200"/>
              <w:rPr>
                <w:b/>
                <w:bCs/>
                <w:color w:val="auto"/>
                <w:sz w:val="24"/>
              </w:rPr>
            </w:pPr>
            <w:r>
              <w:rPr>
                <w:b/>
                <w:bCs/>
                <w:color w:val="auto"/>
                <w:sz w:val="24"/>
              </w:rPr>
              <w:t>2、选址符合性分析</w:t>
            </w:r>
          </w:p>
          <w:p w14:paraId="6991E566">
            <w:pPr>
              <w:spacing w:line="360" w:lineRule="auto"/>
              <w:ind w:firstLine="480" w:firstLineChars="200"/>
              <w:rPr>
                <w:bCs/>
                <w:color w:val="auto"/>
                <w:sz w:val="24"/>
              </w:rPr>
            </w:pPr>
            <w:r>
              <w:rPr>
                <w:bCs/>
                <w:color w:val="auto"/>
                <w:sz w:val="24"/>
              </w:rPr>
              <w:t>（1）环境相容</w:t>
            </w:r>
          </w:p>
          <w:p w14:paraId="49676B75">
            <w:pPr>
              <w:spacing w:line="360" w:lineRule="auto"/>
              <w:ind w:firstLine="480" w:firstLineChars="200"/>
              <w:rPr>
                <w:bCs/>
                <w:color w:val="auto"/>
                <w:sz w:val="24"/>
              </w:rPr>
            </w:pPr>
            <w:r>
              <w:rPr>
                <w:rFonts w:hint="eastAsia"/>
                <w:bCs/>
                <w:color w:val="auto"/>
                <w:sz w:val="24"/>
              </w:rPr>
              <w:t>经现场勘查，本项目位于潘集区架河镇小郢村架河循环产业园内，项目四周均为淮南市许家岗蔬菜种植农民工专业合作社架河镇千亩无公害农业示范基地建设项目的种植或养殖区。距离本项目最近敏感点为</w:t>
            </w:r>
            <w:r>
              <w:rPr>
                <w:rFonts w:hint="eastAsia"/>
                <w:bCs/>
                <w:color w:val="auto"/>
                <w:sz w:val="24"/>
                <w:lang w:val="en-US" w:eastAsia="zh-CN"/>
              </w:rPr>
              <w:t>西南</w:t>
            </w:r>
            <w:r>
              <w:rPr>
                <w:rFonts w:hint="eastAsia"/>
                <w:bCs/>
                <w:color w:val="auto"/>
                <w:sz w:val="24"/>
              </w:rPr>
              <w:t>侧距项目区</w:t>
            </w:r>
            <w:r>
              <w:rPr>
                <w:rFonts w:hint="eastAsia"/>
                <w:bCs/>
                <w:color w:val="auto"/>
                <w:sz w:val="24"/>
                <w:lang w:val="en-US" w:eastAsia="zh-CN"/>
              </w:rPr>
              <w:t>300</w:t>
            </w:r>
            <w:r>
              <w:rPr>
                <w:rFonts w:hint="eastAsia"/>
                <w:bCs/>
                <w:color w:val="auto"/>
                <w:sz w:val="24"/>
              </w:rPr>
              <w:t>米处的居民点</w:t>
            </w:r>
            <w:r>
              <w:rPr>
                <w:rFonts w:hint="eastAsia"/>
                <w:bCs/>
                <w:color w:val="auto"/>
                <w:sz w:val="24"/>
                <w:lang w:eastAsia="zh-CN"/>
              </w:rPr>
              <w:t>（</w:t>
            </w:r>
            <w:r>
              <w:rPr>
                <w:rFonts w:hint="eastAsia"/>
                <w:bCs/>
                <w:color w:val="auto"/>
                <w:sz w:val="24"/>
                <w:lang w:val="en-US" w:eastAsia="zh-CN"/>
              </w:rPr>
              <w:t>陶新庄</w:t>
            </w:r>
            <w:r>
              <w:rPr>
                <w:rFonts w:hint="eastAsia"/>
                <w:bCs/>
                <w:color w:val="auto"/>
                <w:sz w:val="24"/>
                <w:lang w:eastAsia="zh-CN"/>
              </w:rPr>
              <w:t>）</w:t>
            </w:r>
            <w:r>
              <w:rPr>
                <w:rFonts w:hint="eastAsia"/>
                <w:bCs/>
                <w:color w:val="auto"/>
                <w:sz w:val="24"/>
              </w:rPr>
              <w:t>。本项目废气</w:t>
            </w:r>
            <w:r>
              <w:rPr>
                <w:rFonts w:hint="eastAsia"/>
                <w:bCs/>
                <w:color w:val="auto"/>
                <w:sz w:val="24"/>
                <w:lang w:val="en-US" w:eastAsia="zh-CN"/>
              </w:rPr>
              <w:t>产生量较少，通过</w:t>
            </w:r>
            <w:r>
              <w:rPr>
                <w:rFonts w:hint="eastAsia"/>
                <w:bCs/>
                <w:color w:val="auto"/>
                <w:sz w:val="24"/>
              </w:rPr>
              <w:t>车间加强通风，以无组织形式外排。生产废水和生活废水均回用于</w:t>
            </w:r>
            <w:r>
              <w:rPr>
                <w:rFonts w:hint="eastAsia"/>
                <w:bCs/>
                <w:color w:val="auto"/>
                <w:sz w:val="24"/>
                <w:lang w:val="en-US" w:eastAsia="zh-CN"/>
              </w:rPr>
              <w:t>项目区现有沼气发电系统，不外排</w:t>
            </w:r>
            <w:r>
              <w:rPr>
                <w:rFonts w:hint="eastAsia"/>
                <w:bCs/>
                <w:color w:val="auto"/>
                <w:sz w:val="24"/>
              </w:rPr>
              <w:t>。噪声经厂房隔声、基础减振措施治理后，厂界噪声排放能够达到《工业企业厂界环境噪声排放标准》（GB12348-2008）中的2类标准限值要求。项目产生的一般固体废物经厂区内分类收集后进行综合利用，危险固废在厂区危废暂存间暂存后统一交由有资质单位进行处置。因此，本项目对外环境产生污染影响较小，且周边环境对本项目建设无制约因素，与周边环境基本相容。</w:t>
            </w:r>
          </w:p>
          <w:p w14:paraId="287FCF0D">
            <w:pPr>
              <w:spacing w:line="360" w:lineRule="auto"/>
              <w:ind w:firstLine="480" w:firstLineChars="200"/>
              <w:rPr>
                <w:bCs/>
                <w:color w:val="auto"/>
                <w:sz w:val="24"/>
              </w:rPr>
            </w:pPr>
            <w:r>
              <w:rPr>
                <w:bCs/>
                <w:color w:val="auto"/>
                <w:sz w:val="24"/>
              </w:rPr>
              <w:t>（2）环境承载能力</w:t>
            </w:r>
          </w:p>
          <w:p w14:paraId="4EB2668A">
            <w:pPr>
              <w:spacing w:line="360" w:lineRule="auto"/>
              <w:ind w:firstLine="480" w:firstLineChars="200"/>
              <w:rPr>
                <w:bCs/>
                <w:color w:val="auto"/>
                <w:sz w:val="24"/>
              </w:rPr>
            </w:pPr>
            <w:r>
              <w:rPr>
                <w:bCs/>
                <w:color w:val="auto"/>
                <w:sz w:val="24"/>
              </w:rPr>
              <w:t>本项目周边500m范围内无自然保护区、风景旅游景点和文物古迹等需要特殊保护的环境敏感对象</w:t>
            </w:r>
            <w:r>
              <w:rPr>
                <w:rFonts w:hint="eastAsia"/>
                <w:bCs/>
                <w:color w:val="auto"/>
                <w:sz w:val="24"/>
              </w:rPr>
              <w:t>，距离本项目最近敏感点为</w:t>
            </w:r>
            <w:r>
              <w:rPr>
                <w:rFonts w:hint="eastAsia"/>
                <w:bCs/>
                <w:color w:val="auto"/>
                <w:sz w:val="24"/>
                <w:lang w:val="en-US" w:eastAsia="zh-CN"/>
              </w:rPr>
              <w:t>西南</w:t>
            </w:r>
            <w:r>
              <w:rPr>
                <w:rFonts w:hint="eastAsia"/>
                <w:bCs/>
                <w:color w:val="auto"/>
                <w:sz w:val="24"/>
              </w:rPr>
              <w:t>侧距项目区</w:t>
            </w:r>
            <w:r>
              <w:rPr>
                <w:rFonts w:hint="eastAsia"/>
                <w:bCs/>
                <w:color w:val="auto"/>
                <w:sz w:val="24"/>
                <w:lang w:val="en-US" w:eastAsia="zh-CN"/>
              </w:rPr>
              <w:t>300</w:t>
            </w:r>
            <w:r>
              <w:rPr>
                <w:rFonts w:hint="eastAsia"/>
                <w:bCs/>
                <w:color w:val="auto"/>
                <w:sz w:val="24"/>
              </w:rPr>
              <w:t>米处的居民点</w:t>
            </w:r>
            <w:r>
              <w:rPr>
                <w:rFonts w:hint="eastAsia"/>
                <w:bCs/>
                <w:color w:val="auto"/>
                <w:sz w:val="24"/>
                <w:lang w:eastAsia="zh-CN"/>
              </w:rPr>
              <w:t>（</w:t>
            </w:r>
            <w:r>
              <w:rPr>
                <w:rFonts w:hint="eastAsia"/>
                <w:bCs/>
                <w:color w:val="auto"/>
                <w:sz w:val="24"/>
                <w:lang w:val="en-US" w:eastAsia="zh-CN"/>
              </w:rPr>
              <w:t>陶新庄</w:t>
            </w:r>
            <w:r>
              <w:rPr>
                <w:rFonts w:hint="eastAsia"/>
                <w:bCs/>
                <w:color w:val="auto"/>
                <w:sz w:val="24"/>
                <w:lang w:eastAsia="zh-CN"/>
              </w:rPr>
              <w:t>）</w:t>
            </w:r>
            <w:r>
              <w:rPr>
                <w:rFonts w:hint="eastAsia"/>
                <w:bCs/>
                <w:color w:val="auto"/>
                <w:sz w:val="24"/>
              </w:rPr>
              <w:t>，距离本项目较远，本项目在达标排放后对周边环境影响较低</w:t>
            </w:r>
            <w:r>
              <w:rPr>
                <w:bCs/>
                <w:color w:val="auto"/>
                <w:sz w:val="24"/>
              </w:rPr>
              <w:t>；项目所在地交通方便，水电供应可靠；本项目在做好废气治理和废水处理措施的前提下，对环境质量的影响较小，建成后不会造成环境质量下降。因此，项目在环境承载能力内。</w:t>
            </w:r>
          </w:p>
          <w:p w14:paraId="10A84145">
            <w:pPr>
              <w:spacing w:line="360" w:lineRule="auto"/>
              <w:ind w:firstLine="480" w:firstLineChars="200"/>
              <w:rPr>
                <w:bCs/>
                <w:color w:val="auto"/>
                <w:sz w:val="24"/>
              </w:rPr>
            </w:pPr>
            <w:r>
              <w:rPr>
                <w:bCs/>
                <w:color w:val="auto"/>
                <w:sz w:val="24"/>
              </w:rPr>
              <w:t>综上，本项目的选址可行。</w:t>
            </w:r>
          </w:p>
          <w:p w14:paraId="2D4D0F8F">
            <w:pPr>
              <w:numPr>
                <w:ilvl w:val="0"/>
                <w:numId w:val="5"/>
              </w:numPr>
              <w:spacing w:line="360" w:lineRule="auto"/>
              <w:ind w:firstLine="482" w:firstLineChars="200"/>
              <w:rPr>
                <w:b/>
                <w:bCs/>
                <w:color w:val="auto"/>
                <w:sz w:val="24"/>
              </w:rPr>
            </w:pPr>
            <w:r>
              <w:rPr>
                <w:rFonts w:hint="eastAsia"/>
                <w:b/>
                <w:bCs/>
                <w:color w:val="auto"/>
                <w:sz w:val="24"/>
              </w:rPr>
              <w:t>与《淮南市国土空间总体规划》（2021-2035）</w:t>
            </w:r>
            <w:r>
              <w:rPr>
                <w:b/>
                <w:bCs/>
                <w:color w:val="auto"/>
                <w:sz w:val="24"/>
              </w:rPr>
              <w:t>符合性分析</w:t>
            </w:r>
          </w:p>
          <w:p w14:paraId="28B95417">
            <w:pPr>
              <w:spacing w:line="360" w:lineRule="auto"/>
              <w:ind w:firstLine="480" w:firstLineChars="200"/>
              <w:rPr>
                <w:bCs/>
                <w:color w:val="auto"/>
                <w:sz w:val="24"/>
              </w:rPr>
            </w:pPr>
            <w:r>
              <w:rPr>
                <w:rFonts w:hint="eastAsia"/>
                <w:bCs/>
                <w:color w:val="auto"/>
                <w:sz w:val="24"/>
              </w:rPr>
              <w:t>根据在编的《淮南市国土空间总体规划》（2021-2035）要求，凤台县和潘集区中部重点发展绿色食品加工、水生果蔬栽培、水产品养殖业等接续替代型乡村产业；本项目属于绿色食品加工项目；并且在编的《淮南市国土空间总体规划》（2021-2035）中要求潘集城区打造综合能源基地，生活服务保障区，依托煤化工园区打造新型绿色能源基地；本项目</w:t>
            </w:r>
            <w:r>
              <w:rPr>
                <w:rFonts w:hint="eastAsia"/>
                <w:bCs/>
                <w:color w:val="auto"/>
                <w:sz w:val="24"/>
                <w:lang w:val="en-US" w:eastAsia="zh-CN"/>
              </w:rPr>
              <w:t>废水进入现有沼气系统</w:t>
            </w:r>
            <w:r>
              <w:rPr>
                <w:rFonts w:hint="eastAsia"/>
                <w:bCs/>
                <w:color w:val="auto"/>
                <w:sz w:val="24"/>
              </w:rPr>
              <w:t>进行发电</w:t>
            </w:r>
            <w:r>
              <w:rPr>
                <w:rFonts w:hint="eastAsia"/>
                <w:bCs/>
                <w:color w:val="auto"/>
                <w:sz w:val="24"/>
                <w:lang w:val="en-US" w:eastAsia="zh-CN"/>
              </w:rPr>
              <w:t>工程</w:t>
            </w:r>
            <w:r>
              <w:rPr>
                <w:rFonts w:hint="eastAsia"/>
                <w:bCs/>
                <w:color w:val="auto"/>
                <w:sz w:val="24"/>
              </w:rPr>
              <w:t>，提供绿色能源，综上所述，本项目符合在编的《淮南市国土空间总体规划》（2021-2035）整体要求。</w:t>
            </w:r>
          </w:p>
          <w:p w14:paraId="77E699F6">
            <w:pPr>
              <w:spacing w:line="360" w:lineRule="auto"/>
              <w:ind w:firstLine="482" w:firstLineChars="200"/>
              <w:rPr>
                <w:b/>
                <w:bCs/>
                <w:color w:val="auto"/>
                <w:sz w:val="24"/>
              </w:rPr>
            </w:pPr>
            <w:r>
              <w:rPr>
                <w:rFonts w:hint="eastAsia"/>
                <w:b/>
                <w:bCs/>
                <w:color w:val="auto"/>
                <w:sz w:val="24"/>
              </w:rPr>
              <w:t>4、</w:t>
            </w:r>
            <w:r>
              <w:rPr>
                <w:b/>
                <w:bCs/>
                <w:color w:val="auto"/>
                <w:sz w:val="24"/>
              </w:rPr>
              <w:t>与《安徽省贯彻落实淮河生态经济带发展规划实施方案》（皖政〔2020〕38号）符合性分析</w:t>
            </w:r>
          </w:p>
          <w:p w14:paraId="666747D0">
            <w:pPr>
              <w:spacing w:line="360" w:lineRule="auto"/>
              <w:ind w:firstLine="480" w:firstLineChars="200"/>
              <w:rPr>
                <w:bCs/>
                <w:color w:val="auto"/>
                <w:sz w:val="24"/>
              </w:rPr>
            </w:pPr>
            <w:r>
              <w:rPr>
                <w:bCs/>
                <w:color w:val="auto"/>
                <w:sz w:val="24"/>
              </w:rPr>
              <w:t>项目与《安徽省贯彻落实淮河生态经济带发展规划实施方案》的符合性分析见表1-</w:t>
            </w:r>
            <w:r>
              <w:rPr>
                <w:rFonts w:hint="eastAsia"/>
                <w:bCs/>
                <w:color w:val="auto"/>
                <w:sz w:val="24"/>
              </w:rPr>
              <w:t>1</w:t>
            </w:r>
            <w:r>
              <w:rPr>
                <w:bCs/>
                <w:color w:val="auto"/>
                <w:sz w:val="24"/>
              </w:rPr>
              <w:t>。</w:t>
            </w:r>
          </w:p>
          <w:p w14:paraId="47085949">
            <w:pPr>
              <w:jc w:val="center"/>
              <w:rPr>
                <w:b/>
                <w:bCs/>
                <w:color w:val="auto"/>
                <w:szCs w:val="21"/>
              </w:rPr>
            </w:pPr>
            <w:r>
              <w:rPr>
                <w:b/>
                <w:bCs/>
                <w:color w:val="auto"/>
                <w:szCs w:val="21"/>
              </w:rPr>
              <w:t>表1-</w:t>
            </w:r>
            <w:r>
              <w:rPr>
                <w:rFonts w:hint="eastAsia"/>
                <w:b/>
                <w:bCs/>
                <w:color w:val="auto"/>
                <w:szCs w:val="21"/>
              </w:rPr>
              <w:t xml:space="preserve">1 </w:t>
            </w:r>
            <w:r>
              <w:rPr>
                <w:b/>
                <w:bCs/>
                <w:color w:val="auto"/>
                <w:szCs w:val="21"/>
              </w:rPr>
              <w:t xml:space="preserve"> 与《安徽省贯彻落实淮河生态经济带发展规划实施方案》</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9"/>
              <w:gridCol w:w="1870"/>
              <w:gridCol w:w="868"/>
            </w:tblGrid>
            <w:tr w14:paraId="46A3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pct"/>
                  <w:shd w:val="clear" w:color="auto" w:fill="auto"/>
                  <w:vAlign w:val="center"/>
                </w:tcPr>
                <w:p w14:paraId="5821082E">
                  <w:pPr>
                    <w:adjustRightInd w:val="0"/>
                    <w:snapToGrid w:val="0"/>
                    <w:spacing w:before="60" w:after="60"/>
                    <w:jc w:val="center"/>
                    <w:rPr>
                      <w:b/>
                      <w:bCs/>
                      <w:color w:val="auto"/>
                    </w:rPr>
                  </w:pPr>
                  <w:r>
                    <w:rPr>
                      <w:b/>
                      <w:bCs/>
                      <w:color w:val="auto"/>
                    </w:rPr>
                    <w:t>方案内容</w:t>
                  </w:r>
                </w:p>
              </w:tc>
              <w:tc>
                <w:tcPr>
                  <w:tcW w:w="1340" w:type="pct"/>
                  <w:shd w:val="clear" w:color="auto" w:fill="auto"/>
                  <w:vAlign w:val="center"/>
                </w:tcPr>
                <w:p w14:paraId="540F7AB1">
                  <w:pPr>
                    <w:adjustRightInd w:val="0"/>
                    <w:snapToGrid w:val="0"/>
                    <w:spacing w:before="60" w:after="60"/>
                    <w:jc w:val="center"/>
                    <w:rPr>
                      <w:b/>
                      <w:bCs/>
                      <w:color w:val="auto"/>
                    </w:rPr>
                  </w:pPr>
                  <w:r>
                    <w:rPr>
                      <w:b/>
                      <w:bCs/>
                      <w:color w:val="auto"/>
                    </w:rPr>
                    <w:t>本项目</w:t>
                  </w:r>
                </w:p>
              </w:tc>
              <w:tc>
                <w:tcPr>
                  <w:tcW w:w="621" w:type="pct"/>
                  <w:shd w:val="clear" w:color="auto" w:fill="auto"/>
                  <w:vAlign w:val="center"/>
                </w:tcPr>
                <w:p w14:paraId="04F094F8">
                  <w:pPr>
                    <w:adjustRightInd w:val="0"/>
                    <w:snapToGrid w:val="0"/>
                    <w:spacing w:before="60" w:after="60"/>
                    <w:jc w:val="center"/>
                    <w:rPr>
                      <w:b/>
                      <w:bCs/>
                      <w:color w:val="auto"/>
                    </w:rPr>
                  </w:pPr>
                  <w:r>
                    <w:rPr>
                      <w:b/>
                      <w:bCs/>
                      <w:color w:val="auto"/>
                    </w:rPr>
                    <w:t>相符性</w:t>
                  </w:r>
                </w:p>
              </w:tc>
            </w:tr>
            <w:tr w14:paraId="3516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center"/>
                </w:tcPr>
                <w:p w14:paraId="32FA8CCA">
                  <w:pPr>
                    <w:adjustRightInd w:val="0"/>
                    <w:snapToGrid w:val="0"/>
                    <w:spacing w:before="60" w:after="60"/>
                    <w:jc w:val="center"/>
                    <w:rPr>
                      <w:color w:val="auto"/>
                    </w:rPr>
                  </w:pPr>
                  <w:r>
                    <w:rPr>
                      <w:color w:val="auto"/>
                    </w:rPr>
                    <w:t>二、建设水清岸绿美丽淮河</w:t>
                  </w:r>
                </w:p>
              </w:tc>
            </w:tr>
            <w:tr w14:paraId="3D39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center"/>
                </w:tcPr>
                <w:p w14:paraId="7F58EB5D">
                  <w:pPr>
                    <w:adjustRightInd w:val="0"/>
                    <w:snapToGrid w:val="0"/>
                    <w:spacing w:before="60" w:after="60"/>
                    <w:jc w:val="center"/>
                    <w:rPr>
                      <w:color w:val="auto"/>
                    </w:rPr>
                  </w:pPr>
                  <w:r>
                    <w:rPr>
                      <w:color w:val="auto"/>
                    </w:rPr>
                    <w:t>（一）加强环境污染综合治理</w:t>
                  </w:r>
                </w:p>
              </w:tc>
            </w:tr>
            <w:tr w14:paraId="3FBB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pct"/>
                  <w:shd w:val="clear" w:color="auto" w:fill="auto"/>
                  <w:vAlign w:val="center"/>
                </w:tcPr>
                <w:p w14:paraId="01FD1709">
                  <w:pPr>
                    <w:adjustRightInd w:val="0"/>
                    <w:snapToGrid w:val="0"/>
                    <w:spacing w:before="60" w:after="60"/>
                    <w:jc w:val="center"/>
                    <w:rPr>
                      <w:color w:val="auto"/>
                    </w:rPr>
                  </w:pPr>
                  <w:r>
                    <w:rPr>
                      <w:color w:val="auto"/>
                    </w:rPr>
                    <w:t>强化</w:t>
                  </w:r>
                  <w:r>
                    <w:rPr>
                      <w:rFonts w:hint="eastAsia"/>
                      <w:color w:val="auto"/>
                    </w:rPr>
                    <w:t>“</w:t>
                  </w:r>
                  <w:r>
                    <w:rPr>
                      <w:color w:val="auto"/>
                    </w:rPr>
                    <w:t>散乱污</w:t>
                  </w:r>
                  <w:r>
                    <w:rPr>
                      <w:rFonts w:hint="eastAsia"/>
                      <w:color w:val="auto"/>
                    </w:rPr>
                    <w:t>”</w:t>
                  </w:r>
                  <w:r>
                    <w:rPr>
                      <w:color w:val="auto"/>
                    </w:rPr>
                    <w:t>企业综合整治，建立企业动态管理机制，坚决杜绝</w:t>
                  </w:r>
                  <w:r>
                    <w:rPr>
                      <w:rFonts w:hint="eastAsia"/>
                      <w:color w:val="auto"/>
                    </w:rPr>
                    <w:t>“</w:t>
                  </w:r>
                  <w:r>
                    <w:rPr>
                      <w:color w:val="auto"/>
                    </w:rPr>
                    <w:t>散乱污</w:t>
                  </w:r>
                  <w:r>
                    <w:rPr>
                      <w:rFonts w:hint="eastAsia"/>
                      <w:color w:val="auto"/>
                    </w:rPr>
                    <w:t>”</w:t>
                  </w:r>
                  <w:r>
                    <w:rPr>
                      <w:color w:val="auto"/>
                    </w:rPr>
                    <w:t>企业项目建设和已取缔企业异地转移、死灰复燃，定期开展</w:t>
                  </w:r>
                  <w:r>
                    <w:rPr>
                      <w:rFonts w:hint="eastAsia"/>
                      <w:color w:val="auto"/>
                    </w:rPr>
                    <w:t>“</w:t>
                  </w:r>
                  <w:r>
                    <w:rPr>
                      <w:color w:val="auto"/>
                    </w:rPr>
                    <w:t>回头看</w:t>
                  </w:r>
                  <w:r>
                    <w:rPr>
                      <w:rFonts w:hint="eastAsia"/>
                      <w:color w:val="auto"/>
                    </w:rPr>
                    <w:t>”</w:t>
                  </w:r>
                  <w:r>
                    <w:rPr>
                      <w:color w:val="auto"/>
                    </w:rPr>
                    <w:t>督查，巩固综合整治成果。</w:t>
                  </w:r>
                </w:p>
              </w:tc>
              <w:tc>
                <w:tcPr>
                  <w:tcW w:w="1340" w:type="pct"/>
                  <w:shd w:val="clear" w:color="auto" w:fill="auto"/>
                  <w:vAlign w:val="center"/>
                </w:tcPr>
                <w:p w14:paraId="35E72108">
                  <w:pPr>
                    <w:adjustRightInd w:val="0"/>
                    <w:snapToGrid w:val="0"/>
                    <w:spacing w:before="60" w:after="60"/>
                    <w:jc w:val="center"/>
                    <w:rPr>
                      <w:color w:val="auto"/>
                    </w:rPr>
                  </w:pPr>
                  <w:r>
                    <w:rPr>
                      <w:color w:val="auto"/>
                    </w:rPr>
                    <w:t>本项目建设符合产业政策及总体规划要求，污染物排放量较小，不属于</w:t>
                  </w:r>
                  <w:r>
                    <w:rPr>
                      <w:rFonts w:hint="eastAsia"/>
                      <w:color w:val="auto"/>
                    </w:rPr>
                    <w:t>“</w:t>
                  </w:r>
                  <w:r>
                    <w:rPr>
                      <w:color w:val="auto"/>
                    </w:rPr>
                    <w:t>散乱污</w:t>
                  </w:r>
                  <w:r>
                    <w:rPr>
                      <w:rFonts w:hint="eastAsia"/>
                      <w:color w:val="auto"/>
                    </w:rPr>
                    <w:t>”</w:t>
                  </w:r>
                  <w:r>
                    <w:rPr>
                      <w:color w:val="auto"/>
                    </w:rPr>
                    <w:t>企业。</w:t>
                  </w:r>
                </w:p>
              </w:tc>
              <w:tc>
                <w:tcPr>
                  <w:tcW w:w="621" w:type="pct"/>
                  <w:shd w:val="clear" w:color="auto" w:fill="auto"/>
                  <w:vAlign w:val="center"/>
                </w:tcPr>
                <w:p w14:paraId="2A4E2713">
                  <w:pPr>
                    <w:adjustRightInd w:val="0"/>
                    <w:snapToGrid w:val="0"/>
                    <w:spacing w:before="60" w:after="60"/>
                    <w:jc w:val="center"/>
                    <w:rPr>
                      <w:color w:val="auto"/>
                    </w:rPr>
                  </w:pPr>
                  <w:r>
                    <w:rPr>
                      <w:rFonts w:hint="eastAsia"/>
                      <w:color w:val="auto"/>
                    </w:rPr>
                    <w:t>符合</w:t>
                  </w:r>
                </w:p>
              </w:tc>
            </w:tr>
            <w:tr w14:paraId="52678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pct"/>
                  <w:shd w:val="clear" w:color="auto" w:fill="auto"/>
                  <w:vAlign w:val="center"/>
                </w:tcPr>
                <w:p w14:paraId="15CABBF4">
                  <w:pPr>
                    <w:autoSpaceDE w:val="0"/>
                    <w:autoSpaceDN w:val="0"/>
                    <w:adjustRightInd w:val="0"/>
                    <w:snapToGrid w:val="0"/>
                    <w:spacing w:before="60" w:after="60"/>
                    <w:jc w:val="center"/>
                    <w:rPr>
                      <w:color w:val="auto"/>
                      <w:kern w:val="0"/>
                      <w:szCs w:val="21"/>
                    </w:rPr>
                  </w:pPr>
                  <w:r>
                    <w:rPr>
                      <w:color w:val="auto"/>
                      <w:kern w:val="0"/>
                      <w:szCs w:val="21"/>
                    </w:rPr>
                    <w:t>大力推进煤炭消费减量替代，开展燃煤锅炉综合整治，加快淘汰排放高、污染重的煤电机组，依法严禁秸秆露天焚烧。</w:t>
                  </w:r>
                </w:p>
              </w:tc>
              <w:tc>
                <w:tcPr>
                  <w:tcW w:w="1340" w:type="pct"/>
                  <w:shd w:val="clear" w:color="auto" w:fill="auto"/>
                  <w:vAlign w:val="center"/>
                </w:tcPr>
                <w:p w14:paraId="6DB4F9DE">
                  <w:pPr>
                    <w:autoSpaceDE w:val="0"/>
                    <w:autoSpaceDN w:val="0"/>
                    <w:adjustRightInd w:val="0"/>
                    <w:snapToGrid w:val="0"/>
                    <w:spacing w:before="60" w:after="60"/>
                    <w:jc w:val="center"/>
                    <w:rPr>
                      <w:color w:val="auto"/>
                      <w:kern w:val="0"/>
                      <w:szCs w:val="21"/>
                    </w:rPr>
                  </w:pPr>
                  <w:r>
                    <w:rPr>
                      <w:color w:val="auto"/>
                      <w:kern w:val="0"/>
                      <w:szCs w:val="21"/>
                    </w:rPr>
                    <w:t>本项目不使用燃煤锅炉。</w:t>
                  </w:r>
                </w:p>
              </w:tc>
              <w:tc>
                <w:tcPr>
                  <w:tcW w:w="621" w:type="pct"/>
                  <w:shd w:val="clear" w:color="auto" w:fill="auto"/>
                  <w:vAlign w:val="center"/>
                </w:tcPr>
                <w:p w14:paraId="3D14546B">
                  <w:pPr>
                    <w:adjustRightInd w:val="0"/>
                    <w:snapToGrid w:val="0"/>
                    <w:spacing w:before="60" w:after="60"/>
                    <w:jc w:val="center"/>
                    <w:rPr>
                      <w:color w:val="auto"/>
                    </w:rPr>
                  </w:pPr>
                  <w:r>
                    <w:rPr>
                      <w:rFonts w:hint="eastAsia"/>
                      <w:color w:val="auto"/>
                    </w:rPr>
                    <w:t>符合</w:t>
                  </w:r>
                </w:p>
              </w:tc>
            </w:tr>
            <w:tr w14:paraId="61BE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pct"/>
                  <w:shd w:val="clear" w:color="auto" w:fill="auto"/>
                  <w:vAlign w:val="center"/>
                </w:tcPr>
                <w:p w14:paraId="2626810E">
                  <w:pPr>
                    <w:adjustRightInd w:val="0"/>
                    <w:snapToGrid w:val="0"/>
                    <w:spacing w:before="60" w:after="60"/>
                    <w:jc w:val="center"/>
                    <w:rPr>
                      <w:color w:val="auto"/>
                    </w:rPr>
                  </w:pPr>
                  <w:r>
                    <w:rPr>
                      <w:color w:val="auto"/>
                    </w:rPr>
                    <w:t>坚持水资源水生态水环境水灾害统筹治理，严格落实水产种质资源保护区和自然保护区全面禁捕措施。推进船舶和港口污染防治，加快现有船舶达标改造，提高含油污水、化学品洗舱水等的处置能力。强化城镇污水处理厂除磷脱氮工艺改造，大力推进乡镇污水处理设施建设。</w:t>
                  </w:r>
                </w:p>
              </w:tc>
              <w:tc>
                <w:tcPr>
                  <w:tcW w:w="1340" w:type="pct"/>
                  <w:shd w:val="clear" w:color="auto" w:fill="auto"/>
                  <w:vAlign w:val="center"/>
                </w:tcPr>
                <w:p w14:paraId="0BD2A056">
                  <w:pPr>
                    <w:adjustRightInd w:val="0"/>
                    <w:snapToGrid w:val="0"/>
                    <w:spacing w:before="60" w:after="60"/>
                    <w:jc w:val="center"/>
                    <w:rPr>
                      <w:color w:val="auto"/>
                    </w:rPr>
                  </w:pPr>
                  <w:r>
                    <w:rPr>
                      <w:rFonts w:hint="eastAsia"/>
                      <w:color w:val="auto"/>
                    </w:rPr>
                    <w:t>本项目生产废水和生活废水均回用于</w:t>
                  </w:r>
                  <w:r>
                    <w:rPr>
                      <w:rFonts w:hint="eastAsia"/>
                      <w:color w:val="auto"/>
                      <w:lang w:val="en-US" w:eastAsia="zh-CN"/>
                    </w:rPr>
                    <w:t>企业</w:t>
                  </w:r>
                  <w:r>
                    <w:rPr>
                      <w:rFonts w:hint="eastAsia"/>
                      <w:color w:val="auto"/>
                    </w:rPr>
                    <w:t>现有沼气发电系统，无废水外排。</w:t>
                  </w:r>
                </w:p>
                <w:p w14:paraId="7B3BC9DA">
                  <w:pPr>
                    <w:adjustRightInd w:val="0"/>
                    <w:snapToGrid w:val="0"/>
                    <w:spacing w:before="60" w:after="60"/>
                    <w:jc w:val="center"/>
                    <w:rPr>
                      <w:color w:val="auto"/>
                    </w:rPr>
                  </w:pPr>
                </w:p>
              </w:tc>
              <w:tc>
                <w:tcPr>
                  <w:tcW w:w="621" w:type="pct"/>
                  <w:shd w:val="clear" w:color="auto" w:fill="auto"/>
                  <w:vAlign w:val="center"/>
                </w:tcPr>
                <w:p w14:paraId="28583E00">
                  <w:pPr>
                    <w:adjustRightInd w:val="0"/>
                    <w:snapToGrid w:val="0"/>
                    <w:spacing w:before="60" w:after="60"/>
                    <w:jc w:val="center"/>
                    <w:rPr>
                      <w:color w:val="auto"/>
                    </w:rPr>
                  </w:pPr>
                  <w:r>
                    <w:rPr>
                      <w:rFonts w:hint="eastAsia"/>
                      <w:color w:val="auto"/>
                    </w:rPr>
                    <w:t>符合</w:t>
                  </w:r>
                </w:p>
              </w:tc>
            </w:tr>
          </w:tbl>
          <w:p w14:paraId="1DE8B9C8">
            <w:pPr>
              <w:snapToGrid w:val="0"/>
              <w:spacing w:beforeLines="50" w:line="360" w:lineRule="auto"/>
              <w:ind w:firstLine="482" w:firstLineChars="200"/>
              <w:rPr>
                <w:b/>
                <w:bCs/>
                <w:color w:val="auto"/>
                <w:sz w:val="24"/>
              </w:rPr>
            </w:pPr>
            <w:r>
              <w:rPr>
                <w:rFonts w:hint="eastAsia"/>
                <w:b/>
                <w:bCs/>
                <w:color w:val="auto"/>
                <w:sz w:val="24"/>
              </w:rPr>
              <w:t>5</w:t>
            </w:r>
            <w:r>
              <w:rPr>
                <w:b/>
                <w:bCs/>
                <w:color w:val="auto"/>
                <w:sz w:val="24"/>
              </w:rPr>
              <w:t>、与《安徽省淮河流域水污染防治条例》符合性分析</w:t>
            </w:r>
          </w:p>
          <w:p w14:paraId="00EC0457">
            <w:pPr>
              <w:spacing w:line="360" w:lineRule="auto"/>
              <w:ind w:firstLine="480" w:firstLineChars="200"/>
              <w:rPr>
                <w:bCs/>
                <w:color w:val="auto"/>
                <w:sz w:val="24"/>
              </w:rPr>
            </w:pPr>
            <w:r>
              <w:rPr>
                <w:bCs/>
                <w:color w:val="auto"/>
                <w:sz w:val="24"/>
              </w:rPr>
              <w:t>本项目与《安徽省淮河流域水污染防治条例》的符合性分析见表1-</w:t>
            </w:r>
            <w:r>
              <w:rPr>
                <w:rFonts w:hint="eastAsia"/>
                <w:bCs/>
                <w:color w:val="auto"/>
                <w:sz w:val="24"/>
              </w:rPr>
              <w:t>2</w:t>
            </w:r>
            <w:r>
              <w:rPr>
                <w:bCs/>
                <w:color w:val="auto"/>
                <w:sz w:val="24"/>
              </w:rPr>
              <w:t>。</w:t>
            </w:r>
          </w:p>
          <w:p w14:paraId="12E9663A">
            <w:pPr>
              <w:jc w:val="center"/>
              <w:rPr>
                <w:b/>
                <w:bCs/>
                <w:color w:val="auto"/>
                <w:sz w:val="24"/>
              </w:rPr>
            </w:pPr>
            <w:r>
              <w:rPr>
                <w:b/>
                <w:bCs/>
                <w:color w:val="auto"/>
                <w:szCs w:val="21"/>
              </w:rPr>
              <w:t>表1-</w:t>
            </w:r>
            <w:r>
              <w:rPr>
                <w:rFonts w:hint="eastAsia"/>
                <w:b/>
                <w:bCs/>
                <w:color w:val="auto"/>
                <w:szCs w:val="21"/>
              </w:rPr>
              <w:t>2</w:t>
            </w:r>
            <w:r>
              <w:rPr>
                <w:b/>
                <w:bCs/>
                <w:color w:val="auto"/>
                <w:szCs w:val="21"/>
              </w:rPr>
              <w:t>与《安徽省淮河流域水污染防治条例》符合性分析表</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3"/>
              <w:gridCol w:w="2039"/>
              <w:gridCol w:w="698"/>
            </w:tblGrid>
            <w:tr w14:paraId="7089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pct"/>
                  <w:shd w:val="clear" w:color="auto" w:fill="auto"/>
                  <w:vAlign w:val="center"/>
                </w:tcPr>
                <w:p w14:paraId="42DD3BA2">
                  <w:pPr>
                    <w:autoSpaceDE w:val="0"/>
                    <w:autoSpaceDN w:val="0"/>
                    <w:adjustRightInd w:val="0"/>
                    <w:snapToGrid w:val="0"/>
                    <w:spacing w:before="60" w:after="60"/>
                    <w:jc w:val="center"/>
                    <w:rPr>
                      <w:b/>
                      <w:bCs/>
                      <w:color w:val="auto"/>
                      <w:kern w:val="0"/>
                      <w:szCs w:val="21"/>
                    </w:rPr>
                  </w:pPr>
                  <w:r>
                    <w:rPr>
                      <w:b/>
                      <w:bCs/>
                      <w:color w:val="auto"/>
                      <w:kern w:val="0"/>
                      <w:szCs w:val="21"/>
                    </w:rPr>
                    <w:t>条例内容</w:t>
                  </w:r>
                </w:p>
              </w:tc>
              <w:tc>
                <w:tcPr>
                  <w:tcW w:w="1460" w:type="pct"/>
                  <w:shd w:val="clear" w:color="auto" w:fill="auto"/>
                  <w:vAlign w:val="center"/>
                </w:tcPr>
                <w:p w14:paraId="78D3D73C">
                  <w:pPr>
                    <w:autoSpaceDE w:val="0"/>
                    <w:autoSpaceDN w:val="0"/>
                    <w:adjustRightInd w:val="0"/>
                    <w:snapToGrid w:val="0"/>
                    <w:spacing w:before="60" w:after="60"/>
                    <w:jc w:val="center"/>
                    <w:rPr>
                      <w:b/>
                      <w:bCs/>
                      <w:color w:val="auto"/>
                      <w:kern w:val="0"/>
                      <w:szCs w:val="21"/>
                    </w:rPr>
                  </w:pPr>
                  <w:r>
                    <w:rPr>
                      <w:b/>
                      <w:bCs/>
                      <w:color w:val="auto"/>
                      <w:kern w:val="0"/>
                      <w:szCs w:val="21"/>
                    </w:rPr>
                    <w:t>本项目</w:t>
                  </w:r>
                </w:p>
              </w:tc>
              <w:tc>
                <w:tcPr>
                  <w:tcW w:w="500" w:type="pct"/>
                  <w:shd w:val="clear" w:color="auto" w:fill="auto"/>
                  <w:vAlign w:val="center"/>
                </w:tcPr>
                <w:p w14:paraId="026B1DA9">
                  <w:pPr>
                    <w:autoSpaceDE w:val="0"/>
                    <w:autoSpaceDN w:val="0"/>
                    <w:adjustRightInd w:val="0"/>
                    <w:snapToGrid w:val="0"/>
                    <w:spacing w:before="60" w:after="60"/>
                    <w:jc w:val="center"/>
                    <w:rPr>
                      <w:b/>
                      <w:bCs/>
                      <w:color w:val="auto"/>
                      <w:kern w:val="0"/>
                      <w:szCs w:val="21"/>
                    </w:rPr>
                  </w:pPr>
                  <w:r>
                    <w:rPr>
                      <w:b/>
                      <w:bCs/>
                      <w:color w:val="auto"/>
                      <w:kern w:val="0"/>
                      <w:szCs w:val="21"/>
                    </w:rPr>
                    <w:t>相符性</w:t>
                  </w:r>
                </w:p>
              </w:tc>
            </w:tr>
            <w:tr w14:paraId="0270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pct"/>
                  <w:shd w:val="clear" w:color="auto" w:fill="auto"/>
                  <w:vAlign w:val="center"/>
                </w:tcPr>
                <w:p w14:paraId="0DE2FDDF">
                  <w:pPr>
                    <w:autoSpaceDE w:val="0"/>
                    <w:autoSpaceDN w:val="0"/>
                    <w:adjustRightInd w:val="0"/>
                    <w:snapToGrid w:val="0"/>
                    <w:spacing w:before="60" w:after="60"/>
                    <w:jc w:val="left"/>
                    <w:rPr>
                      <w:color w:val="auto"/>
                      <w:kern w:val="0"/>
                      <w:szCs w:val="21"/>
                    </w:rPr>
                  </w:pPr>
                  <w:r>
                    <w:rPr>
                      <w:color w:val="auto"/>
                      <w:kern w:val="0"/>
                      <w:szCs w:val="21"/>
                    </w:rPr>
                    <w:t>禁止在淮河流域新建化学制浆造纸企业和印染、制革、化工、电镀、酿造等污染严重的小型企业。严格限制在淮河流域新建印染、制革、化工、电镀、酿造等大中型项目或者其他污染严重的项目；建设该类项目的，应当事前征得省人民政府生态环境行政主管部门的同意，并按照规定办理有关手续。</w:t>
                  </w:r>
                </w:p>
              </w:tc>
              <w:tc>
                <w:tcPr>
                  <w:tcW w:w="1460" w:type="pct"/>
                  <w:shd w:val="clear" w:color="auto" w:fill="auto"/>
                  <w:vAlign w:val="center"/>
                </w:tcPr>
                <w:p w14:paraId="34613D27">
                  <w:pPr>
                    <w:autoSpaceDE w:val="0"/>
                    <w:autoSpaceDN w:val="0"/>
                    <w:adjustRightInd w:val="0"/>
                    <w:snapToGrid w:val="0"/>
                    <w:spacing w:before="60" w:after="60"/>
                    <w:jc w:val="center"/>
                    <w:rPr>
                      <w:color w:val="auto"/>
                      <w:kern w:val="0"/>
                      <w:szCs w:val="21"/>
                    </w:rPr>
                  </w:pPr>
                  <w:r>
                    <w:rPr>
                      <w:color w:val="auto"/>
                      <w:kern w:val="0"/>
                      <w:szCs w:val="21"/>
                    </w:rPr>
                    <w:t>本项目不属于以上行业项目。</w:t>
                  </w:r>
                </w:p>
              </w:tc>
              <w:tc>
                <w:tcPr>
                  <w:tcW w:w="500" w:type="pct"/>
                  <w:shd w:val="clear" w:color="auto" w:fill="auto"/>
                  <w:vAlign w:val="center"/>
                </w:tcPr>
                <w:p w14:paraId="20265BC5">
                  <w:pPr>
                    <w:autoSpaceDE w:val="0"/>
                    <w:autoSpaceDN w:val="0"/>
                    <w:adjustRightInd w:val="0"/>
                    <w:snapToGrid w:val="0"/>
                    <w:spacing w:before="60" w:after="60"/>
                    <w:jc w:val="left"/>
                    <w:rPr>
                      <w:color w:val="auto"/>
                      <w:kern w:val="0"/>
                      <w:szCs w:val="21"/>
                    </w:rPr>
                  </w:pPr>
                  <w:r>
                    <w:rPr>
                      <w:color w:val="auto"/>
                      <w:kern w:val="0"/>
                      <w:szCs w:val="21"/>
                    </w:rPr>
                    <w:t>符合</w:t>
                  </w:r>
                </w:p>
              </w:tc>
            </w:tr>
            <w:tr w14:paraId="4132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8" w:type="pct"/>
                  <w:shd w:val="clear" w:color="auto" w:fill="auto"/>
                  <w:vAlign w:val="center"/>
                </w:tcPr>
                <w:p w14:paraId="6349872D">
                  <w:pPr>
                    <w:autoSpaceDE w:val="0"/>
                    <w:autoSpaceDN w:val="0"/>
                    <w:adjustRightInd w:val="0"/>
                    <w:snapToGrid w:val="0"/>
                    <w:spacing w:before="60" w:after="60"/>
                    <w:jc w:val="left"/>
                    <w:rPr>
                      <w:color w:val="auto"/>
                      <w:kern w:val="0"/>
                      <w:szCs w:val="21"/>
                    </w:rPr>
                  </w:pPr>
                  <w:r>
                    <w:rPr>
                      <w:color w:val="auto"/>
                      <w:kern w:val="0"/>
                      <w:szCs w:val="21"/>
                    </w:rPr>
                    <w:t>新建、改建、扩建直接或者间接向水体排放污染物的建设项目和其他水上设施，应当依法进行环境影响评价。建设项目的水污染防治设施，应当符合经批准或者备案的环境影响评价文件的要求，并与主体工程同时设计、同时施工、同时投入使用。新建、扩建、改建项目，除执行前款规定外，还应当遵守下列规定：</w:t>
                  </w:r>
                </w:p>
                <w:p w14:paraId="5F94E76F">
                  <w:pPr>
                    <w:autoSpaceDE w:val="0"/>
                    <w:autoSpaceDN w:val="0"/>
                    <w:adjustRightInd w:val="0"/>
                    <w:snapToGrid w:val="0"/>
                    <w:spacing w:before="60" w:after="60"/>
                    <w:jc w:val="left"/>
                    <w:rPr>
                      <w:color w:val="auto"/>
                      <w:kern w:val="0"/>
                      <w:szCs w:val="21"/>
                    </w:rPr>
                  </w:pPr>
                  <w:r>
                    <w:rPr>
                      <w:color w:val="auto"/>
                      <w:kern w:val="0"/>
                      <w:szCs w:val="21"/>
                    </w:rPr>
                    <w:t>（一）新建项目的选址应符合城市总体规划，避开饮用水水源地和对环境有特殊要求的功能区；</w:t>
                  </w:r>
                </w:p>
                <w:p w14:paraId="2DCD61A7">
                  <w:pPr>
                    <w:autoSpaceDE w:val="0"/>
                    <w:autoSpaceDN w:val="0"/>
                    <w:adjustRightInd w:val="0"/>
                    <w:snapToGrid w:val="0"/>
                    <w:spacing w:before="60" w:after="60"/>
                    <w:jc w:val="left"/>
                    <w:rPr>
                      <w:color w:val="auto"/>
                      <w:kern w:val="0"/>
                      <w:szCs w:val="21"/>
                    </w:rPr>
                  </w:pPr>
                  <w:r>
                    <w:rPr>
                      <w:color w:val="auto"/>
                      <w:kern w:val="0"/>
                      <w:szCs w:val="21"/>
                    </w:rPr>
                    <w:t>（二）采用资源利用率高、污染物排放量少的先进设备和先进工艺；</w:t>
                  </w:r>
                </w:p>
                <w:p w14:paraId="3D87902A">
                  <w:pPr>
                    <w:autoSpaceDE w:val="0"/>
                    <w:autoSpaceDN w:val="0"/>
                    <w:adjustRightInd w:val="0"/>
                    <w:snapToGrid w:val="0"/>
                    <w:spacing w:before="60" w:after="60"/>
                    <w:jc w:val="left"/>
                    <w:rPr>
                      <w:color w:val="auto"/>
                      <w:kern w:val="0"/>
                      <w:szCs w:val="21"/>
                    </w:rPr>
                  </w:pPr>
                  <w:r>
                    <w:rPr>
                      <w:color w:val="auto"/>
                      <w:kern w:val="0"/>
                      <w:szCs w:val="21"/>
                    </w:rPr>
                    <w:t>（三）改建、扩建项目和技改项目应当把水污染治理纳入项目内容。工程配套建设的水污染防治设施竣工后，建设单位应当按照国务院生态环境行政主管部门规定的标准和程序进行验收。验收合格后，方可投入使用；未经验收或者验收不合格的，不得投入生产或者使用。</w:t>
                  </w:r>
                </w:p>
              </w:tc>
              <w:tc>
                <w:tcPr>
                  <w:tcW w:w="1460" w:type="pct"/>
                  <w:shd w:val="clear" w:color="auto" w:fill="auto"/>
                  <w:vAlign w:val="center"/>
                </w:tcPr>
                <w:p w14:paraId="0FC86919">
                  <w:pPr>
                    <w:autoSpaceDE w:val="0"/>
                    <w:autoSpaceDN w:val="0"/>
                    <w:adjustRightInd w:val="0"/>
                    <w:snapToGrid w:val="0"/>
                    <w:spacing w:before="60" w:after="60"/>
                    <w:jc w:val="center"/>
                    <w:rPr>
                      <w:color w:val="auto"/>
                      <w:kern w:val="0"/>
                      <w:szCs w:val="21"/>
                    </w:rPr>
                  </w:pPr>
                  <w:r>
                    <w:rPr>
                      <w:color w:val="auto"/>
                      <w:kern w:val="0"/>
                      <w:szCs w:val="21"/>
                    </w:rPr>
                    <w:t>本项目无生产废水外排</w:t>
                  </w:r>
                  <w:r>
                    <w:rPr>
                      <w:rFonts w:hint="eastAsia"/>
                      <w:color w:val="auto"/>
                      <w:kern w:val="0"/>
                      <w:szCs w:val="21"/>
                    </w:rPr>
                    <w:t>。</w:t>
                  </w:r>
                  <w:r>
                    <w:rPr>
                      <w:color w:val="auto"/>
                      <w:kern w:val="0"/>
                      <w:szCs w:val="21"/>
                    </w:rPr>
                    <w:t>项目选址符合土地利用总体规划，不在饮用水水源地和对环境有特殊要求的功能区；工程配套建设的水污染防治设施竣工后，建设单位应当按照国务院生态环境行政主管部门规定的标准和程序进行验收。验收合格后，方可投入使用；未经验收或者验收不合格的，不得投入生产或者使用</w:t>
                  </w:r>
                  <w:r>
                    <w:rPr>
                      <w:rFonts w:hint="eastAsia"/>
                      <w:color w:val="auto"/>
                      <w:kern w:val="0"/>
                      <w:szCs w:val="21"/>
                    </w:rPr>
                    <w:t>。</w:t>
                  </w:r>
                </w:p>
              </w:tc>
              <w:tc>
                <w:tcPr>
                  <w:tcW w:w="500" w:type="pct"/>
                  <w:shd w:val="clear" w:color="auto" w:fill="auto"/>
                  <w:vAlign w:val="center"/>
                </w:tcPr>
                <w:p w14:paraId="0842F5C0">
                  <w:pPr>
                    <w:autoSpaceDE w:val="0"/>
                    <w:autoSpaceDN w:val="0"/>
                    <w:adjustRightInd w:val="0"/>
                    <w:snapToGrid w:val="0"/>
                    <w:spacing w:before="60" w:after="60"/>
                    <w:jc w:val="left"/>
                    <w:rPr>
                      <w:color w:val="auto"/>
                      <w:kern w:val="0"/>
                      <w:szCs w:val="21"/>
                    </w:rPr>
                  </w:pPr>
                  <w:r>
                    <w:rPr>
                      <w:color w:val="auto"/>
                      <w:kern w:val="0"/>
                      <w:szCs w:val="21"/>
                    </w:rPr>
                    <w:t>符合</w:t>
                  </w:r>
                </w:p>
              </w:tc>
            </w:tr>
          </w:tbl>
          <w:p w14:paraId="72D41CF6">
            <w:pPr>
              <w:spacing w:beforeLines="50" w:line="360" w:lineRule="auto"/>
              <w:ind w:firstLine="482" w:firstLineChars="200"/>
              <w:rPr>
                <w:b/>
                <w:bCs/>
                <w:color w:val="auto"/>
                <w:sz w:val="24"/>
              </w:rPr>
            </w:pPr>
            <w:r>
              <w:rPr>
                <w:rFonts w:hint="eastAsia"/>
                <w:b/>
                <w:bCs/>
                <w:color w:val="auto"/>
                <w:sz w:val="24"/>
              </w:rPr>
              <w:t>6、与《关于印发安徽省长江经济带发展负面清单实施细则（试行，2022年版）的通知》（皖长江办[2022]10号）相符性分析</w:t>
            </w:r>
          </w:p>
          <w:p w14:paraId="3B30D24C">
            <w:pPr>
              <w:spacing w:line="360" w:lineRule="auto"/>
              <w:ind w:firstLine="480" w:firstLineChars="200"/>
              <w:rPr>
                <w:bCs/>
                <w:color w:val="auto"/>
                <w:sz w:val="24"/>
              </w:rPr>
            </w:pPr>
            <w:r>
              <w:rPr>
                <w:bCs/>
                <w:color w:val="auto"/>
                <w:sz w:val="24"/>
              </w:rPr>
              <w:t>本项目与</w:t>
            </w:r>
            <w:r>
              <w:rPr>
                <w:rFonts w:hint="eastAsia"/>
                <w:bCs/>
                <w:color w:val="auto"/>
                <w:sz w:val="24"/>
              </w:rPr>
              <w:t>《关于印发安徽省长江经济带发展负面清单实施细则（试行，2022年版）的通知》（皖长江办[2022]10号）</w:t>
            </w:r>
            <w:r>
              <w:rPr>
                <w:bCs/>
                <w:color w:val="auto"/>
                <w:sz w:val="24"/>
              </w:rPr>
              <w:t>的符合性分析见表1-</w:t>
            </w:r>
            <w:r>
              <w:rPr>
                <w:rFonts w:hint="eastAsia"/>
                <w:bCs/>
                <w:color w:val="auto"/>
                <w:sz w:val="24"/>
              </w:rPr>
              <w:t>3</w:t>
            </w:r>
            <w:r>
              <w:rPr>
                <w:bCs/>
                <w:color w:val="auto"/>
                <w:sz w:val="24"/>
              </w:rPr>
              <w:t>。</w:t>
            </w:r>
          </w:p>
          <w:p w14:paraId="57A344EB">
            <w:pPr>
              <w:jc w:val="center"/>
              <w:rPr>
                <w:b/>
                <w:bCs/>
                <w:color w:val="auto"/>
                <w:szCs w:val="21"/>
              </w:rPr>
            </w:pPr>
            <w:r>
              <w:rPr>
                <w:b/>
                <w:bCs/>
                <w:color w:val="auto"/>
                <w:szCs w:val="21"/>
              </w:rPr>
              <w:t>表1-</w:t>
            </w:r>
            <w:r>
              <w:rPr>
                <w:rFonts w:hint="eastAsia"/>
                <w:b/>
                <w:bCs/>
                <w:color w:val="auto"/>
                <w:szCs w:val="21"/>
              </w:rPr>
              <w:t xml:space="preserve">3  </w:t>
            </w:r>
            <w:r>
              <w:rPr>
                <w:b/>
                <w:bCs/>
                <w:color w:val="auto"/>
                <w:szCs w:val="21"/>
              </w:rPr>
              <w:t>与</w:t>
            </w:r>
            <w:r>
              <w:rPr>
                <w:rFonts w:hint="eastAsia"/>
                <w:b/>
                <w:bCs/>
                <w:color w:val="auto"/>
                <w:szCs w:val="21"/>
              </w:rPr>
              <w:t>《关于印发安徽省长江经济带发展负面清单实施细则（试行，2022年版）的通知》（皖长江办[2022]10号）</w:t>
            </w:r>
            <w:r>
              <w:rPr>
                <w:b/>
                <w:bCs/>
                <w:color w:val="auto"/>
                <w:szCs w:val="21"/>
              </w:rPr>
              <w:t>符合性分析表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5"/>
              <w:gridCol w:w="2379"/>
              <w:gridCol w:w="944"/>
            </w:tblGrid>
            <w:tr w14:paraId="7FA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0ECB13EB">
                  <w:pPr>
                    <w:autoSpaceDE w:val="0"/>
                    <w:autoSpaceDN w:val="0"/>
                    <w:adjustRightInd w:val="0"/>
                    <w:snapToGrid w:val="0"/>
                    <w:spacing w:before="60" w:after="60"/>
                    <w:jc w:val="center"/>
                    <w:rPr>
                      <w:color w:val="auto"/>
                      <w:kern w:val="0"/>
                      <w:szCs w:val="21"/>
                    </w:rPr>
                  </w:pPr>
                  <w:r>
                    <w:rPr>
                      <w:color w:val="auto"/>
                      <w:kern w:val="0"/>
                      <w:szCs w:val="21"/>
                    </w:rPr>
                    <w:t>条例内容</w:t>
                  </w:r>
                </w:p>
              </w:tc>
              <w:tc>
                <w:tcPr>
                  <w:tcW w:w="1704" w:type="pct"/>
                  <w:shd w:val="clear" w:color="auto" w:fill="auto"/>
                  <w:vAlign w:val="center"/>
                </w:tcPr>
                <w:p w14:paraId="3364869D">
                  <w:pPr>
                    <w:autoSpaceDE w:val="0"/>
                    <w:autoSpaceDN w:val="0"/>
                    <w:adjustRightInd w:val="0"/>
                    <w:snapToGrid w:val="0"/>
                    <w:spacing w:before="60" w:after="60"/>
                    <w:jc w:val="center"/>
                    <w:rPr>
                      <w:color w:val="auto"/>
                      <w:kern w:val="0"/>
                      <w:szCs w:val="21"/>
                    </w:rPr>
                  </w:pPr>
                  <w:r>
                    <w:rPr>
                      <w:color w:val="auto"/>
                      <w:kern w:val="0"/>
                      <w:szCs w:val="21"/>
                    </w:rPr>
                    <w:t>本项目</w:t>
                  </w:r>
                </w:p>
              </w:tc>
              <w:tc>
                <w:tcPr>
                  <w:tcW w:w="676" w:type="pct"/>
                  <w:shd w:val="clear" w:color="auto" w:fill="auto"/>
                  <w:vAlign w:val="center"/>
                </w:tcPr>
                <w:p w14:paraId="6430D454">
                  <w:pPr>
                    <w:autoSpaceDE w:val="0"/>
                    <w:autoSpaceDN w:val="0"/>
                    <w:adjustRightInd w:val="0"/>
                    <w:snapToGrid w:val="0"/>
                    <w:spacing w:before="60" w:after="60"/>
                    <w:jc w:val="center"/>
                    <w:rPr>
                      <w:color w:val="auto"/>
                      <w:kern w:val="0"/>
                      <w:szCs w:val="21"/>
                    </w:rPr>
                  </w:pPr>
                  <w:r>
                    <w:rPr>
                      <w:color w:val="auto"/>
                      <w:kern w:val="0"/>
                      <w:szCs w:val="21"/>
                    </w:rPr>
                    <w:t>相符性</w:t>
                  </w:r>
                </w:p>
              </w:tc>
            </w:tr>
            <w:tr w14:paraId="511C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3DFD3746">
                  <w:pPr>
                    <w:autoSpaceDE w:val="0"/>
                    <w:autoSpaceDN w:val="0"/>
                    <w:adjustRightInd w:val="0"/>
                    <w:snapToGrid w:val="0"/>
                    <w:spacing w:before="60" w:after="60"/>
                    <w:jc w:val="center"/>
                    <w:rPr>
                      <w:color w:val="auto"/>
                      <w:kern w:val="0"/>
                      <w:szCs w:val="21"/>
                    </w:rPr>
                  </w:pPr>
                  <w:r>
                    <w:rPr>
                      <w:rFonts w:hint="eastAsia"/>
                      <w:color w:val="auto"/>
                      <w:kern w:val="0"/>
                      <w:szCs w:val="21"/>
                    </w:rPr>
                    <w:t>禁止建设不符合全国和省级港口布局规划以及港口总体规划的码头项目，禁止建设不符合《长江干线过江通道布局规划》的过长江通道顼目</w:t>
                  </w:r>
                  <w:r>
                    <w:rPr>
                      <w:color w:val="auto"/>
                      <w:kern w:val="0"/>
                      <w:szCs w:val="21"/>
                    </w:rPr>
                    <w:t>。</w:t>
                  </w:r>
                </w:p>
              </w:tc>
              <w:tc>
                <w:tcPr>
                  <w:tcW w:w="1704" w:type="pct"/>
                  <w:shd w:val="clear" w:color="auto" w:fill="auto"/>
                  <w:vAlign w:val="center"/>
                </w:tcPr>
                <w:p w14:paraId="7E6BEC16">
                  <w:pPr>
                    <w:autoSpaceDE w:val="0"/>
                    <w:autoSpaceDN w:val="0"/>
                    <w:adjustRightInd w:val="0"/>
                    <w:snapToGrid w:val="0"/>
                    <w:spacing w:before="60" w:after="60"/>
                    <w:jc w:val="center"/>
                    <w:rPr>
                      <w:color w:val="auto"/>
                      <w:kern w:val="0"/>
                      <w:szCs w:val="21"/>
                    </w:rPr>
                  </w:pPr>
                  <w:r>
                    <w:rPr>
                      <w:color w:val="auto"/>
                      <w:kern w:val="0"/>
                      <w:szCs w:val="21"/>
                    </w:rPr>
                    <w:t>本项目不属于</w:t>
                  </w:r>
                  <w:r>
                    <w:rPr>
                      <w:rFonts w:hint="eastAsia"/>
                      <w:color w:val="auto"/>
                      <w:kern w:val="0"/>
                      <w:szCs w:val="21"/>
                    </w:rPr>
                    <w:t>码头</w:t>
                  </w:r>
                  <w:r>
                    <w:rPr>
                      <w:color w:val="auto"/>
                      <w:kern w:val="0"/>
                      <w:szCs w:val="21"/>
                    </w:rPr>
                    <w:t>项目，</w:t>
                  </w:r>
                  <w:r>
                    <w:rPr>
                      <w:rFonts w:hint="eastAsia"/>
                      <w:color w:val="auto"/>
                      <w:kern w:val="0"/>
                      <w:szCs w:val="21"/>
                    </w:rPr>
                    <w:t>也</w:t>
                  </w:r>
                  <w:r>
                    <w:rPr>
                      <w:color w:val="auto"/>
                      <w:kern w:val="0"/>
                      <w:szCs w:val="21"/>
                    </w:rPr>
                    <w:t>不属于过长江通道项目。</w:t>
                  </w:r>
                </w:p>
              </w:tc>
              <w:tc>
                <w:tcPr>
                  <w:tcW w:w="676" w:type="pct"/>
                  <w:shd w:val="clear" w:color="auto" w:fill="auto"/>
                  <w:vAlign w:val="center"/>
                </w:tcPr>
                <w:p w14:paraId="74ACCC3D">
                  <w:pPr>
                    <w:autoSpaceDE w:val="0"/>
                    <w:autoSpaceDN w:val="0"/>
                    <w:adjustRightInd w:val="0"/>
                    <w:snapToGrid w:val="0"/>
                    <w:spacing w:before="60" w:after="60"/>
                    <w:jc w:val="center"/>
                    <w:rPr>
                      <w:color w:val="auto"/>
                      <w:kern w:val="0"/>
                      <w:szCs w:val="21"/>
                    </w:rPr>
                  </w:pPr>
                  <w:r>
                    <w:rPr>
                      <w:color w:val="auto"/>
                      <w:kern w:val="0"/>
                      <w:szCs w:val="21"/>
                    </w:rPr>
                    <w:t>符合</w:t>
                  </w:r>
                </w:p>
              </w:tc>
            </w:tr>
            <w:tr w14:paraId="27C0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116EC654">
                  <w:pPr>
                    <w:autoSpaceDE w:val="0"/>
                    <w:autoSpaceDN w:val="0"/>
                    <w:adjustRightInd w:val="0"/>
                    <w:snapToGrid w:val="0"/>
                    <w:spacing w:before="60" w:after="60"/>
                    <w:jc w:val="center"/>
                    <w:rPr>
                      <w:color w:val="auto"/>
                      <w:kern w:val="0"/>
                      <w:szCs w:val="21"/>
                    </w:rPr>
                  </w:pPr>
                  <w:r>
                    <w:rPr>
                      <w:rFonts w:hint="eastAsia"/>
                      <w:color w:val="auto"/>
                      <w:kern w:val="0"/>
                      <w:szCs w:val="21"/>
                    </w:rPr>
                    <w:t>禁止在自然保护区核心区、</w:t>
                  </w:r>
                  <w:r>
                    <w:rPr>
                      <w:color w:val="auto"/>
                      <w:kern w:val="0"/>
                      <w:szCs w:val="21"/>
                    </w:rPr>
                    <w:t>缓冲</w:t>
                  </w:r>
                  <w:r>
                    <w:rPr>
                      <w:rFonts w:hint="eastAsia"/>
                      <w:color w:val="auto"/>
                      <w:kern w:val="0"/>
                      <w:szCs w:val="21"/>
                    </w:rPr>
                    <w:t>区的岸线和河段范围内投资建设旅游和生产经营项目。禁止在风景名胜区核心景区的岸线和河段范围内投资建设与风景名胜资源保护无关的项目。</w:t>
                  </w:r>
                </w:p>
              </w:tc>
              <w:tc>
                <w:tcPr>
                  <w:tcW w:w="1704" w:type="pct"/>
                  <w:shd w:val="clear" w:color="auto" w:fill="auto"/>
                  <w:vAlign w:val="center"/>
                </w:tcPr>
                <w:p w14:paraId="6DF9E217">
                  <w:pPr>
                    <w:autoSpaceDE w:val="0"/>
                    <w:autoSpaceDN w:val="0"/>
                    <w:adjustRightInd w:val="0"/>
                    <w:snapToGrid w:val="0"/>
                    <w:spacing w:before="60" w:after="60"/>
                    <w:jc w:val="center"/>
                    <w:rPr>
                      <w:color w:val="auto"/>
                      <w:kern w:val="0"/>
                      <w:szCs w:val="21"/>
                    </w:rPr>
                  </w:pPr>
                  <w:r>
                    <w:rPr>
                      <w:color w:val="auto"/>
                      <w:kern w:val="0"/>
                      <w:szCs w:val="21"/>
                    </w:rPr>
                    <w:t>本项目不</w:t>
                  </w:r>
                  <w:r>
                    <w:rPr>
                      <w:rFonts w:hint="eastAsia"/>
                      <w:color w:val="auto"/>
                      <w:kern w:val="0"/>
                      <w:szCs w:val="21"/>
                    </w:rPr>
                    <w:t>占用</w:t>
                  </w:r>
                  <w:r>
                    <w:rPr>
                      <w:color w:val="auto"/>
                      <w:kern w:val="0"/>
                      <w:szCs w:val="21"/>
                    </w:rPr>
                    <w:t>自然</w:t>
                  </w:r>
                  <w:r>
                    <w:rPr>
                      <w:rFonts w:hint="eastAsia"/>
                      <w:color w:val="auto"/>
                      <w:kern w:val="0"/>
                      <w:szCs w:val="21"/>
                    </w:rPr>
                    <w:t>保护区核心区、缓冲区的岸线和河段范围，和风景名胜区核心景区的岸线和河段范围。</w:t>
                  </w:r>
                </w:p>
              </w:tc>
              <w:tc>
                <w:tcPr>
                  <w:tcW w:w="676" w:type="pct"/>
                  <w:shd w:val="clear" w:color="auto" w:fill="auto"/>
                  <w:vAlign w:val="center"/>
                </w:tcPr>
                <w:p w14:paraId="1E6C7E81">
                  <w:pPr>
                    <w:autoSpaceDE w:val="0"/>
                    <w:autoSpaceDN w:val="0"/>
                    <w:adjustRightInd w:val="0"/>
                    <w:snapToGrid w:val="0"/>
                    <w:spacing w:before="60" w:after="60"/>
                    <w:jc w:val="center"/>
                    <w:rPr>
                      <w:color w:val="auto"/>
                      <w:kern w:val="0"/>
                      <w:szCs w:val="21"/>
                    </w:rPr>
                  </w:pPr>
                  <w:r>
                    <w:rPr>
                      <w:color w:val="auto"/>
                      <w:kern w:val="0"/>
                      <w:szCs w:val="21"/>
                    </w:rPr>
                    <w:t>符合</w:t>
                  </w:r>
                </w:p>
              </w:tc>
            </w:tr>
            <w:tr w14:paraId="1574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281189DC">
                  <w:pPr>
                    <w:autoSpaceDE w:val="0"/>
                    <w:autoSpaceDN w:val="0"/>
                    <w:adjustRightInd w:val="0"/>
                    <w:snapToGrid w:val="0"/>
                    <w:spacing w:before="60" w:after="60"/>
                    <w:jc w:val="center"/>
                    <w:rPr>
                      <w:color w:val="auto"/>
                      <w:kern w:val="0"/>
                      <w:szCs w:val="21"/>
                    </w:rPr>
                  </w:pPr>
                  <w:r>
                    <w:rPr>
                      <w:rFonts w:hint="eastAsia"/>
                      <w:color w:val="auto"/>
                      <w:kern w:val="0"/>
                      <w:szCs w:val="21"/>
                    </w:rPr>
                    <w:t>禁止在饮用水水源一级保护区的岸线和河段范围内新建、改建、扩建与供水设施和保护水源无关的项目，以及网箱养殖、畜禽养殖、旅游等可能污染饮用水水体的投资建设项目。禁止在饮用水水源二级保护区的岸线和河段范围内新建、改建、扩建排放污染物的投资建设项目。</w:t>
                  </w:r>
                </w:p>
              </w:tc>
              <w:tc>
                <w:tcPr>
                  <w:tcW w:w="1704" w:type="pct"/>
                  <w:shd w:val="clear" w:color="auto" w:fill="auto"/>
                  <w:vAlign w:val="center"/>
                </w:tcPr>
                <w:p w14:paraId="2F65C398">
                  <w:pPr>
                    <w:autoSpaceDE w:val="0"/>
                    <w:autoSpaceDN w:val="0"/>
                    <w:adjustRightInd w:val="0"/>
                    <w:snapToGrid w:val="0"/>
                    <w:spacing w:before="60" w:after="60"/>
                    <w:jc w:val="center"/>
                    <w:rPr>
                      <w:color w:val="auto"/>
                      <w:kern w:val="0"/>
                      <w:szCs w:val="21"/>
                    </w:rPr>
                  </w:pPr>
                  <w:r>
                    <w:rPr>
                      <w:color w:val="auto"/>
                      <w:kern w:val="0"/>
                      <w:szCs w:val="21"/>
                    </w:rPr>
                    <w:t>本项目不占用</w:t>
                  </w:r>
                  <w:r>
                    <w:rPr>
                      <w:rFonts w:hint="eastAsia"/>
                      <w:color w:val="auto"/>
                      <w:kern w:val="0"/>
                      <w:szCs w:val="21"/>
                    </w:rPr>
                    <w:t>饮用水水源一级保护区的岸线和河段范围和饮用水水源二级保护区的岸线和河段范围。</w:t>
                  </w:r>
                </w:p>
              </w:tc>
              <w:tc>
                <w:tcPr>
                  <w:tcW w:w="676" w:type="pct"/>
                  <w:shd w:val="clear" w:color="auto" w:fill="auto"/>
                  <w:vAlign w:val="center"/>
                </w:tcPr>
                <w:p w14:paraId="3B84FC6B">
                  <w:pPr>
                    <w:autoSpaceDE w:val="0"/>
                    <w:autoSpaceDN w:val="0"/>
                    <w:adjustRightInd w:val="0"/>
                    <w:snapToGrid w:val="0"/>
                    <w:spacing w:before="60" w:after="60"/>
                    <w:jc w:val="center"/>
                    <w:rPr>
                      <w:color w:val="auto"/>
                      <w:kern w:val="0"/>
                      <w:szCs w:val="21"/>
                    </w:rPr>
                  </w:pPr>
                  <w:r>
                    <w:rPr>
                      <w:color w:val="auto"/>
                      <w:kern w:val="0"/>
                      <w:szCs w:val="21"/>
                    </w:rPr>
                    <w:t>符合</w:t>
                  </w:r>
                </w:p>
              </w:tc>
            </w:tr>
            <w:tr w14:paraId="618F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008EEE67">
                  <w:pPr>
                    <w:autoSpaceDE w:val="0"/>
                    <w:autoSpaceDN w:val="0"/>
                    <w:adjustRightInd w:val="0"/>
                    <w:snapToGrid w:val="0"/>
                    <w:spacing w:before="60" w:after="60"/>
                    <w:jc w:val="center"/>
                    <w:rPr>
                      <w:color w:val="auto"/>
                      <w:kern w:val="0"/>
                      <w:szCs w:val="21"/>
                    </w:rPr>
                  </w:pPr>
                  <w:r>
                    <w:rPr>
                      <w:rFonts w:hint="eastAsia"/>
                      <w:color w:val="auto"/>
                      <w:kern w:val="0"/>
                      <w:szCs w:val="21"/>
                    </w:rPr>
                    <w:t>禁止在水产种质资源保护区的岸线和河段范围内新建围湖造田、围海造地或围填海等投资建设项日。禁止在国家湿地公园的岸线和河段范围内挖沙、采矿，以及任何不符合主体功能定位的投资建设顼目</w:t>
                  </w:r>
                </w:p>
              </w:tc>
              <w:tc>
                <w:tcPr>
                  <w:tcW w:w="1704" w:type="pct"/>
                  <w:shd w:val="clear" w:color="auto" w:fill="auto"/>
                  <w:vAlign w:val="center"/>
                </w:tcPr>
                <w:p w14:paraId="03AA9AC6">
                  <w:pPr>
                    <w:autoSpaceDE w:val="0"/>
                    <w:autoSpaceDN w:val="0"/>
                    <w:adjustRightInd w:val="0"/>
                    <w:snapToGrid w:val="0"/>
                    <w:spacing w:before="60" w:after="60"/>
                    <w:jc w:val="center"/>
                    <w:rPr>
                      <w:color w:val="auto"/>
                      <w:kern w:val="0"/>
                      <w:szCs w:val="21"/>
                    </w:rPr>
                  </w:pPr>
                  <w:r>
                    <w:rPr>
                      <w:rFonts w:hint="eastAsia"/>
                      <w:color w:val="auto"/>
                      <w:kern w:val="0"/>
                      <w:szCs w:val="21"/>
                    </w:rPr>
                    <w:t>本项目不占用水产种质资源保护区的岸线和河段和国家湿地公园的岸线和河段范围。</w:t>
                  </w:r>
                </w:p>
              </w:tc>
              <w:tc>
                <w:tcPr>
                  <w:tcW w:w="676" w:type="pct"/>
                  <w:shd w:val="clear" w:color="auto" w:fill="auto"/>
                  <w:vAlign w:val="center"/>
                </w:tcPr>
                <w:p w14:paraId="5C637626">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r w14:paraId="04002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1EA27251">
                  <w:pPr>
                    <w:autoSpaceDE w:val="0"/>
                    <w:autoSpaceDN w:val="0"/>
                    <w:adjustRightInd w:val="0"/>
                    <w:snapToGrid w:val="0"/>
                    <w:spacing w:before="60" w:after="60"/>
                    <w:jc w:val="center"/>
                    <w:rPr>
                      <w:color w:val="auto"/>
                      <w:kern w:val="0"/>
                      <w:szCs w:val="21"/>
                    </w:rPr>
                  </w:pPr>
                  <w:r>
                    <w:rPr>
                      <w:rFonts w:hint="eastAsia"/>
                      <w:color w:val="auto"/>
                      <w:kern w:val="0"/>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在《全国重要江河湖泊水功能区划》划定的河段及湖泊保护区、保留区内投资建设不利于水资源及自然生态保护的项目。</w:t>
                  </w:r>
                </w:p>
              </w:tc>
              <w:tc>
                <w:tcPr>
                  <w:tcW w:w="1704" w:type="pct"/>
                  <w:shd w:val="clear" w:color="auto" w:fill="auto"/>
                  <w:vAlign w:val="center"/>
                </w:tcPr>
                <w:p w14:paraId="01E6F70D">
                  <w:pPr>
                    <w:autoSpaceDE w:val="0"/>
                    <w:autoSpaceDN w:val="0"/>
                    <w:adjustRightInd w:val="0"/>
                    <w:snapToGrid w:val="0"/>
                    <w:spacing w:before="60" w:after="60"/>
                    <w:jc w:val="center"/>
                    <w:rPr>
                      <w:color w:val="auto"/>
                      <w:kern w:val="0"/>
                      <w:szCs w:val="21"/>
                    </w:rPr>
                  </w:pPr>
                  <w:r>
                    <w:rPr>
                      <w:rFonts w:hint="eastAsia"/>
                      <w:color w:val="auto"/>
                      <w:kern w:val="0"/>
                      <w:szCs w:val="21"/>
                    </w:rPr>
                    <w:t>本项目不占用长江流域河湖岸线、不占用《长江岸线保护和开发利用总体规划》划定的岸线保护区和保留区、不占用《全国重要江河湖泊水功能区划》划定的河段及湖泊保护区、保留区。</w:t>
                  </w:r>
                </w:p>
              </w:tc>
              <w:tc>
                <w:tcPr>
                  <w:tcW w:w="676" w:type="pct"/>
                  <w:shd w:val="clear" w:color="auto" w:fill="auto"/>
                  <w:vAlign w:val="center"/>
                </w:tcPr>
                <w:p w14:paraId="5FCBF316">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r w14:paraId="3DFF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7BA37F43">
                  <w:pPr>
                    <w:autoSpaceDE w:val="0"/>
                    <w:autoSpaceDN w:val="0"/>
                    <w:adjustRightInd w:val="0"/>
                    <w:snapToGrid w:val="0"/>
                    <w:spacing w:before="60" w:after="60"/>
                    <w:jc w:val="center"/>
                    <w:rPr>
                      <w:color w:val="auto"/>
                      <w:kern w:val="0"/>
                      <w:szCs w:val="21"/>
                    </w:rPr>
                  </w:pPr>
                  <w:r>
                    <w:rPr>
                      <w:rFonts w:hint="eastAsia"/>
                      <w:color w:val="auto"/>
                      <w:kern w:val="0"/>
                      <w:szCs w:val="21"/>
                    </w:rPr>
                    <w:t>禁止未经许可在长江干支流及湖泊新设、改设或扩大排污口。</w:t>
                  </w:r>
                </w:p>
              </w:tc>
              <w:tc>
                <w:tcPr>
                  <w:tcW w:w="1704" w:type="pct"/>
                  <w:shd w:val="clear" w:color="auto" w:fill="auto"/>
                  <w:vAlign w:val="center"/>
                </w:tcPr>
                <w:p w14:paraId="1F216407">
                  <w:pPr>
                    <w:autoSpaceDE w:val="0"/>
                    <w:autoSpaceDN w:val="0"/>
                    <w:adjustRightInd w:val="0"/>
                    <w:snapToGrid w:val="0"/>
                    <w:spacing w:before="60" w:after="60"/>
                    <w:jc w:val="center"/>
                    <w:rPr>
                      <w:color w:val="auto"/>
                      <w:kern w:val="0"/>
                      <w:szCs w:val="21"/>
                    </w:rPr>
                  </w:pPr>
                  <w:r>
                    <w:rPr>
                      <w:rFonts w:hint="eastAsia"/>
                      <w:color w:val="auto"/>
                      <w:kern w:val="0"/>
                      <w:szCs w:val="21"/>
                    </w:rPr>
                    <w:t>本项目废水不外排。</w:t>
                  </w:r>
                </w:p>
              </w:tc>
              <w:tc>
                <w:tcPr>
                  <w:tcW w:w="676" w:type="pct"/>
                  <w:shd w:val="clear" w:color="auto" w:fill="auto"/>
                  <w:vAlign w:val="center"/>
                </w:tcPr>
                <w:p w14:paraId="7F945369">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r w14:paraId="73C9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7D873806">
                  <w:pPr>
                    <w:autoSpaceDE w:val="0"/>
                    <w:autoSpaceDN w:val="0"/>
                    <w:adjustRightInd w:val="0"/>
                    <w:snapToGrid w:val="0"/>
                    <w:spacing w:before="60" w:after="60"/>
                    <w:jc w:val="center"/>
                    <w:rPr>
                      <w:color w:val="auto"/>
                      <w:kern w:val="0"/>
                      <w:szCs w:val="21"/>
                    </w:rPr>
                  </w:pPr>
                  <w:r>
                    <w:rPr>
                      <w:rFonts w:hint="eastAsia"/>
                      <w:color w:val="auto"/>
                      <w:kern w:val="0"/>
                      <w:szCs w:val="21"/>
                    </w:rPr>
                    <w:t>禁止在“一江一口两湖七河”和332个水生生物保护区开展生产性捕捞。</w:t>
                  </w:r>
                </w:p>
              </w:tc>
              <w:tc>
                <w:tcPr>
                  <w:tcW w:w="1704" w:type="pct"/>
                  <w:shd w:val="clear" w:color="auto" w:fill="auto"/>
                  <w:vAlign w:val="center"/>
                </w:tcPr>
                <w:p w14:paraId="13AA6437">
                  <w:pPr>
                    <w:autoSpaceDE w:val="0"/>
                    <w:autoSpaceDN w:val="0"/>
                    <w:adjustRightInd w:val="0"/>
                    <w:snapToGrid w:val="0"/>
                    <w:spacing w:before="60" w:after="60"/>
                    <w:jc w:val="center"/>
                    <w:rPr>
                      <w:color w:val="auto"/>
                      <w:kern w:val="0"/>
                      <w:szCs w:val="21"/>
                    </w:rPr>
                  </w:pPr>
                  <w:r>
                    <w:rPr>
                      <w:rFonts w:hint="eastAsia"/>
                      <w:color w:val="auto"/>
                      <w:kern w:val="0"/>
                      <w:szCs w:val="21"/>
                    </w:rPr>
                    <w:t>本项目不涉及捕捞。</w:t>
                  </w:r>
                </w:p>
              </w:tc>
              <w:tc>
                <w:tcPr>
                  <w:tcW w:w="676" w:type="pct"/>
                  <w:shd w:val="clear" w:color="auto" w:fill="auto"/>
                  <w:vAlign w:val="center"/>
                </w:tcPr>
                <w:p w14:paraId="7DD3B839">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r w14:paraId="5EC5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1B5E65DC">
                  <w:pPr>
                    <w:autoSpaceDE w:val="0"/>
                    <w:autoSpaceDN w:val="0"/>
                    <w:adjustRightInd w:val="0"/>
                    <w:snapToGrid w:val="0"/>
                    <w:spacing w:before="60" w:after="60"/>
                    <w:jc w:val="center"/>
                    <w:rPr>
                      <w:color w:val="auto"/>
                      <w:kern w:val="0"/>
                      <w:szCs w:val="21"/>
                    </w:rPr>
                  </w:pPr>
                  <w:r>
                    <w:rPr>
                      <w:rFonts w:hint="eastAsia"/>
                      <w:color w:val="auto"/>
                      <w:kern w:val="0"/>
                      <w:szCs w:val="21"/>
                    </w:rPr>
                    <w:t>禁止在长江干支流、重要湖泊岸线一公里范国内新建、扩建化工园区和化工项目。禁止在长江干流岸线三公里花围内和重要支流岸线一公里范围内新建、改建、扩建尾矿库、冶炼渣库和磷石膏库，以提升安全、生态环境保护水平为目的的改建除外。</w:t>
                  </w:r>
                </w:p>
              </w:tc>
              <w:tc>
                <w:tcPr>
                  <w:tcW w:w="1704" w:type="pct"/>
                  <w:shd w:val="clear" w:color="auto" w:fill="auto"/>
                  <w:vAlign w:val="center"/>
                </w:tcPr>
                <w:p w14:paraId="4C668159">
                  <w:pPr>
                    <w:autoSpaceDE w:val="0"/>
                    <w:autoSpaceDN w:val="0"/>
                    <w:adjustRightInd w:val="0"/>
                    <w:snapToGrid w:val="0"/>
                    <w:spacing w:before="60" w:after="60"/>
                    <w:jc w:val="center"/>
                    <w:rPr>
                      <w:color w:val="auto"/>
                      <w:kern w:val="0"/>
                      <w:szCs w:val="21"/>
                    </w:rPr>
                  </w:pPr>
                  <w:r>
                    <w:rPr>
                      <w:rFonts w:hint="eastAsia"/>
                      <w:color w:val="auto"/>
                      <w:kern w:val="0"/>
                      <w:szCs w:val="21"/>
                    </w:rPr>
                    <w:t>本项目不在长江干支流、重要湖泊岸线一公里及三公里范围内</w:t>
                  </w:r>
                </w:p>
              </w:tc>
              <w:tc>
                <w:tcPr>
                  <w:tcW w:w="676" w:type="pct"/>
                  <w:shd w:val="clear" w:color="auto" w:fill="auto"/>
                  <w:vAlign w:val="center"/>
                </w:tcPr>
                <w:p w14:paraId="149EE2C0">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r w14:paraId="2AEEB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01A6BD9A">
                  <w:pPr>
                    <w:autoSpaceDE w:val="0"/>
                    <w:autoSpaceDN w:val="0"/>
                    <w:adjustRightInd w:val="0"/>
                    <w:snapToGrid w:val="0"/>
                    <w:spacing w:before="60" w:after="60"/>
                    <w:jc w:val="center"/>
                    <w:rPr>
                      <w:color w:val="auto"/>
                      <w:kern w:val="0"/>
                      <w:szCs w:val="21"/>
                    </w:rPr>
                  </w:pPr>
                  <w:r>
                    <w:rPr>
                      <w:rFonts w:hint="eastAsia"/>
                      <w:color w:val="auto"/>
                      <w:kern w:val="0"/>
                      <w:szCs w:val="21"/>
                    </w:rPr>
                    <w:t>禁止在合规园区外新建、扩建钢铁、石化、化工、焦化、建材、有色，制浆造纸等高污染项目。</w:t>
                  </w:r>
                </w:p>
              </w:tc>
              <w:tc>
                <w:tcPr>
                  <w:tcW w:w="1704" w:type="pct"/>
                  <w:shd w:val="clear" w:color="auto" w:fill="auto"/>
                  <w:vAlign w:val="center"/>
                </w:tcPr>
                <w:p w14:paraId="6A21206F">
                  <w:pPr>
                    <w:autoSpaceDE w:val="0"/>
                    <w:autoSpaceDN w:val="0"/>
                    <w:adjustRightInd w:val="0"/>
                    <w:snapToGrid w:val="0"/>
                    <w:spacing w:before="60" w:after="60"/>
                    <w:jc w:val="center"/>
                    <w:rPr>
                      <w:color w:val="auto"/>
                      <w:kern w:val="0"/>
                      <w:szCs w:val="21"/>
                    </w:rPr>
                  </w:pPr>
                  <w:r>
                    <w:rPr>
                      <w:rFonts w:hint="eastAsia"/>
                      <w:color w:val="auto"/>
                      <w:kern w:val="0"/>
                      <w:szCs w:val="21"/>
                    </w:rPr>
                    <w:t>本项目不属于以上高污染项目</w:t>
                  </w:r>
                </w:p>
              </w:tc>
              <w:tc>
                <w:tcPr>
                  <w:tcW w:w="676" w:type="pct"/>
                  <w:shd w:val="clear" w:color="auto" w:fill="auto"/>
                  <w:vAlign w:val="center"/>
                </w:tcPr>
                <w:p w14:paraId="41A982D3">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r w14:paraId="7D6B2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7BBD65ED">
                  <w:pPr>
                    <w:autoSpaceDE w:val="0"/>
                    <w:autoSpaceDN w:val="0"/>
                    <w:adjustRightInd w:val="0"/>
                    <w:snapToGrid w:val="0"/>
                    <w:spacing w:before="60" w:after="60"/>
                    <w:jc w:val="center"/>
                    <w:rPr>
                      <w:color w:val="auto"/>
                      <w:kern w:val="0"/>
                      <w:szCs w:val="21"/>
                    </w:rPr>
                  </w:pPr>
                  <w:r>
                    <w:rPr>
                      <w:rFonts w:hint="eastAsia"/>
                      <w:color w:val="auto"/>
                      <w:kern w:val="0"/>
                      <w:szCs w:val="21"/>
                    </w:rPr>
                    <w:t>禁止新建、扩建不符合国家石化、现代煤化工等产业布局规划的项目。</w:t>
                  </w:r>
                </w:p>
              </w:tc>
              <w:tc>
                <w:tcPr>
                  <w:tcW w:w="1704" w:type="pct"/>
                  <w:shd w:val="clear" w:color="auto" w:fill="auto"/>
                  <w:vAlign w:val="center"/>
                </w:tcPr>
                <w:p w14:paraId="377672A1">
                  <w:pPr>
                    <w:autoSpaceDE w:val="0"/>
                    <w:autoSpaceDN w:val="0"/>
                    <w:adjustRightInd w:val="0"/>
                    <w:snapToGrid w:val="0"/>
                    <w:spacing w:before="60" w:after="60"/>
                    <w:jc w:val="center"/>
                    <w:rPr>
                      <w:color w:val="auto"/>
                      <w:kern w:val="0"/>
                      <w:szCs w:val="21"/>
                    </w:rPr>
                  </w:pPr>
                  <w:r>
                    <w:rPr>
                      <w:rFonts w:hint="eastAsia"/>
                      <w:color w:val="auto"/>
                      <w:kern w:val="0"/>
                      <w:szCs w:val="21"/>
                    </w:rPr>
                    <w:t>本项目不属于石化、煤化工行业。</w:t>
                  </w:r>
                </w:p>
              </w:tc>
              <w:tc>
                <w:tcPr>
                  <w:tcW w:w="676" w:type="pct"/>
                  <w:shd w:val="clear" w:color="auto" w:fill="auto"/>
                  <w:vAlign w:val="center"/>
                </w:tcPr>
                <w:p w14:paraId="788140E3">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r w14:paraId="64A2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pct"/>
                  <w:shd w:val="clear" w:color="auto" w:fill="auto"/>
                  <w:vAlign w:val="center"/>
                </w:tcPr>
                <w:p w14:paraId="47033400">
                  <w:pPr>
                    <w:autoSpaceDE w:val="0"/>
                    <w:autoSpaceDN w:val="0"/>
                    <w:adjustRightInd w:val="0"/>
                    <w:snapToGrid w:val="0"/>
                    <w:spacing w:before="60" w:after="60"/>
                    <w:jc w:val="center"/>
                    <w:rPr>
                      <w:color w:val="auto"/>
                      <w:kern w:val="0"/>
                      <w:szCs w:val="21"/>
                    </w:rPr>
                  </w:pPr>
                  <w:r>
                    <w:rPr>
                      <w:rFonts w:hint="eastAsia"/>
                      <w:color w:val="auto"/>
                      <w:kern w:val="0"/>
                      <w:szCs w:val="21"/>
                    </w:rPr>
                    <w:t>禁止新建、扩建法律法规和相关政策明令禁止的落后产能项目。禁止新建，扩建不符合国家产能置换要求的严重过剩产能行业的项目。禁止新建、扩建不符合要求的高耗能高排放项目。</w:t>
                  </w:r>
                </w:p>
              </w:tc>
              <w:tc>
                <w:tcPr>
                  <w:tcW w:w="1704" w:type="pct"/>
                  <w:shd w:val="clear" w:color="auto" w:fill="auto"/>
                  <w:vAlign w:val="center"/>
                </w:tcPr>
                <w:p w14:paraId="4F558D82">
                  <w:pPr>
                    <w:autoSpaceDE w:val="0"/>
                    <w:autoSpaceDN w:val="0"/>
                    <w:adjustRightInd w:val="0"/>
                    <w:snapToGrid w:val="0"/>
                    <w:spacing w:before="60" w:after="60"/>
                    <w:jc w:val="center"/>
                    <w:rPr>
                      <w:color w:val="auto"/>
                      <w:kern w:val="0"/>
                      <w:szCs w:val="21"/>
                    </w:rPr>
                  </w:pPr>
                  <w:r>
                    <w:rPr>
                      <w:rFonts w:hint="eastAsia"/>
                      <w:color w:val="auto"/>
                      <w:kern w:val="0"/>
                      <w:szCs w:val="21"/>
                    </w:rPr>
                    <w:t>本项目不属于落后产能项目、不属于国家产能置换要求的严重过剩产能行业的项目、不属于高耗能高排放项目。</w:t>
                  </w:r>
                </w:p>
              </w:tc>
              <w:tc>
                <w:tcPr>
                  <w:tcW w:w="676" w:type="pct"/>
                  <w:shd w:val="clear" w:color="auto" w:fill="auto"/>
                  <w:vAlign w:val="center"/>
                </w:tcPr>
                <w:p w14:paraId="63B11065">
                  <w:pPr>
                    <w:autoSpaceDE w:val="0"/>
                    <w:autoSpaceDN w:val="0"/>
                    <w:adjustRightInd w:val="0"/>
                    <w:snapToGrid w:val="0"/>
                    <w:spacing w:before="60" w:after="60"/>
                    <w:jc w:val="center"/>
                    <w:rPr>
                      <w:color w:val="auto"/>
                      <w:kern w:val="0"/>
                      <w:szCs w:val="21"/>
                    </w:rPr>
                  </w:pPr>
                  <w:r>
                    <w:rPr>
                      <w:rFonts w:hint="eastAsia"/>
                      <w:color w:val="auto"/>
                      <w:kern w:val="0"/>
                      <w:szCs w:val="21"/>
                    </w:rPr>
                    <w:t>符合</w:t>
                  </w:r>
                </w:p>
              </w:tc>
            </w:tr>
          </w:tbl>
          <w:p w14:paraId="2F5A7EDC">
            <w:pPr>
              <w:pStyle w:val="55"/>
              <w:keepNext w:val="0"/>
              <w:keepLines w:val="0"/>
              <w:pageBreakBefore w:val="0"/>
              <w:widowControl w:val="0"/>
              <w:kinsoku/>
              <w:wordWrap/>
              <w:overflowPunct/>
              <w:topLinePunct w:val="0"/>
              <w:autoSpaceDE/>
              <w:autoSpaceDN/>
              <w:bidi w:val="0"/>
              <w:adjustRightInd w:val="0"/>
              <w:snapToGrid w:val="0"/>
              <w:spacing w:before="157" w:beforeLines="50"/>
              <w:ind w:firstLine="0" w:firstLineChars="0"/>
              <w:textAlignment w:val="auto"/>
              <w:rPr>
                <w:rFonts w:hint="eastAsia"/>
                <w:b/>
                <w:color w:val="auto"/>
                <w:sz w:val="24"/>
                <w:szCs w:val="24"/>
                <w:lang w:eastAsia="zh-CN"/>
              </w:rPr>
            </w:pPr>
            <w:r>
              <w:rPr>
                <w:rFonts w:hint="eastAsia"/>
                <w:b/>
                <w:bCs/>
                <w:color w:val="auto"/>
                <w:sz w:val="24"/>
              </w:rPr>
              <w:t>7、</w:t>
            </w:r>
            <w:r>
              <w:rPr>
                <w:rFonts w:hint="eastAsia"/>
                <w:b/>
                <w:color w:val="auto"/>
                <w:sz w:val="24"/>
                <w:szCs w:val="24"/>
              </w:rPr>
              <w:t>与《食品生产通用卫生规范》符合性分析</w:t>
            </w:r>
          </w:p>
          <w:p w14:paraId="5E5A2CFE">
            <w:pPr>
              <w:pStyle w:val="56"/>
              <w:spacing w:line="240" w:lineRule="auto"/>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表</w:t>
            </w:r>
            <w:r>
              <w:rPr>
                <w:rFonts w:ascii="Times New Roman" w:hAnsi="Times New Roman" w:eastAsia="宋体" w:cs="Times New Roman"/>
                <w:b/>
                <w:bCs/>
                <w:color w:val="auto"/>
                <w:kern w:val="2"/>
                <w:sz w:val="21"/>
                <w:szCs w:val="21"/>
                <w:lang w:val="en-US" w:eastAsia="zh-CN" w:bidi="ar-SA"/>
              </w:rPr>
              <w:t>1</w:t>
            </w:r>
            <w:r>
              <w:rPr>
                <w:rFonts w:hint="eastAsia" w:ascii="Times New Roman" w:hAnsi="Times New Roman" w:eastAsia="宋体" w:cs="Times New Roman"/>
                <w:b/>
                <w:bCs/>
                <w:color w:val="auto"/>
                <w:kern w:val="2"/>
                <w:sz w:val="21"/>
                <w:szCs w:val="21"/>
                <w:lang w:val="en-US" w:eastAsia="zh-CN" w:bidi="ar-SA"/>
              </w:rPr>
              <w:t>-</w:t>
            </w:r>
            <w:r>
              <w:rPr>
                <w:rFonts w:hint="eastAsia" w:cs="Times New Roman"/>
                <w:b/>
                <w:bCs/>
                <w:color w:val="auto"/>
                <w:kern w:val="2"/>
                <w:sz w:val="21"/>
                <w:szCs w:val="21"/>
                <w:lang w:val="en-US" w:eastAsia="zh-CN" w:bidi="ar-SA"/>
              </w:rPr>
              <w:t>4</w:t>
            </w:r>
            <w:r>
              <w:rPr>
                <w:rFonts w:ascii="Times New Roman" w:hAnsi="Times New Roman" w:eastAsia="宋体" w:cs="Times New Roman"/>
                <w:b/>
                <w:bCs/>
                <w:color w:val="auto"/>
                <w:kern w:val="2"/>
                <w:sz w:val="21"/>
                <w:szCs w:val="21"/>
                <w:lang w:val="en-US" w:eastAsia="zh-CN" w:bidi="ar-SA"/>
              </w:rPr>
              <w:t xml:space="preserve"> </w:t>
            </w:r>
            <w:r>
              <w:rPr>
                <w:rFonts w:hint="eastAsia" w:ascii="Times New Roman" w:hAnsi="Times New Roman" w:eastAsia="宋体" w:cs="Times New Roman"/>
                <w:b/>
                <w:bCs/>
                <w:color w:val="auto"/>
                <w:kern w:val="2"/>
                <w:sz w:val="21"/>
                <w:szCs w:val="21"/>
                <w:lang w:val="en-US" w:eastAsia="zh-CN" w:bidi="ar-SA"/>
              </w:rPr>
              <w:tab/>
            </w:r>
            <w:r>
              <w:rPr>
                <w:rFonts w:hint="eastAsia" w:ascii="Times New Roman" w:hAnsi="Times New Roman" w:eastAsia="宋体" w:cs="Times New Roman"/>
                <w:b/>
                <w:bCs/>
                <w:color w:val="auto"/>
                <w:kern w:val="2"/>
                <w:sz w:val="21"/>
                <w:szCs w:val="21"/>
                <w:lang w:val="en-US" w:eastAsia="zh-CN" w:bidi="ar-SA"/>
              </w:rPr>
              <w:t>与“《食品生产通用卫生规范》”相符性分析</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2860"/>
              <w:gridCol w:w="884"/>
            </w:tblGrid>
            <w:tr w14:paraId="0F182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8" w:type="pct"/>
                  <w:noWrap w:val="0"/>
                  <w:vAlign w:val="center"/>
                </w:tcPr>
                <w:p w14:paraId="5ABA5CA8">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选址方案要求</w:t>
                  </w:r>
                </w:p>
              </w:tc>
              <w:tc>
                <w:tcPr>
                  <w:tcW w:w="2048" w:type="pct"/>
                  <w:noWrap w:val="0"/>
                  <w:vAlign w:val="center"/>
                </w:tcPr>
                <w:p w14:paraId="43E3BA27">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符合性分析</w:t>
                  </w:r>
                </w:p>
              </w:tc>
              <w:tc>
                <w:tcPr>
                  <w:tcW w:w="633" w:type="pct"/>
                  <w:noWrap w:val="0"/>
                  <w:vAlign w:val="center"/>
                </w:tcPr>
                <w:p w14:paraId="4401A5FF">
                  <w:pPr>
                    <w:autoSpaceDE w:val="0"/>
                    <w:autoSpaceDN w:val="0"/>
                    <w:adjustRightInd w:val="0"/>
                    <w:snapToGrid w:val="0"/>
                    <w:spacing w:before="60" w:after="60"/>
                    <w:jc w:val="center"/>
                    <w:rPr>
                      <w:rFonts w:hint="eastAsia"/>
                      <w:color w:val="auto"/>
                      <w:kern w:val="0"/>
                      <w:szCs w:val="21"/>
                    </w:rPr>
                  </w:pPr>
                  <w:r>
                    <w:rPr>
                      <w:color w:val="auto"/>
                      <w:kern w:val="0"/>
                      <w:szCs w:val="21"/>
                    </w:rPr>
                    <w:t>相符性</w:t>
                  </w:r>
                </w:p>
              </w:tc>
            </w:tr>
            <w:tr w14:paraId="2C45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8" w:type="pct"/>
                  <w:noWrap w:val="0"/>
                  <w:vAlign w:val="center"/>
                </w:tcPr>
                <w:p w14:paraId="3EDCB577">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3.1.1厂区不应选择对食品有显著污染的区域。如某地对食品安全和食品宜食用性存在明显的不利影响，且无法通过采取措施加以改善，应避免在该地址建厂</w:t>
                  </w:r>
                </w:p>
              </w:tc>
              <w:tc>
                <w:tcPr>
                  <w:tcW w:w="2048" w:type="pct"/>
                  <w:noWrap w:val="0"/>
                  <w:vAlign w:val="center"/>
                </w:tcPr>
                <w:p w14:paraId="4D9FACBD">
                  <w:pPr>
                    <w:autoSpaceDE w:val="0"/>
                    <w:autoSpaceDN w:val="0"/>
                    <w:adjustRightInd w:val="0"/>
                    <w:snapToGrid w:val="0"/>
                    <w:spacing w:before="60" w:after="60"/>
                    <w:jc w:val="center"/>
                    <w:rPr>
                      <w:rFonts w:hint="eastAsia" w:eastAsia="宋体"/>
                      <w:color w:val="auto"/>
                      <w:kern w:val="0"/>
                      <w:szCs w:val="21"/>
                      <w:lang w:val="en-US" w:eastAsia="zh-CN"/>
                    </w:rPr>
                  </w:pPr>
                  <w:r>
                    <w:rPr>
                      <w:rFonts w:hint="eastAsia"/>
                      <w:color w:val="auto"/>
                      <w:kern w:val="0"/>
                      <w:szCs w:val="21"/>
                    </w:rPr>
                    <w:t>项目选择区域</w:t>
                  </w:r>
                  <w:r>
                    <w:rPr>
                      <w:rFonts w:hint="eastAsia"/>
                      <w:color w:val="auto"/>
                      <w:kern w:val="0"/>
                      <w:szCs w:val="21"/>
                      <w:lang w:eastAsia="zh-CN"/>
                    </w:rPr>
                    <w:t>位于本项目位于潘集区架河镇小郢村架河循环产业园内，厂区周边</w:t>
                  </w:r>
                  <w:r>
                    <w:rPr>
                      <w:rFonts w:hint="eastAsia"/>
                      <w:color w:val="auto"/>
                      <w:kern w:val="0"/>
                      <w:szCs w:val="21"/>
                    </w:rPr>
                    <w:t>对食品没有显著的污染</w:t>
                  </w:r>
                  <w:r>
                    <w:rPr>
                      <w:rFonts w:hint="eastAsia"/>
                      <w:color w:val="auto"/>
                      <w:kern w:val="0"/>
                      <w:szCs w:val="21"/>
                      <w:lang w:val="en-US" w:eastAsia="zh-CN"/>
                    </w:rPr>
                    <w:t>企业</w:t>
                  </w:r>
                </w:p>
              </w:tc>
              <w:tc>
                <w:tcPr>
                  <w:tcW w:w="633" w:type="pct"/>
                  <w:noWrap w:val="0"/>
                  <w:vAlign w:val="center"/>
                </w:tcPr>
                <w:p w14:paraId="109D14F1">
                  <w:pPr>
                    <w:autoSpaceDE w:val="0"/>
                    <w:autoSpaceDN w:val="0"/>
                    <w:adjustRightInd w:val="0"/>
                    <w:snapToGrid w:val="0"/>
                    <w:spacing w:before="60" w:after="60"/>
                    <w:jc w:val="center"/>
                    <w:rPr>
                      <w:rFonts w:hint="eastAsia"/>
                      <w:color w:val="auto"/>
                      <w:kern w:val="0"/>
                      <w:szCs w:val="21"/>
                    </w:rPr>
                  </w:pPr>
                  <w:r>
                    <w:rPr>
                      <w:color w:val="auto"/>
                      <w:kern w:val="0"/>
                      <w:szCs w:val="21"/>
                    </w:rPr>
                    <w:t>符合</w:t>
                  </w:r>
                </w:p>
              </w:tc>
            </w:tr>
            <w:tr w14:paraId="7DE3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8" w:type="pct"/>
                  <w:noWrap w:val="0"/>
                  <w:vAlign w:val="center"/>
                </w:tcPr>
                <w:p w14:paraId="2AE7A9E5">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3.1.2厂区不应选择有害废弃物以及粉尘、有害气体、放射性物质和其他扩散性污染源不能有效清除的地址</w:t>
                  </w:r>
                </w:p>
              </w:tc>
              <w:tc>
                <w:tcPr>
                  <w:tcW w:w="2048" w:type="pct"/>
                  <w:noWrap w:val="0"/>
                  <w:vAlign w:val="center"/>
                </w:tcPr>
                <w:p w14:paraId="5CC0925C">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项目选择区域位于潘集区架河镇小郢村架河循环产业园内，根据周边企业调查，周边企业均</w:t>
                  </w:r>
                  <w:r>
                    <w:rPr>
                      <w:rFonts w:hint="eastAsia"/>
                      <w:color w:val="auto"/>
                      <w:kern w:val="0"/>
                      <w:szCs w:val="21"/>
                      <w:lang w:eastAsia="zh-CN"/>
                    </w:rPr>
                    <w:t>不含</w:t>
                  </w:r>
                  <w:r>
                    <w:rPr>
                      <w:rFonts w:hint="eastAsia"/>
                      <w:color w:val="auto"/>
                      <w:kern w:val="0"/>
                      <w:szCs w:val="21"/>
                    </w:rPr>
                    <w:t>有害废弃物</w:t>
                  </w:r>
                  <w:r>
                    <w:rPr>
                      <w:rFonts w:hint="eastAsia"/>
                      <w:color w:val="auto"/>
                      <w:kern w:val="0"/>
                      <w:szCs w:val="21"/>
                      <w:lang w:eastAsia="zh-CN"/>
                    </w:rPr>
                    <w:t>、</w:t>
                  </w:r>
                  <w:r>
                    <w:rPr>
                      <w:rFonts w:hint="eastAsia"/>
                      <w:color w:val="auto"/>
                      <w:kern w:val="0"/>
                      <w:szCs w:val="21"/>
                    </w:rPr>
                    <w:t>粉尘、有害气体、放射性物质和其他扩散性污染源</w:t>
                  </w:r>
                </w:p>
              </w:tc>
              <w:tc>
                <w:tcPr>
                  <w:tcW w:w="633" w:type="pct"/>
                  <w:noWrap w:val="0"/>
                  <w:vAlign w:val="center"/>
                </w:tcPr>
                <w:p w14:paraId="5FA8F432">
                  <w:pPr>
                    <w:autoSpaceDE w:val="0"/>
                    <w:autoSpaceDN w:val="0"/>
                    <w:adjustRightInd w:val="0"/>
                    <w:snapToGrid w:val="0"/>
                    <w:spacing w:before="60" w:after="60"/>
                    <w:jc w:val="center"/>
                    <w:rPr>
                      <w:rFonts w:hint="eastAsia"/>
                      <w:color w:val="auto"/>
                      <w:kern w:val="0"/>
                      <w:szCs w:val="21"/>
                    </w:rPr>
                  </w:pPr>
                  <w:r>
                    <w:rPr>
                      <w:color w:val="auto"/>
                      <w:kern w:val="0"/>
                      <w:szCs w:val="21"/>
                    </w:rPr>
                    <w:t>符合</w:t>
                  </w:r>
                </w:p>
              </w:tc>
            </w:tr>
            <w:tr w14:paraId="7AA5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8" w:type="pct"/>
                  <w:noWrap w:val="0"/>
                  <w:vAlign w:val="center"/>
                </w:tcPr>
                <w:p w14:paraId="2FCD23D0">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3.1.3厂区不宜择易发生洪涝灾害的地区，难以避开时应设计必要的防范措施</w:t>
                  </w:r>
                </w:p>
              </w:tc>
              <w:tc>
                <w:tcPr>
                  <w:tcW w:w="2048" w:type="pct"/>
                  <w:noWrap w:val="0"/>
                  <w:vAlign w:val="center"/>
                </w:tcPr>
                <w:p w14:paraId="4EC08F48">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项目选择区域不在发生洪涝灾害的地区内</w:t>
                  </w:r>
                </w:p>
              </w:tc>
              <w:tc>
                <w:tcPr>
                  <w:tcW w:w="633" w:type="pct"/>
                  <w:noWrap w:val="0"/>
                  <w:vAlign w:val="center"/>
                </w:tcPr>
                <w:p w14:paraId="7FC42DA9">
                  <w:pPr>
                    <w:autoSpaceDE w:val="0"/>
                    <w:autoSpaceDN w:val="0"/>
                    <w:adjustRightInd w:val="0"/>
                    <w:snapToGrid w:val="0"/>
                    <w:spacing w:before="60" w:after="60"/>
                    <w:jc w:val="center"/>
                    <w:rPr>
                      <w:rFonts w:hint="eastAsia"/>
                      <w:color w:val="auto"/>
                      <w:kern w:val="0"/>
                      <w:szCs w:val="21"/>
                    </w:rPr>
                  </w:pPr>
                  <w:r>
                    <w:rPr>
                      <w:color w:val="auto"/>
                      <w:kern w:val="0"/>
                      <w:szCs w:val="21"/>
                    </w:rPr>
                    <w:t>符合</w:t>
                  </w:r>
                </w:p>
              </w:tc>
            </w:tr>
            <w:tr w14:paraId="7F1A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318" w:type="pct"/>
                  <w:noWrap w:val="0"/>
                  <w:vAlign w:val="center"/>
                </w:tcPr>
                <w:p w14:paraId="42A7B270">
                  <w:pPr>
                    <w:autoSpaceDE w:val="0"/>
                    <w:autoSpaceDN w:val="0"/>
                    <w:adjustRightInd w:val="0"/>
                    <w:snapToGrid w:val="0"/>
                    <w:spacing w:before="60" w:after="60"/>
                    <w:jc w:val="center"/>
                    <w:rPr>
                      <w:rFonts w:hint="eastAsia"/>
                      <w:color w:val="auto"/>
                      <w:kern w:val="0"/>
                      <w:szCs w:val="21"/>
                    </w:rPr>
                  </w:pPr>
                  <w:r>
                    <w:rPr>
                      <w:rFonts w:hint="eastAsia"/>
                      <w:color w:val="auto"/>
                      <w:kern w:val="0"/>
                      <w:szCs w:val="21"/>
                    </w:rPr>
                    <w:t>3.1.4厂区周围不宜有虫害大量孳生的潜在场所，难以避开时应设计必要的防范措施</w:t>
                  </w:r>
                </w:p>
              </w:tc>
              <w:tc>
                <w:tcPr>
                  <w:tcW w:w="2048" w:type="pct"/>
                  <w:noWrap w:val="0"/>
                  <w:vAlign w:val="center"/>
                </w:tcPr>
                <w:p w14:paraId="199545BC">
                  <w:pPr>
                    <w:autoSpaceDE w:val="0"/>
                    <w:autoSpaceDN w:val="0"/>
                    <w:adjustRightInd w:val="0"/>
                    <w:snapToGrid w:val="0"/>
                    <w:spacing w:before="60" w:after="60"/>
                    <w:jc w:val="center"/>
                    <w:rPr>
                      <w:rFonts w:hint="eastAsia" w:eastAsia="宋体"/>
                      <w:color w:val="auto"/>
                      <w:kern w:val="0"/>
                      <w:szCs w:val="21"/>
                      <w:lang w:eastAsia="zh-CN"/>
                    </w:rPr>
                  </w:pPr>
                  <w:r>
                    <w:rPr>
                      <w:rFonts w:hint="eastAsia"/>
                      <w:color w:val="auto"/>
                      <w:kern w:val="0"/>
                      <w:szCs w:val="21"/>
                    </w:rPr>
                    <w:t>本项目位于潘集区架河镇小郢村架河循环产业园内，</w:t>
                  </w:r>
                  <w:r>
                    <w:rPr>
                      <w:rFonts w:hint="eastAsia"/>
                      <w:color w:val="auto"/>
                      <w:kern w:val="0"/>
                      <w:szCs w:val="21"/>
                      <w:lang w:eastAsia="zh-CN"/>
                    </w:rPr>
                    <w:t>项目周边主要为</w:t>
                  </w:r>
                  <w:r>
                    <w:rPr>
                      <w:rFonts w:hint="eastAsia"/>
                      <w:color w:val="auto"/>
                      <w:kern w:val="0"/>
                      <w:szCs w:val="21"/>
                    </w:rPr>
                    <w:t>循环产业园</w:t>
                  </w:r>
                  <w:r>
                    <w:rPr>
                      <w:rFonts w:hint="eastAsia"/>
                      <w:color w:val="auto"/>
                      <w:kern w:val="0"/>
                      <w:szCs w:val="21"/>
                      <w:lang w:eastAsia="zh-CN"/>
                    </w:rPr>
                    <w:t>内种植区和养殖区，本项目选址距离</w:t>
                  </w:r>
                  <w:r>
                    <w:rPr>
                      <w:rFonts w:hint="eastAsia"/>
                      <w:color w:val="auto"/>
                      <w:kern w:val="0"/>
                      <w:szCs w:val="21"/>
                      <w:lang w:val="en-US" w:eastAsia="zh-CN"/>
                    </w:rPr>
                    <w:t>畜禽</w:t>
                  </w:r>
                  <w:r>
                    <w:rPr>
                      <w:rFonts w:hint="eastAsia"/>
                      <w:color w:val="auto"/>
                      <w:kern w:val="0"/>
                      <w:szCs w:val="21"/>
                      <w:lang w:eastAsia="zh-CN"/>
                    </w:rPr>
                    <w:t>养殖区距离约</w:t>
                  </w:r>
                  <w:r>
                    <w:rPr>
                      <w:rFonts w:hint="eastAsia"/>
                      <w:color w:val="auto"/>
                      <w:kern w:val="0"/>
                      <w:szCs w:val="21"/>
                      <w:lang w:val="en-US" w:eastAsia="zh-CN"/>
                    </w:rPr>
                    <w:t>400m</w:t>
                  </w:r>
                  <w:r>
                    <w:rPr>
                      <w:rFonts w:hint="eastAsia"/>
                      <w:color w:val="auto"/>
                      <w:kern w:val="0"/>
                      <w:szCs w:val="21"/>
                      <w:lang w:eastAsia="zh-CN"/>
                    </w:rPr>
                    <w:t>，位于养殖区边缘，因此对本项目有一定影响；项目区设置进行</w:t>
                  </w:r>
                  <w:r>
                    <w:rPr>
                      <w:rFonts w:hint="eastAsia"/>
                      <w:color w:val="auto"/>
                      <w:kern w:val="0"/>
                      <w:szCs w:val="21"/>
                      <w:lang w:val="en-US" w:eastAsia="zh-CN"/>
                    </w:rPr>
                    <w:t>日常</w:t>
                  </w:r>
                  <w:r>
                    <w:rPr>
                      <w:rFonts w:hint="eastAsia"/>
                      <w:color w:val="auto"/>
                      <w:kern w:val="0"/>
                      <w:szCs w:val="21"/>
                      <w:lang w:eastAsia="zh-CN"/>
                    </w:rPr>
                    <w:t>消杀</w:t>
                  </w:r>
                  <w:r>
                    <w:rPr>
                      <w:rFonts w:hint="eastAsia"/>
                      <w:color w:val="auto"/>
                      <w:kern w:val="0"/>
                      <w:szCs w:val="21"/>
                      <w:lang w:val="en-US" w:eastAsia="zh-CN"/>
                    </w:rPr>
                    <w:t>作业</w:t>
                  </w:r>
                  <w:r>
                    <w:rPr>
                      <w:rFonts w:hint="eastAsia"/>
                      <w:color w:val="auto"/>
                      <w:kern w:val="0"/>
                      <w:szCs w:val="21"/>
                      <w:lang w:eastAsia="zh-CN"/>
                    </w:rPr>
                    <w:t>，</w:t>
                  </w:r>
                  <w:r>
                    <w:rPr>
                      <w:rFonts w:hint="eastAsia"/>
                      <w:color w:val="auto"/>
                      <w:kern w:val="0"/>
                      <w:szCs w:val="21"/>
                      <w:lang w:val="en-US" w:eastAsia="zh-CN"/>
                    </w:rPr>
                    <w:t>可降低</w:t>
                  </w:r>
                  <w:r>
                    <w:rPr>
                      <w:rFonts w:hint="eastAsia"/>
                      <w:color w:val="auto"/>
                      <w:kern w:val="0"/>
                      <w:szCs w:val="21"/>
                      <w:lang w:eastAsia="zh-CN"/>
                    </w:rPr>
                    <w:t>对本项目</w:t>
                  </w:r>
                  <w:r>
                    <w:rPr>
                      <w:rFonts w:hint="eastAsia"/>
                      <w:color w:val="auto"/>
                      <w:kern w:val="0"/>
                      <w:szCs w:val="21"/>
                      <w:lang w:val="en-US" w:eastAsia="zh-CN"/>
                    </w:rPr>
                    <w:t>的</w:t>
                  </w:r>
                  <w:r>
                    <w:rPr>
                      <w:rFonts w:hint="eastAsia"/>
                      <w:color w:val="auto"/>
                      <w:kern w:val="0"/>
                      <w:szCs w:val="21"/>
                      <w:lang w:eastAsia="zh-CN"/>
                    </w:rPr>
                    <w:t>影响</w:t>
                  </w:r>
                </w:p>
              </w:tc>
              <w:tc>
                <w:tcPr>
                  <w:tcW w:w="633" w:type="pct"/>
                  <w:noWrap w:val="0"/>
                  <w:vAlign w:val="center"/>
                </w:tcPr>
                <w:p w14:paraId="1CE16D88">
                  <w:pPr>
                    <w:autoSpaceDE w:val="0"/>
                    <w:autoSpaceDN w:val="0"/>
                    <w:adjustRightInd w:val="0"/>
                    <w:snapToGrid w:val="0"/>
                    <w:spacing w:before="60" w:after="60"/>
                    <w:jc w:val="center"/>
                    <w:rPr>
                      <w:rFonts w:hint="eastAsia"/>
                      <w:color w:val="auto"/>
                      <w:kern w:val="0"/>
                      <w:szCs w:val="21"/>
                    </w:rPr>
                  </w:pPr>
                  <w:r>
                    <w:rPr>
                      <w:color w:val="auto"/>
                      <w:kern w:val="0"/>
                      <w:szCs w:val="21"/>
                    </w:rPr>
                    <w:t>符合</w:t>
                  </w:r>
                </w:p>
              </w:tc>
            </w:tr>
          </w:tbl>
          <w:p w14:paraId="4529FC55">
            <w:pPr>
              <w:spacing w:line="360" w:lineRule="auto"/>
              <w:ind w:firstLine="482" w:firstLineChars="200"/>
              <w:rPr>
                <w:b/>
                <w:bCs/>
                <w:color w:val="auto"/>
                <w:sz w:val="24"/>
              </w:rPr>
            </w:pPr>
          </w:p>
          <w:p w14:paraId="1D0183A7">
            <w:pPr>
              <w:pStyle w:val="34"/>
              <w:numPr>
                <w:ilvl w:val="1"/>
                <w:numId w:val="0"/>
              </w:numPr>
              <w:rPr>
                <w:rFonts w:ascii="Times New Roman" w:hAnsi="Times New Roman" w:cs="Times New Roman"/>
                <w:color w:val="auto"/>
                <w:kern w:val="2"/>
              </w:rPr>
            </w:pPr>
          </w:p>
          <w:p w14:paraId="2FE16C33">
            <w:pPr>
              <w:pStyle w:val="34"/>
              <w:numPr>
                <w:ilvl w:val="1"/>
                <w:numId w:val="0"/>
              </w:numPr>
              <w:rPr>
                <w:rFonts w:ascii="Times New Roman" w:hAnsi="Times New Roman" w:cs="Times New Roman"/>
                <w:color w:val="auto"/>
                <w:kern w:val="2"/>
              </w:rPr>
            </w:pPr>
          </w:p>
          <w:p w14:paraId="3D5B6DBE">
            <w:pPr>
              <w:pStyle w:val="34"/>
              <w:numPr>
                <w:ilvl w:val="1"/>
                <w:numId w:val="0"/>
              </w:numPr>
              <w:rPr>
                <w:rFonts w:ascii="Times New Roman" w:hAnsi="Times New Roman" w:cs="Times New Roman"/>
                <w:color w:val="auto"/>
                <w:kern w:val="2"/>
              </w:rPr>
            </w:pPr>
          </w:p>
          <w:p w14:paraId="5C91C8D9">
            <w:pPr>
              <w:pStyle w:val="34"/>
              <w:numPr>
                <w:ilvl w:val="1"/>
                <w:numId w:val="0"/>
              </w:numPr>
              <w:rPr>
                <w:rFonts w:ascii="Times New Roman" w:hAnsi="Times New Roman" w:cs="Times New Roman"/>
                <w:color w:val="auto"/>
                <w:kern w:val="2"/>
              </w:rPr>
            </w:pPr>
          </w:p>
          <w:p w14:paraId="341EA2C1">
            <w:pPr>
              <w:pStyle w:val="34"/>
              <w:numPr>
                <w:ilvl w:val="1"/>
                <w:numId w:val="0"/>
              </w:numPr>
              <w:rPr>
                <w:rFonts w:ascii="Times New Roman" w:hAnsi="Times New Roman" w:cs="Times New Roman"/>
                <w:color w:val="auto"/>
                <w:kern w:val="2"/>
              </w:rPr>
            </w:pPr>
          </w:p>
          <w:p w14:paraId="62B90FDF">
            <w:pPr>
              <w:pStyle w:val="34"/>
              <w:numPr>
                <w:ilvl w:val="1"/>
                <w:numId w:val="0"/>
              </w:numPr>
              <w:rPr>
                <w:rFonts w:ascii="Times New Roman" w:hAnsi="Times New Roman" w:cs="Times New Roman"/>
                <w:color w:val="auto"/>
                <w:kern w:val="2"/>
              </w:rPr>
            </w:pPr>
          </w:p>
          <w:p w14:paraId="5DF8805D">
            <w:pPr>
              <w:pStyle w:val="34"/>
              <w:numPr>
                <w:ilvl w:val="1"/>
                <w:numId w:val="0"/>
              </w:numPr>
              <w:rPr>
                <w:rFonts w:ascii="Times New Roman" w:hAnsi="Times New Roman" w:cs="Times New Roman"/>
                <w:color w:val="auto"/>
                <w:kern w:val="2"/>
              </w:rPr>
            </w:pPr>
          </w:p>
          <w:p w14:paraId="042293E6">
            <w:pPr>
              <w:pStyle w:val="34"/>
              <w:numPr>
                <w:ilvl w:val="1"/>
                <w:numId w:val="0"/>
              </w:numPr>
              <w:rPr>
                <w:rFonts w:ascii="Times New Roman" w:hAnsi="Times New Roman" w:cs="Times New Roman"/>
                <w:color w:val="auto"/>
                <w:kern w:val="2"/>
              </w:rPr>
            </w:pPr>
          </w:p>
          <w:p w14:paraId="50F77595">
            <w:pPr>
              <w:pStyle w:val="34"/>
              <w:numPr>
                <w:ilvl w:val="1"/>
                <w:numId w:val="0"/>
              </w:numPr>
              <w:rPr>
                <w:rFonts w:ascii="Times New Roman" w:hAnsi="Times New Roman" w:cs="Times New Roman"/>
                <w:color w:val="auto"/>
                <w:kern w:val="2"/>
              </w:rPr>
            </w:pPr>
          </w:p>
          <w:p w14:paraId="4CAD5708">
            <w:pPr>
              <w:pStyle w:val="34"/>
              <w:numPr>
                <w:ilvl w:val="1"/>
                <w:numId w:val="0"/>
              </w:numPr>
              <w:rPr>
                <w:rFonts w:ascii="Times New Roman" w:hAnsi="Times New Roman" w:cs="Times New Roman"/>
                <w:color w:val="auto"/>
                <w:kern w:val="2"/>
              </w:rPr>
            </w:pPr>
          </w:p>
          <w:p w14:paraId="3737230C">
            <w:pPr>
              <w:pStyle w:val="34"/>
              <w:numPr>
                <w:ilvl w:val="1"/>
                <w:numId w:val="0"/>
              </w:numPr>
              <w:rPr>
                <w:rFonts w:hint="eastAsia" w:ascii="Times New Roman" w:hAnsi="Times New Roman" w:cs="Times New Roman"/>
                <w:color w:val="auto"/>
                <w:kern w:val="2"/>
                <w:lang w:eastAsia="zh-CN"/>
              </w:rPr>
            </w:pPr>
          </w:p>
          <w:p w14:paraId="1C5A6602">
            <w:pPr>
              <w:pStyle w:val="34"/>
              <w:numPr>
                <w:ilvl w:val="1"/>
                <w:numId w:val="0"/>
              </w:numPr>
              <w:rPr>
                <w:rFonts w:hint="eastAsia" w:ascii="Times New Roman" w:hAnsi="Times New Roman" w:cs="Times New Roman"/>
                <w:color w:val="auto"/>
                <w:kern w:val="2"/>
                <w:lang w:eastAsia="zh-CN"/>
              </w:rPr>
            </w:pPr>
          </w:p>
          <w:p w14:paraId="1CD19AF7">
            <w:pPr>
              <w:pStyle w:val="34"/>
              <w:numPr>
                <w:ilvl w:val="1"/>
                <w:numId w:val="0"/>
              </w:numPr>
              <w:rPr>
                <w:rFonts w:hint="eastAsia" w:ascii="Times New Roman" w:hAnsi="Times New Roman" w:cs="Times New Roman"/>
                <w:color w:val="auto"/>
                <w:kern w:val="2"/>
                <w:lang w:eastAsia="zh-CN"/>
              </w:rPr>
            </w:pPr>
          </w:p>
          <w:p w14:paraId="19EC06F0">
            <w:pPr>
              <w:pStyle w:val="34"/>
              <w:numPr>
                <w:ilvl w:val="1"/>
                <w:numId w:val="0"/>
              </w:numPr>
              <w:rPr>
                <w:rFonts w:hint="eastAsia" w:ascii="Times New Roman" w:hAnsi="Times New Roman" w:eastAsia="宋体" w:cs="Times New Roman"/>
                <w:color w:val="auto"/>
                <w:kern w:val="2"/>
                <w:lang w:eastAsia="zh-CN"/>
              </w:rPr>
            </w:pPr>
          </w:p>
        </w:tc>
      </w:tr>
    </w:tbl>
    <w:p w14:paraId="311BA895">
      <w:pPr>
        <w:spacing w:line="360" w:lineRule="auto"/>
        <w:outlineLvl w:val="0"/>
        <w:rPr>
          <w:rFonts w:eastAsia="黑体"/>
          <w:color w:val="auto"/>
          <w:kern w:val="21"/>
          <w:sz w:val="30"/>
        </w:rPr>
        <w:sectPr>
          <w:footerReference r:id="rId5" w:type="default"/>
          <w:pgSz w:w="11906" w:h="16838"/>
          <w:pgMar w:top="1701" w:right="1531" w:bottom="1701" w:left="1531" w:header="851" w:footer="1077" w:gutter="0"/>
          <w:pgNumType w:start="1"/>
          <w:cols w:space="720" w:num="1"/>
          <w:docGrid w:linePitch="312" w:charSpace="0"/>
        </w:sectPr>
      </w:pPr>
    </w:p>
    <w:p w14:paraId="68B8B2CC">
      <w:pPr>
        <w:pStyle w:val="25"/>
        <w:adjustRightInd w:val="0"/>
        <w:snapToGrid w:val="0"/>
        <w:jc w:val="center"/>
        <w:outlineLvl w:val="0"/>
        <w:rPr>
          <w:rFonts w:ascii="Times New Roman" w:hAnsi="Times New Roman" w:eastAsia="黑体"/>
          <w:snapToGrid w:val="0"/>
          <w:color w:val="auto"/>
          <w:kern w:val="21"/>
          <w:sz w:val="30"/>
          <w:szCs w:val="30"/>
        </w:rPr>
      </w:pPr>
      <w:r>
        <w:rPr>
          <w:rFonts w:ascii="Times New Roman" w:hAnsi="Times New Roman" w:eastAsia="黑体"/>
          <w:snapToGrid w:val="0"/>
          <w:color w:val="auto"/>
          <w:kern w:val="21"/>
          <w:sz w:val="30"/>
          <w:szCs w:val="30"/>
        </w:rPr>
        <w:t>二、建设项目工程分析</w:t>
      </w:r>
    </w:p>
    <w:tbl>
      <w:tblPr>
        <w:tblStyle w:val="29"/>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8522"/>
      </w:tblGrid>
      <w:tr w14:paraId="024728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67" w:type="dxa"/>
            <w:vAlign w:val="center"/>
          </w:tcPr>
          <w:p w14:paraId="0E59B350">
            <w:pPr>
              <w:pStyle w:val="25"/>
              <w:adjustRightInd w:val="0"/>
              <w:snapToGrid w:val="0"/>
              <w:spacing w:before="0" w:beforeAutospacing="0" w:after="0" w:afterAutospacing="0"/>
              <w:jc w:val="center"/>
              <w:rPr>
                <w:rFonts w:ascii="Times New Roman" w:hAnsi="Times New Roman"/>
                <w:color w:val="auto"/>
                <w:kern w:val="21"/>
                <w:sz w:val="21"/>
                <w:szCs w:val="21"/>
              </w:rPr>
            </w:pPr>
            <w:r>
              <w:rPr>
                <w:rFonts w:ascii="Times New Roman" w:hAnsi="Times New Roman"/>
                <w:b/>
                <w:bCs/>
                <w:color w:val="auto"/>
                <w:kern w:val="21"/>
                <w:szCs w:val="24"/>
              </w:rPr>
              <w:t>建设内容</w:t>
            </w:r>
          </w:p>
        </w:tc>
        <w:tc>
          <w:tcPr>
            <w:tcW w:w="8493" w:type="dxa"/>
            <w:vAlign w:val="center"/>
          </w:tcPr>
          <w:p w14:paraId="3C13EFD4">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2" w:firstLineChars="200"/>
              <w:textAlignment w:val="auto"/>
              <w:rPr>
                <w:b/>
                <w:color w:val="auto"/>
                <w:sz w:val="24"/>
              </w:rPr>
            </w:pPr>
            <w:r>
              <w:rPr>
                <w:rFonts w:hint="eastAsia"/>
                <w:b/>
                <w:bCs/>
                <w:color w:val="auto"/>
                <w:sz w:val="24"/>
              </w:rPr>
              <w:t>1、</w:t>
            </w:r>
            <w:r>
              <w:rPr>
                <w:rFonts w:hint="eastAsia"/>
                <w:b/>
                <w:color w:val="auto"/>
                <w:sz w:val="24"/>
              </w:rPr>
              <w:t>项目由来</w:t>
            </w:r>
          </w:p>
          <w:p w14:paraId="6DBA08AA">
            <w:pPr>
              <w:spacing w:line="360" w:lineRule="auto"/>
              <w:ind w:firstLine="480" w:firstLineChars="200"/>
              <w:rPr>
                <w:bCs/>
                <w:color w:val="auto"/>
                <w:sz w:val="24"/>
                <w:lang w:eastAsia="en-US"/>
              </w:rPr>
            </w:pPr>
            <w:r>
              <w:rPr>
                <w:rFonts w:hint="eastAsia"/>
                <w:bCs/>
                <w:color w:val="auto"/>
                <w:sz w:val="24"/>
                <w:lang w:eastAsia="en-US"/>
              </w:rPr>
              <w:t>安徽田福农业科技有限公司</w:t>
            </w:r>
            <w:r>
              <w:rPr>
                <w:rFonts w:hint="eastAsia"/>
                <w:bCs/>
                <w:color w:val="auto"/>
                <w:sz w:val="24"/>
              </w:rPr>
              <w:t>成立于2023年6月14日，主要从事于</w:t>
            </w:r>
            <w:r>
              <w:rPr>
                <w:rFonts w:hint="eastAsia"/>
                <w:bCs/>
                <w:color w:val="auto"/>
                <w:sz w:val="24"/>
                <w:lang w:eastAsia="en-US"/>
              </w:rPr>
              <w:t>农作物秸秆处理及加工利用服务</w:t>
            </w:r>
            <w:r>
              <w:rPr>
                <w:rFonts w:hint="eastAsia"/>
                <w:bCs/>
                <w:color w:val="auto"/>
                <w:sz w:val="24"/>
              </w:rPr>
              <w:t>、</w:t>
            </w:r>
            <w:r>
              <w:rPr>
                <w:rFonts w:hint="eastAsia"/>
                <w:bCs/>
                <w:color w:val="auto"/>
                <w:sz w:val="24"/>
                <w:lang w:eastAsia="en-US"/>
              </w:rPr>
              <w:t>农林牧渔业废弃物综合利用</w:t>
            </w:r>
            <w:r>
              <w:rPr>
                <w:rFonts w:hint="eastAsia"/>
                <w:bCs/>
                <w:color w:val="auto"/>
                <w:sz w:val="24"/>
              </w:rPr>
              <w:t>、</w:t>
            </w:r>
            <w:r>
              <w:rPr>
                <w:rFonts w:hint="eastAsia"/>
                <w:bCs/>
                <w:color w:val="auto"/>
                <w:sz w:val="24"/>
                <w:lang w:eastAsia="en-US"/>
              </w:rPr>
              <w:t>农林废物资源化无害化利用技术研发</w:t>
            </w:r>
            <w:r>
              <w:rPr>
                <w:rFonts w:hint="eastAsia"/>
                <w:bCs/>
                <w:color w:val="auto"/>
                <w:sz w:val="24"/>
              </w:rPr>
              <w:t>等，2023年</w:t>
            </w:r>
            <w:r>
              <w:rPr>
                <w:rFonts w:hint="eastAsia"/>
                <w:bCs/>
                <w:color w:val="auto"/>
                <w:sz w:val="24"/>
                <w:lang w:val="en-US" w:eastAsia="zh-CN"/>
              </w:rPr>
              <w:t>底</w:t>
            </w:r>
            <w:r>
              <w:rPr>
                <w:rFonts w:hint="eastAsia"/>
                <w:bCs/>
                <w:color w:val="auto"/>
                <w:sz w:val="24"/>
                <w:lang w:eastAsia="en-US"/>
              </w:rPr>
              <w:t>安徽田福农业科技有限公司</w:t>
            </w:r>
            <w:r>
              <w:rPr>
                <w:rFonts w:hint="eastAsia"/>
                <w:bCs/>
                <w:color w:val="auto"/>
                <w:sz w:val="24"/>
                <w:lang w:val="en-US" w:eastAsia="zh-CN"/>
              </w:rPr>
              <w:t>计划</w:t>
            </w:r>
            <w:r>
              <w:rPr>
                <w:rFonts w:hint="eastAsia"/>
                <w:bCs/>
                <w:color w:val="auto"/>
                <w:sz w:val="24"/>
              </w:rPr>
              <w:t>在架河循环产业园投资建设</w:t>
            </w:r>
            <w:r>
              <w:rPr>
                <w:rFonts w:hint="eastAsia"/>
                <w:bCs/>
                <w:color w:val="auto"/>
                <w:sz w:val="24"/>
                <w:lang w:val="en-US" w:eastAsia="zh-CN"/>
              </w:rPr>
              <w:t>了</w:t>
            </w:r>
            <w:r>
              <w:rPr>
                <w:rFonts w:hint="eastAsia"/>
                <w:bCs/>
                <w:color w:val="auto"/>
                <w:sz w:val="24"/>
              </w:rPr>
              <w:t>秸秆粪便资源化利用</w:t>
            </w:r>
            <w:r>
              <w:rPr>
                <w:rFonts w:hint="eastAsia"/>
                <w:bCs/>
                <w:color w:val="auto"/>
                <w:sz w:val="24"/>
                <w:lang w:eastAsia="zh-CN"/>
              </w:rPr>
              <w:t>（</w:t>
            </w:r>
            <w:r>
              <w:rPr>
                <w:rFonts w:hint="eastAsia"/>
                <w:bCs/>
                <w:color w:val="auto"/>
                <w:sz w:val="24"/>
                <w:lang w:val="en-US" w:eastAsia="zh-CN"/>
              </w:rPr>
              <w:t>一期</w:t>
            </w:r>
            <w:r>
              <w:rPr>
                <w:rFonts w:hint="eastAsia"/>
                <w:bCs/>
                <w:color w:val="auto"/>
                <w:sz w:val="24"/>
                <w:lang w:eastAsia="zh-CN"/>
              </w:rPr>
              <w:t>）</w:t>
            </w:r>
            <w:r>
              <w:rPr>
                <w:rFonts w:hint="eastAsia"/>
                <w:bCs/>
                <w:color w:val="auto"/>
                <w:sz w:val="24"/>
              </w:rPr>
              <w:t>项目，</w:t>
            </w:r>
            <w:r>
              <w:rPr>
                <w:rFonts w:hint="eastAsia"/>
                <w:bCs/>
                <w:color w:val="auto"/>
                <w:sz w:val="24"/>
                <w:lang w:val="en-US" w:eastAsia="zh-CN"/>
              </w:rPr>
              <w:t>该项目已于2024年3月6日经淮南市潘集区生态环境分局已于环评批复（审批文号：潘环审复〔2024〕5号），该项目主要建设内容为：</w:t>
            </w:r>
            <w:r>
              <w:rPr>
                <w:rFonts w:hint="eastAsia"/>
                <w:bCs/>
                <w:color w:val="auto"/>
                <w:sz w:val="24"/>
              </w:rPr>
              <w:t>建设3000立方米厌氧发酵罐2座（含2座1000立方米的贮气柜），20000立方米黑膜沼气池1座，8000立方米的好氧塘、500千瓦沼气发电机和200平方米的发电机房及沼气净化系统等，年产沼气219万方，年发电372万度</w:t>
            </w:r>
            <w:r>
              <w:rPr>
                <w:rFonts w:hint="eastAsia"/>
                <w:bCs/>
                <w:color w:val="auto"/>
                <w:sz w:val="24"/>
                <w:lang w:eastAsia="zh-CN"/>
              </w:rPr>
              <w:t>，</w:t>
            </w:r>
            <w:r>
              <w:rPr>
                <w:rFonts w:hint="eastAsia"/>
                <w:bCs/>
                <w:color w:val="auto"/>
                <w:sz w:val="24"/>
                <w:lang w:val="en-US" w:eastAsia="zh-CN"/>
              </w:rPr>
              <w:t>2025年3月该项目开展了阶段性竣工环境保护验收，2025年5月建设单位编制了《</w:t>
            </w:r>
            <w:r>
              <w:rPr>
                <w:rFonts w:hint="eastAsia"/>
                <w:bCs/>
                <w:color w:val="auto"/>
                <w:sz w:val="24"/>
                <w:lang w:eastAsia="en-US"/>
              </w:rPr>
              <w:t>安徽田福农业科技有限公司</w:t>
            </w:r>
            <w:r>
              <w:rPr>
                <w:rFonts w:hint="eastAsia"/>
                <w:bCs/>
                <w:color w:val="auto"/>
                <w:sz w:val="24"/>
                <w:lang w:val="en-US" w:eastAsia="zh-CN"/>
              </w:rPr>
              <w:t>突发环境事件应急预案》上报潘集区生态环境分局进行备案（备案编号：340406-2025-005-M），目前该项目处于正常生产经营状态</w:t>
            </w:r>
            <w:r>
              <w:rPr>
                <w:rFonts w:hint="eastAsia"/>
                <w:bCs/>
                <w:color w:val="auto"/>
                <w:sz w:val="24"/>
              </w:rPr>
              <w:t>。</w:t>
            </w:r>
          </w:p>
          <w:p w14:paraId="4D2DDA86">
            <w:pPr>
              <w:spacing w:line="360" w:lineRule="auto"/>
              <w:ind w:firstLine="480" w:firstLineChars="200"/>
              <w:rPr>
                <w:rFonts w:hint="default" w:eastAsia="宋体"/>
                <w:bCs/>
                <w:color w:val="auto"/>
                <w:sz w:val="24"/>
                <w:lang w:val="en-US" w:eastAsia="zh-CN"/>
              </w:rPr>
            </w:pPr>
            <w:r>
              <w:rPr>
                <w:rFonts w:hint="eastAsia"/>
                <w:bCs/>
                <w:color w:val="auto"/>
                <w:sz w:val="24"/>
                <w:lang w:val="en-US" w:eastAsia="zh-CN"/>
              </w:rPr>
              <w:t>2024年1月份，企业根据市场需求，计划在</w:t>
            </w:r>
            <w:r>
              <w:rPr>
                <w:rFonts w:hint="eastAsia"/>
                <w:bCs/>
                <w:color w:val="auto"/>
                <w:sz w:val="24"/>
              </w:rPr>
              <w:t>架河循环产业园</w:t>
            </w:r>
            <w:r>
              <w:rPr>
                <w:rFonts w:hint="eastAsia"/>
                <w:bCs/>
                <w:color w:val="auto"/>
                <w:sz w:val="24"/>
                <w:lang w:val="en-US" w:eastAsia="zh-CN"/>
              </w:rPr>
              <w:t>投资建设架河循环产业园田福食品项目，项目于2024年1月17日取得淮南市潘集区发展和改革委员会备案（项目代码2401-340406-04-01-572380），项目主要建设内容为：建设5600平方米标准化厂房，新建全自动千张生产线10条、豆干生产线5条和内酯豆腐生产线2条。</w:t>
            </w:r>
          </w:p>
          <w:p w14:paraId="0CADE29D">
            <w:pPr>
              <w:spacing w:line="360" w:lineRule="auto"/>
              <w:ind w:firstLine="480" w:firstLineChars="200"/>
              <w:rPr>
                <w:bCs/>
                <w:color w:val="auto"/>
                <w:sz w:val="24"/>
                <w:lang w:eastAsia="en-US"/>
              </w:rPr>
            </w:pPr>
            <w:r>
              <w:rPr>
                <w:rFonts w:hint="eastAsia"/>
                <w:bCs/>
                <w:color w:val="auto"/>
                <w:sz w:val="24"/>
                <w:lang w:eastAsia="en-US"/>
              </w:rPr>
              <w:t>根据《中华人民共和国环境影响评价法》和《建设项目环境保护管理条例》的有关规定，建设项目需履行环境影响评价手续。根据《建设项目环境影响评价分类管理名录》（2021年版）的有关规定，本项目属于《建设项目环境影响评价分类管理名录》（2021年版）中“十、农副食品加工业 13——其他农副食品加工139*——不含发酵工艺的淀粉、淀粉糖制造；淀粉制品制造；豆制品制造以上均不含单纯分装的”，需编制环境影响报告表。</w:t>
            </w:r>
          </w:p>
          <w:p w14:paraId="7D6FDDE1">
            <w:pPr>
              <w:spacing w:line="360" w:lineRule="auto"/>
              <w:ind w:firstLine="480" w:firstLineChars="200"/>
              <w:jc w:val="left"/>
              <w:rPr>
                <w:color w:val="auto"/>
                <w:sz w:val="24"/>
              </w:rPr>
            </w:pPr>
            <w:r>
              <w:rPr>
                <w:color w:val="auto"/>
                <w:sz w:val="24"/>
              </w:rPr>
              <w:t>对照《固定污染源排污许可分类管理名录》（2019年版），本项目年加工黄豆</w:t>
            </w:r>
            <w:r>
              <w:rPr>
                <w:rFonts w:hint="eastAsia"/>
                <w:color w:val="auto"/>
                <w:sz w:val="24"/>
                <w:lang w:val="en-US" w:eastAsia="zh-CN"/>
              </w:rPr>
              <w:t>2</w:t>
            </w:r>
            <w:r>
              <w:rPr>
                <w:color w:val="auto"/>
                <w:sz w:val="24"/>
              </w:rPr>
              <w:t>000t，</w:t>
            </w:r>
            <w:r>
              <w:rPr>
                <w:rFonts w:hint="eastAsia"/>
                <w:color w:val="auto"/>
                <w:sz w:val="24"/>
              </w:rPr>
              <w:t>年使用豆类</w:t>
            </w:r>
            <w:r>
              <w:rPr>
                <w:rFonts w:hint="eastAsia"/>
                <w:color w:val="auto"/>
                <w:sz w:val="24"/>
                <w:lang w:val="en-US" w:eastAsia="zh-CN"/>
              </w:rPr>
              <w:t>大于0.1</w:t>
            </w:r>
            <w:r>
              <w:rPr>
                <w:rFonts w:hint="eastAsia"/>
                <w:color w:val="auto"/>
                <w:sz w:val="24"/>
              </w:rPr>
              <w:t>万吨</w:t>
            </w:r>
            <w:r>
              <w:rPr>
                <w:color w:val="auto"/>
                <w:sz w:val="24"/>
              </w:rPr>
              <w:t>，本项目按照</w:t>
            </w:r>
            <w:r>
              <w:rPr>
                <w:rFonts w:hint="eastAsia" w:ascii="宋体" w:hAnsi="宋体" w:eastAsia="宋体" w:cs="宋体"/>
                <w:color w:val="auto"/>
                <w:sz w:val="24"/>
              </w:rPr>
              <w:t>“</w:t>
            </w:r>
            <w:r>
              <w:rPr>
                <w:rFonts w:hint="eastAsia" w:ascii="宋体" w:hAnsi="宋体" w:cs="宋体"/>
                <w:color w:val="auto"/>
                <w:sz w:val="24"/>
                <w:lang w:eastAsia="zh-CN"/>
              </w:rPr>
              <w:t>登记</w:t>
            </w:r>
            <w:r>
              <w:rPr>
                <w:rFonts w:hint="eastAsia" w:ascii="宋体" w:hAnsi="宋体" w:eastAsia="宋体" w:cs="宋体"/>
                <w:color w:val="auto"/>
                <w:sz w:val="24"/>
              </w:rPr>
              <w:t>管理”申</w:t>
            </w:r>
            <w:r>
              <w:rPr>
                <w:color w:val="auto"/>
                <w:sz w:val="24"/>
              </w:rPr>
              <w:t>请排污许可。</w:t>
            </w:r>
          </w:p>
          <w:p w14:paraId="272BE5E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ascii="Times New Roman" w:hAnsi="Times New Roman" w:eastAsia="宋体" w:cs="Times New Roman"/>
                <w:b/>
                <w:bCs/>
                <w:color w:val="auto"/>
                <w:kern w:val="0"/>
                <w:sz w:val="21"/>
                <w:szCs w:val="21"/>
                <w:lang w:val="en-US" w:eastAsia="zh-CN" w:bidi="ar-SA"/>
              </w:rPr>
            </w:pPr>
            <w:r>
              <w:rPr>
                <w:rFonts w:hint="eastAsia" w:ascii="Times New Roman" w:hAnsi="Times New Roman" w:eastAsia="宋体" w:cs="Times New Roman"/>
                <w:b/>
                <w:bCs/>
                <w:color w:val="auto"/>
                <w:kern w:val="0"/>
                <w:sz w:val="21"/>
                <w:szCs w:val="21"/>
                <w:lang w:val="en-US" w:eastAsia="zh-CN" w:bidi="ar-SA"/>
              </w:rPr>
              <w:t>表2-1  项目排污许可管理类别判定</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397"/>
              <w:gridCol w:w="2268"/>
              <w:gridCol w:w="2665"/>
              <w:gridCol w:w="1317"/>
            </w:tblGrid>
            <w:tr w14:paraId="76F8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 w:type="pct"/>
                  <w:noWrap w:val="0"/>
                  <w:vAlign w:val="center"/>
                </w:tcPr>
                <w:p w14:paraId="15386C84">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序号</w:t>
                  </w:r>
                </w:p>
              </w:tc>
              <w:tc>
                <w:tcPr>
                  <w:tcW w:w="842" w:type="pct"/>
                  <w:noWrap w:val="0"/>
                  <w:vAlign w:val="center"/>
                </w:tcPr>
                <w:p w14:paraId="735D1498">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行业类别</w:t>
                  </w:r>
                </w:p>
              </w:tc>
              <w:tc>
                <w:tcPr>
                  <w:tcW w:w="1367" w:type="pct"/>
                  <w:noWrap w:val="0"/>
                  <w:vAlign w:val="center"/>
                </w:tcPr>
                <w:p w14:paraId="705D645C">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重点管理</w:t>
                  </w:r>
                </w:p>
              </w:tc>
              <w:tc>
                <w:tcPr>
                  <w:tcW w:w="1606" w:type="pct"/>
                  <w:noWrap w:val="0"/>
                  <w:vAlign w:val="center"/>
                </w:tcPr>
                <w:p w14:paraId="2A413E32">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简化管理</w:t>
                  </w:r>
                </w:p>
              </w:tc>
              <w:tc>
                <w:tcPr>
                  <w:tcW w:w="791" w:type="pct"/>
                  <w:noWrap w:val="0"/>
                  <w:vAlign w:val="center"/>
                </w:tcPr>
                <w:p w14:paraId="59EF500A">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登记管理</w:t>
                  </w:r>
                </w:p>
              </w:tc>
            </w:tr>
            <w:tr w14:paraId="4419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5"/>
                  <w:noWrap w:val="0"/>
                  <w:vAlign w:val="center"/>
                </w:tcPr>
                <w:p w14:paraId="40A19B61">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八、农副食品加工业 13</w:t>
                  </w:r>
                </w:p>
              </w:tc>
            </w:tr>
            <w:tr w14:paraId="1B3C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1" w:type="pct"/>
                  <w:noWrap w:val="0"/>
                  <w:vAlign w:val="center"/>
                </w:tcPr>
                <w:p w14:paraId="7D587ADE">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35</w:t>
                  </w:r>
                </w:p>
              </w:tc>
              <w:tc>
                <w:tcPr>
                  <w:tcW w:w="842" w:type="pct"/>
                  <w:noWrap w:val="0"/>
                  <w:vAlign w:val="center"/>
                </w:tcPr>
                <w:p w14:paraId="71DFDF73">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其他农副食品加工 139</w:t>
                  </w:r>
                </w:p>
              </w:tc>
              <w:tc>
                <w:tcPr>
                  <w:tcW w:w="1367" w:type="pct"/>
                  <w:noWrap w:val="0"/>
                  <w:vAlign w:val="center"/>
                </w:tcPr>
                <w:p w14:paraId="3A11AC68">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年加工能力15万吨玉米或者1.5万吨薯类及以上的淀粉生产或者年产1万吨及以上的淀粉制品生产，有发 酵工艺的淀粉制品</w:t>
                  </w:r>
                </w:p>
              </w:tc>
              <w:tc>
                <w:tcPr>
                  <w:tcW w:w="1606" w:type="pct"/>
                  <w:noWrap w:val="0"/>
                  <w:vAlign w:val="center"/>
                </w:tcPr>
                <w:p w14:paraId="51E7D8FA">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除重点管理以外的年加工能力1.5万吨及以上玉米、0.1万吨及以上薯类或豆类、4.5 万吨及以上小麦的淀粉生产、年产0.1万吨及以上的淀粉制品生产（不含有发酵工艺的淀粉制品）</w:t>
                  </w:r>
                </w:p>
              </w:tc>
              <w:tc>
                <w:tcPr>
                  <w:tcW w:w="791" w:type="pct"/>
                  <w:noWrap w:val="0"/>
                  <w:vAlign w:val="center"/>
                </w:tcPr>
                <w:p w14:paraId="4F670CD9">
                  <w:pPr>
                    <w:pStyle w:val="35"/>
                    <w:numPr>
                      <w:ilvl w:val="1"/>
                      <w:numId w:val="0"/>
                    </w:numPr>
                    <w:adjustRightInd w:val="0"/>
                    <w:snapToGrid w:val="0"/>
                    <w:spacing w:before="60" w:after="60" w:line="240" w:lineRule="auto"/>
                    <w:jc w:val="center"/>
                    <w:rPr>
                      <w:rFonts w:ascii="Times New Roman" w:hAnsi="Times New Roman"/>
                      <w:b/>
                      <w:bCs/>
                      <w:color w:val="auto"/>
                      <w:sz w:val="21"/>
                      <w:szCs w:val="21"/>
                    </w:rPr>
                  </w:pPr>
                  <w:r>
                    <w:rPr>
                      <w:rFonts w:hint="eastAsia" w:ascii="Times New Roman" w:hAnsi="Times New Roman"/>
                      <w:b/>
                      <w:bCs/>
                      <w:color w:val="auto"/>
                      <w:sz w:val="21"/>
                      <w:szCs w:val="21"/>
                    </w:rPr>
                    <w:t>其他﹡</w:t>
                  </w:r>
                </w:p>
              </w:tc>
            </w:tr>
          </w:tbl>
          <w:p w14:paraId="0B7AFBD9">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bCs/>
                <w:color w:val="auto"/>
                <w:sz w:val="24"/>
                <w:lang w:eastAsia="en-US"/>
              </w:rPr>
            </w:pPr>
            <w:r>
              <w:rPr>
                <w:rFonts w:hint="eastAsia"/>
                <w:bCs/>
                <w:color w:val="auto"/>
                <w:sz w:val="24"/>
                <w:lang w:eastAsia="en-US"/>
              </w:rPr>
              <w:t>安徽田福农业科技有限公司于202</w:t>
            </w:r>
            <w:r>
              <w:rPr>
                <w:rFonts w:hint="eastAsia"/>
                <w:bCs/>
                <w:color w:val="auto"/>
                <w:sz w:val="24"/>
                <w:lang w:val="en-US" w:eastAsia="zh-CN"/>
              </w:rPr>
              <w:t>5</w:t>
            </w:r>
            <w:r>
              <w:rPr>
                <w:rFonts w:hint="eastAsia"/>
                <w:bCs/>
                <w:color w:val="auto"/>
                <w:sz w:val="24"/>
                <w:lang w:eastAsia="en-US"/>
              </w:rPr>
              <w:t>年</w:t>
            </w:r>
            <w:r>
              <w:rPr>
                <w:rFonts w:hint="eastAsia"/>
                <w:bCs/>
                <w:color w:val="auto"/>
                <w:sz w:val="24"/>
                <w:lang w:val="en-US" w:eastAsia="zh-CN"/>
              </w:rPr>
              <w:t>4</w:t>
            </w:r>
            <w:r>
              <w:rPr>
                <w:rFonts w:hint="eastAsia"/>
                <w:bCs/>
                <w:color w:val="auto"/>
                <w:sz w:val="24"/>
                <w:lang w:eastAsia="en-US"/>
              </w:rPr>
              <w:t>月委托我公司进行环境影响报告表的编制工作。我</w:t>
            </w:r>
            <w:r>
              <w:rPr>
                <w:rFonts w:hint="eastAsia"/>
                <w:bCs/>
                <w:color w:val="auto"/>
                <w:sz w:val="24"/>
              </w:rPr>
              <w:t>司</w:t>
            </w:r>
            <w:r>
              <w:rPr>
                <w:rFonts w:hint="eastAsia"/>
                <w:bCs/>
                <w:color w:val="auto"/>
                <w:sz w:val="24"/>
                <w:lang w:eastAsia="en-US"/>
              </w:rPr>
              <w:t>接受委托后，立即开展了详细的现场踏勘、资料收集工作，依照《建设项目环境影响报告表编制技术指南（污染影响类）（试行）》要求</w:t>
            </w:r>
            <w:r>
              <w:rPr>
                <w:rFonts w:hint="eastAsia"/>
                <w:bCs/>
                <w:color w:val="auto"/>
                <w:sz w:val="24"/>
              </w:rPr>
              <w:t>，</w:t>
            </w:r>
            <w:r>
              <w:rPr>
                <w:rFonts w:hint="eastAsia"/>
                <w:bCs/>
                <w:color w:val="auto"/>
                <w:sz w:val="24"/>
                <w:lang w:eastAsia="en-US"/>
              </w:rPr>
              <w:t>编制了《</w:t>
            </w:r>
            <w:r>
              <w:rPr>
                <w:rFonts w:hint="eastAsia"/>
                <w:color w:val="auto"/>
                <w:sz w:val="24"/>
                <w:lang w:eastAsia="zh-CN"/>
              </w:rPr>
              <w:t>架河循环产业园田福食品项目</w:t>
            </w:r>
            <w:r>
              <w:rPr>
                <w:rFonts w:hint="eastAsia"/>
                <w:bCs/>
                <w:color w:val="auto"/>
                <w:sz w:val="24"/>
                <w:lang w:eastAsia="en-US"/>
              </w:rPr>
              <w:t>环境影响报告表》，现呈报上级</w:t>
            </w:r>
            <w:r>
              <w:rPr>
                <w:rFonts w:hint="eastAsia"/>
                <w:bCs/>
                <w:color w:val="auto"/>
                <w:sz w:val="24"/>
              </w:rPr>
              <w:t>生态</w:t>
            </w:r>
            <w:r>
              <w:rPr>
                <w:rFonts w:hint="eastAsia"/>
                <w:bCs/>
                <w:color w:val="auto"/>
                <w:sz w:val="24"/>
                <w:lang w:eastAsia="en-US"/>
              </w:rPr>
              <w:t>环境主管部门审查。</w:t>
            </w:r>
          </w:p>
          <w:p w14:paraId="49FB1DA7">
            <w:pPr>
              <w:spacing w:line="360" w:lineRule="auto"/>
              <w:ind w:firstLine="482" w:firstLineChars="200"/>
              <w:rPr>
                <w:b/>
                <w:color w:val="auto"/>
                <w:sz w:val="24"/>
              </w:rPr>
            </w:pPr>
            <w:r>
              <w:rPr>
                <w:rFonts w:hint="eastAsia"/>
                <w:b/>
                <w:bCs/>
                <w:color w:val="auto"/>
                <w:sz w:val="24"/>
              </w:rPr>
              <w:t>2、</w:t>
            </w:r>
            <w:r>
              <w:rPr>
                <w:rFonts w:hint="eastAsia"/>
                <w:b/>
                <w:color w:val="auto"/>
                <w:sz w:val="24"/>
              </w:rPr>
              <w:t>项目建设内容及规模</w:t>
            </w:r>
          </w:p>
          <w:p w14:paraId="79282A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bCs/>
                <w:color w:val="auto"/>
                <w:sz w:val="24"/>
                <w:lang w:eastAsia="en-US"/>
              </w:rPr>
            </w:pPr>
            <w:r>
              <w:rPr>
                <w:rFonts w:hint="eastAsia"/>
                <w:bCs/>
                <w:color w:val="auto"/>
                <w:sz w:val="24"/>
                <w:lang w:eastAsia="zh-CN"/>
              </w:rPr>
              <w:t>由于本项目距离原有项目（</w:t>
            </w:r>
            <w:r>
              <w:rPr>
                <w:rFonts w:hint="eastAsia"/>
                <w:bCs/>
                <w:color w:val="auto"/>
                <w:sz w:val="24"/>
              </w:rPr>
              <w:t>架河循环产业园投资建设</w:t>
            </w:r>
            <w:r>
              <w:rPr>
                <w:rFonts w:hint="eastAsia"/>
                <w:bCs/>
                <w:color w:val="auto"/>
                <w:sz w:val="24"/>
                <w:lang w:val="en-US" w:eastAsia="zh-CN"/>
              </w:rPr>
              <w:t>了</w:t>
            </w:r>
            <w:r>
              <w:rPr>
                <w:rFonts w:hint="eastAsia"/>
                <w:bCs/>
                <w:color w:val="auto"/>
                <w:sz w:val="24"/>
              </w:rPr>
              <w:t>秸秆粪便资源化利用</w:t>
            </w:r>
            <w:r>
              <w:rPr>
                <w:rFonts w:hint="eastAsia"/>
                <w:bCs/>
                <w:color w:val="auto"/>
                <w:sz w:val="24"/>
                <w:lang w:eastAsia="zh-CN"/>
              </w:rPr>
              <w:t>（</w:t>
            </w:r>
            <w:r>
              <w:rPr>
                <w:rFonts w:hint="eastAsia"/>
                <w:bCs/>
                <w:color w:val="auto"/>
                <w:sz w:val="24"/>
                <w:lang w:val="en-US" w:eastAsia="zh-CN"/>
              </w:rPr>
              <w:t>一期</w:t>
            </w:r>
            <w:r>
              <w:rPr>
                <w:rFonts w:hint="eastAsia"/>
                <w:bCs/>
                <w:color w:val="auto"/>
                <w:sz w:val="24"/>
                <w:lang w:eastAsia="zh-CN"/>
              </w:rPr>
              <w:t>）</w:t>
            </w:r>
            <w:r>
              <w:rPr>
                <w:rFonts w:hint="eastAsia"/>
                <w:bCs/>
                <w:color w:val="auto"/>
                <w:sz w:val="24"/>
              </w:rPr>
              <w:t>项目</w:t>
            </w:r>
            <w:r>
              <w:rPr>
                <w:rFonts w:hint="eastAsia"/>
                <w:bCs/>
                <w:color w:val="auto"/>
                <w:sz w:val="24"/>
                <w:lang w:eastAsia="zh-CN"/>
              </w:rPr>
              <w:t>）较远，且两个项目不存在生产关联性，仅存在生产废水依托原项目进行处理，因此项目主要建设内容一览表采用新建项目格式进行表述</w:t>
            </w:r>
            <w:r>
              <w:rPr>
                <w:rFonts w:hint="eastAsia"/>
                <w:bCs/>
                <w:color w:val="auto"/>
                <w:sz w:val="24"/>
                <w:lang w:eastAsia="en-US"/>
              </w:rPr>
              <w:t>。</w:t>
            </w:r>
          </w:p>
          <w:p w14:paraId="1A071D10">
            <w:pPr>
              <w:pStyle w:val="34"/>
              <w:numPr>
                <w:ilvl w:val="0"/>
                <w:numId w:val="0"/>
              </w:numPr>
              <w:spacing w:line="240" w:lineRule="auto"/>
              <w:jc w:val="center"/>
              <w:rPr>
                <w:color w:val="auto"/>
                <w:sz w:val="21"/>
                <w:szCs w:val="21"/>
              </w:rPr>
            </w:pPr>
            <w:r>
              <w:rPr>
                <w:rFonts w:ascii="Times New Roman" w:hAnsi="Times New Roman" w:cs="Times New Roman"/>
                <w:color w:val="auto"/>
                <w:sz w:val="21"/>
                <w:szCs w:val="21"/>
              </w:rPr>
              <w:t>表2-</w:t>
            </w:r>
            <w:r>
              <w:rPr>
                <w:rFonts w:hint="eastAsia" w:ascii="Times New Roman" w:hAnsi="Times New Roman" w:cs="Times New Roman"/>
                <w:color w:val="auto"/>
                <w:sz w:val="21"/>
                <w:szCs w:val="21"/>
                <w:lang w:val="en-US" w:eastAsia="zh-CN"/>
              </w:rPr>
              <w:t>2</w:t>
            </w:r>
            <w:r>
              <w:rPr>
                <w:rFonts w:ascii="Times New Roman" w:hAnsi="Times New Roman" w:cs="Times New Roman"/>
                <w:color w:val="auto"/>
                <w:sz w:val="21"/>
                <w:szCs w:val="21"/>
              </w:rPr>
              <w:t xml:space="preserve">  项目主要建设内容一览表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2"/>
              <w:gridCol w:w="6428"/>
            </w:tblGrid>
            <w:tr w14:paraId="575F9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pct"/>
                  <w:vAlign w:val="center"/>
                </w:tcPr>
                <w:p w14:paraId="4041F5DB">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工程类别</w:t>
                  </w:r>
                </w:p>
              </w:tc>
              <w:tc>
                <w:tcPr>
                  <w:tcW w:w="706" w:type="pct"/>
                  <w:vAlign w:val="center"/>
                </w:tcPr>
                <w:p w14:paraId="66B109DA">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单项工程名称</w:t>
                  </w:r>
                </w:p>
              </w:tc>
              <w:tc>
                <w:tcPr>
                  <w:tcW w:w="3873" w:type="pct"/>
                  <w:vAlign w:val="center"/>
                </w:tcPr>
                <w:p w14:paraId="65C520BC">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工程内容及规模</w:t>
                  </w:r>
                </w:p>
              </w:tc>
            </w:tr>
            <w:tr w14:paraId="40E8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restart"/>
                  <w:vAlign w:val="center"/>
                </w:tcPr>
                <w:p w14:paraId="142DD80E">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主体工程</w:t>
                  </w:r>
                </w:p>
              </w:tc>
              <w:tc>
                <w:tcPr>
                  <w:tcW w:w="706" w:type="pct"/>
                  <w:vAlign w:val="center"/>
                </w:tcPr>
                <w:p w14:paraId="04C11703">
                  <w:pPr>
                    <w:pStyle w:val="35"/>
                    <w:numPr>
                      <w:ilvl w:val="1"/>
                      <w:numId w:val="0"/>
                    </w:numPr>
                    <w:adjustRightInd w:val="0"/>
                    <w:snapToGrid w:val="0"/>
                    <w:spacing w:before="60" w:after="60" w:line="240" w:lineRule="auto"/>
                    <w:jc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1#生产厂房</w:t>
                  </w:r>
                </w:p>
              </w:tc>
              <w:tc>
                <w:tcPr>
                  <w:tcW w:w="3873" w:type="pct"/>
                  <w:vAlign w:val="center"/>
                </w:tcPr>
                <w:p w14:paraId="5774AFB1">
                  <w:pPr>
                    <w:pStyle w:val="35"/>
                    <w:numPr>
                      <w:ilvl w:val="1"/>
                      <w:numId w:val="0"/>
                    </w:numPr>
                    <w:adjustRightInd w:val="0"/>
                    <w:snapToGrid w:val="0"/>
                    <w:spacing w:before="60" w:after="60" w:line="240" w:lineRule="auto"/>
                    <w:jc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位于项目区南侧，建筑面积2600m</w:t>
                  </w:r>
                  <w:r>
                    <w:rPr>
                      <w:rFonts w:hint="eastAsia" w:ascii="Times New Roman" w:hAnsi="Times New Roman"/>
                      <w:b w:val="0"/>
                      <w:bCs w:val="0"/>
                      <w:color w:val="auto"/>
                      <w:sz w:val="21"/>
                      <w:szCs w:val="21"/>
                      <w:vertAlign w:val="superscript"/>
                      <w:lang w:val="en-US" w:eastAsia="zh-CN"/>
                    </w:rPr>
                    <w:t>2</w:t>
                  </w:r>
                  <w:r>
                    <w:rPr>
                      <w:rFonts w:hint="eastAsia" w:ascii="Times New Roman" w:hAnsi="Times New Roman"/>
                      <w:b w:val="0"/>
                      <w:bCs w:val="0"/>
                      <w:color w:val="auto"/>
                      <w:sz w:val="21"/>
                      <w:szCs w:val="21"/>
                      <w:lang w:val="en-US" w:eastAsia="zh-CN"/>
                    </w:rPr>
                    <w:t>，主要为预处理车间，设置泡豆区、磨浆区和煮浆区等，主要用于豆制品的前段加工</w:t>
                  </w:r>
                </w:p>
              </w:tc>
            </w:tr>
            <w:tr w14:paraId="037C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5C64EC8D">
                  <w:pPr>
                    <w:pStyle w:val="34"/>
                    <w:numPr>
                      <w:ilvl w:val="1"/>
                      <w:numId w:val="0"/>
                    </w:numPr>
                    <w:snapToGrid w:val="0"/>
                    <w:spacing w:before="60" w:after="60" w:line="240" w:lineRule="auto"/>
                    <w:jc w:val="center"/>
                    <w:rPr>
                      <w:rFonts w:ascii="Times New Roman" w:hAnsi="Times New Roman" w:cs="Times New Roman"/>
                      <w:b w:val="0"/>
                      <w:bCs w:val="0"/>
                      <w:color w:val="auto"/>
                      <w:kern w:val="2"/>
                      <w:sz w:val="21"/>
                      <w:szCs w:val="21"/>
                    </w:rPr>
                  </w:pPr>
                </w:p>
              </w:tc>
              <w:tc>
                <w:tcPr>
                  <w:tcW w:w="706" w:type="pct"/>
                  <w:vAlign w:val="center"/>
                </w:tcPr>
                <w:p w14:paraId="2263E240">
                  <w:pPr>
                    <w:pStyle w:val="35"/>
                    <w:numPr>
                      <w:ilvl w:val="1"/>
                      <w:numId w:val="0"/>
                    </w:numPr>
                    <w:adjustRightInd w:val="0"/>
                    <w:snapToGrid w:val="0"/>
                    <w:spacing w:before="60" w:after="60" w:line="240" w:lineRule="auto"/>
                    <w:jc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2#生产厂房</w:t>
                  </w:r>
                </w:p>
              </w:tc>
              <w:tc>
                <w:tcPr>
                  <w:tcW w:w="3873" w:type="pct"/>
                  <w:vAlign w:val="center"/>
                </w:tcPr>
                <w:p w14:paraId="1432DFCE">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lang w:val="en-US" w:eastAsia="zh-CN"/>
                    </w:rPr>
                    <w:t>位于项目区北侧，建筑面积4000m</w:t>
                  </w:r>
                  <w:r>
                    <w:rPr>
                      <w:rFonts w:hint="eastAsia" w:ascii="Times New Roman" w:hAnsi="Times New Roman"/>
                      <w:b w:val="0"/>
                      <w:bCs w:val="0"/>
                      <w:color w:val="auto"/>
                      <w:sz w:val="21"/>
                      <w:szCs w:val="21"/>
                      <w:vertAlign w:val="superscript"/>
                      <w:lang w:val="en-US" w:eastAsia="zh-CN"/>
                    </w:rPr>
                    <w:t>2</w:t>
                  </w:r>
                  <w:r>
                    <w:rPr>
                      <w:rFonts w:hint="eastAsia" w:ascii="Times New Roman" w:hAnsi="Times New Roman"/>
                      <w:b w:val="0"/>
                      <w:bCs w:val="0"/>
                      <w:color w:val="auto"/>
                      <w:sz w:val="21"/>
                      <w:szCs w:val="21"/>
                      <w:lang w:val="en-US" w:eastAsia="zh-CN"/>
                    </w:rPr>
                    <w:t>，主要为豆制品加工车间，内部布置了10条千张生产线、5条豆干生产线以及2条内脂豆腐生产线，主要用于豆制品的成品加工</w:t>
                  </w:r>
                </w:p>
              </w:tc>
            </w:tr>
            <w:tr w14:paraId="40AB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Align w:val="center"/>
                </w:tcPr>
                <w:p w14:paraId="725FC10A">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储运工程</w:t>
                  </w:r>
                </w:p>
              </w:tc>
              <w:tc>
                <w:tcPr>
                  <w:tcW w:w="706" w:type="pct"/>
                  <w:vAlign w:val="center"/>
                </w:tcPr>
                <w:p w14:paraId="19A25892">
                  <w:pPr>
                    <w:pStyle w:val="35"/>
                    <w:numPr>
                      <w:ilvl w:val="1"/>
                      <w:numId w:val="0"/>
                    </w:numPr>
                    <w:adjustRightInd w:val="0"/>
                    <w:snapToGrid w:val="0"/>
                    <w:spacing w:before="60" w:after="60" w:line="240" w:lineRule="auto"/>
                    <w:jc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原料仓库</w:t>
                  </w:r>
                </w:p>
              </w:tc>
              <w:tc>
                <w:tcPr>
                  <w:tcW w:w="3873" w:type="pct"/>
                  <w:vAlign w:val="center"/>
                </w:tcPr>
                <w:p w14:paraId="530B3C29">
                  <w:pPr>
                    <w:pStyle w:val="35"/>
                    <w:numPr>
                      <w:ilvl w:val="1"/>
                      <w:numId w:val="0"/>
                    </w:numPr>
                    <w:adjustRightInd w:val="0"/>
                    <w:snapToGrid w:val="0"/>
                    <w:spacing w:before="60" w:after="60" w:line="240" w:lineRule="auto"/>
                    <w:jc w:val="center"/>
                    <w:rPr>
                      <w:rFonts w:hint="eastAsia" w:ascii="Times New Roman" w:hAnsi="Times New Roman" w:eastAsia="宋体"/>
                      <w:b w:val="0"/>
                      <w:bCs w:val="0"/>
                      <w:color w:val="auto"/>
                      <w:sz w:val="21"/>
                      <w:szCs w:val="21"/>
                      <w:lang w:eastAsia="zh-CN"/>
                    </w:rPr>
                  </w:pPr>
                  <w:r>
                    <w:rPr>
                      <w:rFonts w:hint="eastAsia" w:ascii="Times New Roman" w:hAnsi="Times New Roman"/>
                      <w:b w:val="0"/>
                      <w:bCs w:val="0"/>
                      <w:color w:val="auto"/>
                      <w:sz w:val="21"/>
                      <w:szCs w:val="21"/>
                      <w:lang w:val="en-US" w:eastAsia="zh-CN"/>
                    </w:rPr>
                    <w:t>位于1#生产厂房东侧</w:t>
                  </w:r>
                  <w:r>
                    <w:rPr>
                      <w:rFonts w:ascii="Times New Roman" w:hAnsi="Times New Roman"/>
                      <w:b w:val="0"/>
                      <w:bCs w:val="0"/>
                      <w:color w:val="auto"/>
                      <w:sz w:val="21"/>
                      <w:szCs w:val="21"/>
                    </w:rPr>
                    <w:t>，</w:t>
                  </w:r>
                  <w:r>
                    <w:rPr>
                      <w:rFonts w:hint="eastAsia" w:ascii="Times New Roman" w:hAnsi="Times New Roman"/>
                      <w:b w:val="0"/>
                      <w:bCs w:val="0"/>
                      <w:color w:val="auto"/>
                      <w:sz w:val="21"/>
                      <w:szCs w:val="21"/>
                      <w:lang w:val="en-US" w:eastAsia="zh-CN"/>
                    </w:rPr>
                    <w:t>建筑面积500m</w:t>
                  </w:r>
                  <w:r>
                    <w:rPr>
                      <w:rFonts w:hint="eastAsia" w:ascii="Times New Roman" w:hAnsi="Times New Roman"/>
                      <w:b w:val="0"/>
                      <w:bCs w:val="0"/>
                      <w:color w:val="auto"/>
                      <w:sz w:val="21"/>
                      <w:szCs w:val="21"/>
                      <w:vertAlign w:val="superscript"/>
                      <w:lang w:val="en-US" w:eastAsia="zh-CN"/>
                    </w:rPr>
                    <w:t>2</w:t>
                  </w:r>
                  <w:r>
                    <w:rPr>
                      <w:rFonts w:hint="eastAsia" w:ascii="Times New Roman" w:hAnsi="Times New Roman"/>
                      <w:b w:val="0"/>
                      <w:bCs w:val="0"/>
                      <w:color w:val="auto"/>
                      <w:sz w:val="21"/>
                      <w:szCs w:val="21"/>
                      <w:lang w:val="en-US" w:eastAsia="zh-CN"/>
                    </w:rPr>
                    <w:t>，</w:t>
                  </w:r>
                  <w:r>
                    <w:rPr>
                      <w:rFonts w:ascii="Times New Roman" w:hAnsi="Times New Roman"/>
                      <w:b w:val="0"/>
                      <w:bCs w:val="0"/>
                      <w:color w:val="auto"/>
                      <w:sz w:val="21"/>
                      <w:szCs w:val="21"/>
                    </w:rPr>
                    <w:t>主要存放</w:t>
                  </w:r>
                  <w:r>
                    <w:rPr>
                      <w:rFonts w:hint="eastAsia" w:ascii="Times New Roman" w:hAnsi="Times New Roman"/>
                      <w:b w:val="0"/>
                      <w:bCs w:val="0"/>
                      <w:color w:val="auto"/>
                      <w:sz w:val="21"/>
                      <w:szCs w:val="21"/>
                      <w:lang w:val="en-US" w:eastAsia="zh-CN"/>
                    </w:rPr>
                    <w:t>大豆</w:t>
                  </w:r>
                  <w:r>
                    <w:rPr>
                      <w:rFonts w:ascii="Times New Roman" w:hAnsi="Times New Roman"/>
                      <w:b w:val="0"/>
                      <w:bCs w:val="0"/>
                      <w:color w:val="auto"/>
                      <w:sz w:val="21"/>
                      <w:szCs w:val="21"/>
                    </w:rPr>
                    <w:t>等原辅料</w:t>
                  </w:r>
                  <w:r>
                    <w:rPr>
                      <w:rFonts w:hint="eastAsia" w:ascii="Times New Roman" w:hAnsi="Times New Roman"/>
                      <w:b w:val="0"/>
                      <w:bCs w:val="0"/>
                      <w:color w:val="auto"/>
                      <w:sz w:val="21"/>
                      <w:szCs w:val="21"/>
                      <w:lang w:eastAsia="zh-CN"/>
                    </w:rPr>
                    <w:t>，</w:t>
                  </w:r>
                  <w:r>
                    <w:rPr>
                      <w:rFonts w:hint="eastAsia" w:ascii="Times New Roman" w:hAnsi="Times New Roman"/>
                      <w:b w:val="0"/>
                      <w:bCs w:val="0"/>
                      <w:color w:val="auto"/>
                      <w:sz w:val="21"/>
                      <w:szCs w:val="21"/>
                    </w:rPr>
                    <w:t>最大储存量为</w:t>
                  </w:r>
                  <w:r>
                    <w:rPr>
                      <w:rFonts w:hint="eastAsia" w:ascii="Times New Roman" w:hAnsi="Times New Roman"/>
                      <w:b w:val="0"/>
                      <w:bCs w:val="0"/>
                      <w:color w:val="auto"/>
                      <w:sz w:val="21"/>
                      <w:szCs w:val="21"/>
                      <w:lang w:val="en-US" w:eastAsia="zh-CN"/>
                    </w:rPr>
                    <w:t>30</w:t>
                  </w:r>
                  <w:r>
                    <w:rPr>
                      <w:rFonts w:hint="eastAsia" w:ascii="Times New Roman" w:hAnsi="Times New Roman"/>
                      <w:b w:val="0"/>
                      <w:bCs w:val="0"/>
                      <w:color w:val="auto"/>
                      <w:sz w:val="21"/>
                      <w:szCs w:val="21"/>
                    </w:rPr>
                    <w:t>吨，最大储存周期为1</w:t>
                  </w:r>
                  <w:r>
                    <w:rPr>
                      <w:rFonts w:hint="eastAsia" w:ascii="Times New Roman" w:hAnsi="Times New Roman"/>
                      <w:b w:val="0"/>
                      <w:bCs w:val="0"/>
                      <w:color w:val="auto"/>
                      <w:sz w:val="21"/>
                      <w:szCs w:val="21"/>
                      <w:lang w:val="en-US" w:eastAsia="zh-CN"/>
                    </w:rPr>
                    <w:t>周</w:t>
                  </w:r>
                </w:p>
              </w:tc>
            </w:tr>
            <w:tr w14:paraId="3805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restart"/>
                  <w:vAlign w:val="center"/>
                </w:tcPr>
                <w:p w14:paraId="5069886A">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辅助工程</w:t>
                  </w:r>
                </w:p>
              </w:tc>
              <w:tc>
                <w:tcPr>
                  <w:tcW w:w="706" w:type="pct"/>
                  <w:vAlign w:val="center"/>
                </w:tcPr>
                <w:p w14:paraId="16C88D5F">
                  <w:pPr>
                    <w:pStyle w:val="35"/>
                    <w:numPr>
                      <w:ilvl w:val="1"/>
                      <w:numId w:val="0"/>
                    </w:numPr>
                    <w:adjustRightInd w:val="0"/>
                    <w:snapToGrid w:val="0"/>
                    <w:spacing w:before="60" w:after="60" w:line="240" w:lineRule="auto"/>
                    <w:jc w:val="center"/>
                    <w:rPr>
                      <w:rFonts w:hint="default" w:ascii="Times New Roman" w:hAnsi="Times New Roman"/>
                      <w:b w:val="0"/>
                      <w:bCs w:val="0"/>
                      <w:color w:val="auto"/>
                      <w:sz w:val="21"/>
                      <w:szCs w:val="21"/>
                      <w:lang w:val="en-US" w:eastAsia="zh-CN"/>
                    </w:rPr>
                  </w:pPr>
                  <w:r>
                    <w:rPr>
                      <w:rFonts w:hint="default" w:ascii="Times New Roman" w:hAnsi="Times New Roman"/>
                      <w:b w:val="0"/>
                      <w:bCs w:val="0"/>
                      <w:color w:val="auto"/>
                      <w:sz w:val="21"/>
                      <w:szCs w:val="21"/>
                      <w:lang w:val="en-US" w:eastAsia="zh-CN"/>
                    </w:rPr>
                    <w:t>办公室</w:t>
                  </w:r>
                </w:p>
              </w:tc>
              <w:tc>
                <w:tcPr>
                  <w:tcW w:w="3873" w:type="pct"/>
                  <w:vAlign w:val="center"/>
                </w:tcPr>
                <w:p w14:paraId="4B793155">
                  <w:pPr>
                    <w:pStyle w:val="35"/>
                    <w:numPr>
                      <w:ilvl w:val="1"/>
                      <w:numId w:val="0"/>
                    </w:numPr>
                    <w:adjustRightInd w:val="0"/>
                    <w:snapToGrid w:val="0"/>
                    <w:spacing w:before="60" w:after="60" w:line="240" w:lineRule="auto"/>
                    <w:jc w:val="center"/>
                    <w:rPr>
                      <w:rFonts w:hint="default"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依托</w:t>
                  </w:r>
                  <w:r>
                    <w:rPr>
                      <w:rFonts w:hint="default" w:ascii="Times New Roman" w:hAnsi="Times New Roman"/>
                      <w:b w:val="0"/>
                      <w:bCs w:val="0"/>
                      <w:color w:val="auto"/>
                      <w:sz w:val="21"/>
                      <w:szCs w:val="21"/>
                      <w:lang w:val="en-US" w:eastAsia="zh-CN"/>
                    </w:rPr>
                    <w:t>现有办公室，</w:t>
                  </w:r>
                  <w:r>
                    <w:rPr>
                      <w:rFonts w:hint="eastAsia" w:ascii="Times New Roman" w:hAnsi="Times New Roman"/>
                      <w:b w:val="0"/>
                      <w:bCs w:val="0"/>
                      <w:color w:val="auto"/>
                      <w:sz w:val="21"/>
                      <w:szCs w:val="21"/>
                      <w:lang w:val="en-US" w:eastAsia="zh-CN"/>
                    </w:rPr>
                    <w:t>位于</w:t>
                  </w:r>
                  <w:r>
                    <w:rPr>
                      <w:rFonts w:hint="default" w:ascii="Times New Roman" w:hAnsi="Times New Roman"/>
                      <w:b w:val="0"/>
                      <w:bCs w:val="0"/>
                      <w:color w:val="auto"/>
                      <w:sz w:val="21"/>
                      <w:szCs w:val="21"/>
                      <w:lang w:val="en-US" w:eastAsia="zh-CN"/>
                    </w:rPr>
                    <w:t>生产车间</w:t>
                  </w:r>
                  <w:r>
                    <w:rPr>
                      <w:rFonts w:hint="eastAsia" w:ascii="Times New Roman" w:hAnsi="Times New Roman"/>
                      <w:b w:val="0"/>
                      <w:bCs w:val="0"/>
                      <w:color w:val="auto"/>
                      <w:sz w:val="21"/>
                      <w:szCs w:val="21"/>
                      <w:lang w:val="en-US" w:eastAsia="zh-CN"/>
                    </w:rPr>
                    <w:t>西</w:t>
                  </w:r>
                  <w:r>
                    <w:rPr>
                      <w:rFonts w:hint="default" w:ascii="Times New Roman" w:hAnsi="Times New Roman"/>
                      <w:b w:val="0"/>
                      <w:bCs w:val="0"/>
                      <w:color w:val="auto"/>
                      <w:sz w:val="21"/>
                      <w:szCs w:val="21"/>
                      <w:lang w:val="en-US" w:eastAsia="zh-CN"/>
                    </w:rPr>
                    <w:t>侧，建筑面积</w:t>
                  </w:r>
                  <w:r>
                    <w:rPr>
                      <w:rFonts w:hint="eastAsia" w:ascii="Times New Roman" w:hAnsi="Times New Roman"/>
                      <w:b w:val="0"/>
                      <w:bCs w:val="0"/>
                      <w:color w:val="auto"/>
                      <w:sz w:val="21"/>
                      <w:szCs w:val="21"/>
                      <w:lang w:val="en-US" w:eastAsia="zh-CN"/>
                    </w:rPr>
                    <w:t>约5</w:t>
                  </w:r>
                  <w:r>
                    <w:rPr>
                      <w:rFonts w:hint="default" w:ascii="Times New Roman" w:hAnsi="Times New Roman"/>
                      <w:b w:val="0"/>
                      <w:bCs w:val="0"/>
                      <w:color w:val="auto"/>
                      <w:sz w:val="21"/>
                      <w:szCs w:val="21"/>
                      <w:lang w:val="en-US" w:eastAsia="zh-CN"/>
                    </w:rPr>
                    <w:t>0m</w:t>
                  </w:r>
                  <w:r>
                    <w:rPr>
                      <w:rFonts w:hint="default" w:ascii="Times New Roman" w:hAnsi="Times New Roman"/>
                      <w:b w:val="0"/>
                      <w:bCs w:val="0"/>
                      <w:color w:val="auto"/>
                      <w:sz w:val="21"/>
                      <w:szCs w:val="21"/>
                      <w:vertAlign w:val="superscript"/>
                      <w:lang w:val="en-US" w:eastAsia="zh-CN"/>
                    </w:rPr>
                    <w:t>2</w:t>
                  </w:r>
                  <w:r>
                    <w:rPr>
                      <w:rFonts w:hint="default" w:ascii="Times New Roman" w:hAnsi="Times New Roman"/>
                      <w:b w:val="0"/>
                      <w:bCs w:val="0"/>
                      <w:color w:val="auto"/>
                      <w:sz w:val="21"/>
                      <w:szCs w:val="21"/>
                      <w:lang w:val="en-US" w:eastAsia="zh-CN"/>
                    </w:rPr>
                    <w:t>，用于</w:t>
                  </w:r>
                  <w:r>
                    <w:rPr>
                      <w:rFonts w:hint="eastAsia" w:ascii="Times New Roman" w:hAnsi="Times New Roman"/>
                      <w:b w:val="0"/>
                      <w:bCs w:val="0"/>
                      <w:color w:val="auto"/>
                      <w:sz w:val="21"/>
                      <w:szCs w:val="21"/>
                      <w:lang w:val="en-US" w:eastAsia="zh-CN"/>
                    </w:rPr>
                    <w:t>人员</w:t>
                  </w:r>
                  <w:r>
                    <w:rPr>
                      <w:rFonts w:hint="default" w:ascii="Times New Roman" w:hAnsi="Times New Roman"/>
                      <w:b w:val="0"/>
                      <w:bCs w:val="0"/>
                      <w:color w:val="auto"/>
                      <w:sz w:val="21"/>
                      <w:szCs w:val="21"/>
                      <w:lang w:val="en-US" w:eastAsia="zh-CN"/>
                    </w:rPr>
                    <w:t>办公</w:t>
                  </w:r>
                </w:p>
              </w:tc>
            </w:tr>
            <w:tr w14:paraId="27CF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7C5B820B">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p>
              </w:tc>
              <w:tc>
                <w:tcPr>
                  <w:tcW w:w="706" w:type="pct"/>
                  <w:vAlign w:val="center"/>
                </w:tcPr>
                <w:p w14:paraId="7D2969E7">
                  <w:pPr>
                    <w:pStyle w:val="35"/>
                    <w:numPr>
                      <w:ilvl w:val="1"/>
                      <w:numId w:val="0"/>
                    </w:numPr>
                    <w:adjustRightInd w:val="0"/>
                    <w:snapToGrid w:val="0"/>
                    <w:spacing w:before="60" w:after="60" w:line="240" w:lineRule="auto"/>
                    <w:jc w:val="center"/>
                    <w:rPr>
                      <w:rFonts w:hint="default" w:ascii="Times New Roman" w:hAnsi="Times New Roman"/>
                      <w:b w:val="0"/>
                      <w:bCs w:val="0"/>
                      <w:color w:val="auto"/>
                      <w:sz w:val="21"/>
                      <w:szCs w:val="21"/>
                      <w:lang w:val="en-US" w:eastAsia="zh-CN"/>
                    </w:rPr>
                  </w:pPr>
                  <w:r>
                    <w:rPr>
                      <w:rFonts w:hint="default" w:ascii="Times New Roman" w:hAnsi="Times New Roman"/>
                      <w:b w:val="0"/>
                      <w:bCs w:val="0"/>
                      <w:color w:val="auto"/>
                      <w:sz w:val="21"/>
                      <w:szCs w:val="21"/>
                      <w:lang w:val="en-US" w:eastAsia="zh-CN"/>
                    </w:rPr>
                    <w:t>化验室</w:t>
                  </w:r>
                </w:p>
              </w:tc>
              <w:tc>
                <w:tcPr>
                  <w:tcW w:w="3873" w:type="pct"/>
                  <w:vAlign w:val="center"/>
                </w:tcPr>
                <w:p w14:paraId="6A853054">
                  <w:pPr>
                    <w:pStyle w:val="35"/>
                    <w:numPr>
                      <w:ilvl w:val="1"/>
                      <w:numId w:val="0"/>
                    </w:numPr>
                    <w:adjustRightInd w:val="0"/>
                    <w:snapToGrid w:val="0"/>
                    <w:spacing w:before="60" w:after="60" w:line="240" w:lineRule="auto"/>
                    <w:jc w:val="center"/>
                    <w:rPr>
                      <w:rFonts w:hint="default" w:ascii="Times New Roman" w:hAnsi="Times New Roman"/>
                      <w:b w:val="0"/>
                      <w:bCs w:val="0"/>
                      <w:color w:val="auto"/>
                      <w:sz w:val="21"/>
                      <w:szCs w:val="21"/>
                      <w:lang w:val="en-US" w:eastAsia="zh-CN"/>
                    </w:rPr>
                  </w:pPr>
                  <w:r>
                    <w:rPr>
                      <w:rFonts w:hint="default" w:ascii="Times New Roman" w:hAnsi="Times New Roman"/>
                      <w:b w:val="0"/>
                      <w:bCs w:val="0"/>
                      <w:color w:val="auto"/>
                      <w:sz w:val="21"/>
                      <w:szCs w:val="21"/>
                      <w:lang w:val="en-US" w:eastAsia="zh-CN"/>
                    </w:rPr>
                    <w:t>位于</w:t>
                  </w:r>
                  <w:r>
                    <w:rPr>
                      <w:rFonts w:hint="eastAsia" w:ascii="Times New Roman" w:hAnsi="Times New Roman"/>
                      <w:b w:val="0"/>
                      <w:bCs w:val="0"/>
                      <w:color w:val="auto"/>
                      <w:sz w:val="21"/>
                      <w:szCs w:val="21"/>
                      <w:lang w:val="en-US" w:eastAsia="zh-CN"/>
                    </w:rPr>
                    <w:t>2#生产厂房北侧</w:t>
                  </w:r>
                  <w:r>
                    <w:rPr>
                      <w:rFonts w:hint="default" w:ascii="Times New Roman" w:hAnsi="Times New Roman"/>
                      <w:b w:val="0"/>
                      <w:bCs w:val="0"/>
                      <w:color w:val="auto"/>
                      <w:sz w:val="21"/>
                      <w:szCs w:val="21"/>
                      <w:lang w:val="en-US" w:eastAsia="zh-CN"/>
                    </w:rPr>
                    <w:t>，建筑面积1</w:t>
                  </w:r>
                  <w:r>
                    <w:rPr>
                      <w:rFonts w:hint="eastAsia" w:ascii="Times New Roman" w:hAnsi="Times New Roman"/>
                      <w:b w:val="0"/>
                      <w:bCs w:val="0"/>
                      <w:color w:val="auto"/>
                      <w:sz w:val="21"/>
                      <w:szCs w:val="21"/>
                      <w:lang w:val="en-US" w:eastAsia="zh-CN"/>
                    </w:rPr>
                    <w:t>5</w:t>
                  </w:r>
                  <w:r>
                    <w:rPr>
                      <w:rFonts w:hint="default" w:ascii="Times New Roman" w:hAnsi="Times New Roman"/>
                      <w:b w:val="0"/>
                      <w:bCs w:val="0"/>
                      <w:color w:val="auto"/>
                      <w:sz w:val="21"/>
                      <w:szCs w:val="21"/>
                      <w:lang w:val="en-US" w:eastAsia="zh-CN"/>
                    </w:rPr>
                    <w:t>m</w:t>
                  </w:r>
                  <w:r>
                    <w:rPr>
                      <w:rFonts w:hint="default" w:ascii="Times New Roman" w:hAnsi="Times New Roman"/>
                      <w:b w:val="0"/>
                      <w:bCs w:val="0"/>
                      <w:color w:val="auto"/>
                      <w:sz w:val="21"/>
                      <w:szCs w:val="21"/>
                      <w:vertAlign w:val="superscript"/>
                      <w:lang w:val="en-US" w:eastAsia="zh-CN"/>
                    </w:rPr>
                    <w:t>2</w:t>
                  </w:r>
                  <w:r>
                    <w:rPr>
                      <w:rFonts w:hint="default" w:ascii="Times New Roman" w:hAnsi="Times New Roman"/>
                      <w:b w:val="0"/>
                      <w:bCs w:val="0"/>
                      <w:color w:val="auto"/>
                      <w:sz w:val="21"/>
                      <w:szCs w:val="21"/>
                      <w:lang w:val="en-US" w:eastAsia="zh-CN"/>
                    </w:rPr>
                    <w:t xml:space="preserve">，主要进行配料调配 </w:t>
                  </w:r>
                </w:p>
              </w:tc>
            </w:tr>
            <w:tr w14:paraId="1F8F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420C58C9">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p>
              </w:tc>
              <w:tc>
                <w:tcPr>
                  <w:tcW w:w="706" w:type="pct"/>
                  <w:vAlign w:val="center"/>
                </w:tcPr>
                <w:p w14:paraId="4512769C">
                  <w:pPr>
                    <w:pStyle w:val="35"/>
                    <w:numPr>
                      <w:ilvl w:val="1"/>
                      <w:numId w:val="0"/>
                    </w:numPr>
                    <w:adjustRightInd w:val="0"/>
                    <w:snapToGrid w:val="0"/>
                    <w:spacing w:before="60" w:after="60" w:line="240" w:lineRule="auto"/>
                    <w:jc w:val="center"/>
                    <w:rPr>
                      <w:rFonts w:hint="default" w:ascii="Times New Roman" w:hAnsi="Times New Roman"/>
                      <w:b w:val="0"/>
                      <w:bCs w:val="0"/>
                      <w:color w:val="auto"/>
                      <w:sz w:val="21"/>
                      <w:szCs w:val="21"/>
                      <w:lang w:val="en-US" w:eastAsia="zh-CN"/>
                    </w:rPr>
                  </w:pPr>
                  <w:r>
                    <w:rPr>
                      <w:rFonts w:hint="default" w:ascii="Times New Roman" w:hAnsi="Times New Roman"/>
                      <w:b w:val="0"/>
                      <w:bCs w:val="0"/>
                      <w:color w:val="auto"/>
                      <w:sz w:val="21"/>
                      <w:szCs w:val="21"/>
                      <w:lang w:val="en-US" w:eastAsia="zh-CN"/>
                    </w:rPr>
                    <w:t>消毒间</w:t>
                  </w:r>
                </w:p>
              </w:tc>
              <w:tc>
                <w:tcPr>
                  <w:tcW w:w="3873" w:type="pct"/>
                  <w:vAlign w:val="center"/>
                </w:tcPr>
                <w:p w14:paraId="232C2177">
                  <w:pPr>
                    <w:pStyle w:val="35"/>
                    <w:numPr>
                      <w:ilvl w:val="1"/>
                      <w:numId w:val="0"/>
                    </w:numPr>
                    <w:adjustRightInd w:val="0"/>
                    <w:snapToGrid w:val="0"/>
                    <w:spacing w:before="60" w:after="60" w:line="240" w:lineRule="auto"/>
                    <w:jc w:val="center"/>
                    <w:rPr>
                      <w:rFonts w:hint="default" w:ascii="Times New Roman" w:hAnsi="Times New Roman"/>
                      <w:b w:val="0"/>
                      <w:bCs w:val="0"/>
                      <w:color w:val="auto"/>
                      <w:sz w:val="21"/>
                      <w:szCs w:val="21"/>
                      <w:lang w:val="en-US" w:eastAsia="zh-CN"/>
                    </w:rPr>
                  </w:pPr>
                  <w:r>
                    <w:rPr>
                      <w:rFonts w:hint="default" w:ascii="Times New Roman" w:hAnsi="Times New Roman"/>
                      <w:b w:val="0"/>
                      <w:bCs w:val="0"/>
                      <w:color w:val="auto"/>
                      <w:sz w:val="21"/>
                      <w:szCs w:val="21"/>
                      <w:lang w:val="en-US" w:eastAsia="zh-CN"/>
                    </w:rPr>
                    <w:t>位于</w:t>
                  </w:r>
                  <w:r>
                    <w:rPr>
                      <w:rFonts w:hint="eastAsia" w:ascii="Times New Roman" w:hAnsi="Times New Roman"/>
                      <w:b w:val="0"/>
                      <w:bCs w:val="0"/>
                      <w:color w:val="auto"/>
                      <w:sz w:val="21"/>
                      <w:szCs w:val="21"/>
                      <w:lang w:val="en-US" w:eastAsia="zh-CN"/>
                    </w:rPr>
                    <w:t>2#生产厂房北侧</w:t>
                  </w:r>
                  <w:r>
                    <w:rPr>
                      <w:rFonts w:hint="default" w:ascii="Times New Roman" w:hAnsi="Times New Roman"/>
                      <w:b w:val="0"/>
                      <w:bCs w:val="0"/>
                      <w:color w:val="auto"/>
                      <w:sz w:val="21"/>
                      <w:szCs w:val="21"/>
                      <w:lang w:val="en-US" w:eastAsia="zh-CN"/>
                    </w:rPr>
                    <w:t>，建筑面积</w:t>
                  </w:r>
                  <w:r>
                    <w:rPr>
                      <w:rFonts w:hint="eastAsia" w:ascii="Times New Roman" w:hAnsi="Times New Roman"/>
                      <w:b w:val="0"/>
                      <w:bCs w:val="0"/>
                      <w:color w:val="auto"/>
                      <w:sz w:val="21"/>
                      <w:szCs w:val="21"/>
                      <w:lang w:val="en-US" w:eastAsia="zh-CN"/>
                    </w:rPr>
                    <w:t>15</w:t>
                  </w:r>
                  <w:r>
                    <w:rPr>
                      <w:rFonts w:hint="default" w:ascii="Times New Roman" w:hAnsi="Times New Roman"/>
                      <w:b w:val="0"/>
                      <w:bCs w:val="0"/>
                      <w:color w:val="auto"/>
                      <w:sz w:val="21"/>
                      <w:szCs w:val="21"/>
                      <w:lang w:val="en-US" w:eastAsia="zh-CN"/>
                    </w:rPr>
                    <w:t>m</w:t>
                  </w:r>
                  <w:r>
                    <w:rPr>
                      <w:rFonts w:hint="default" w:ascii="Times New Roman" w:hAnsi="Times New Roman"/>
                      <w:b w:val="0"/>
                      <w:bCs w:val="0"/>
                      <w:color w:val="auto"/>
                      <w:sz w:val="21"/>
                      <w:szCs w:val="21"/>
                      <w:vertAlign w:val="superscript"/>
                      <w:lang w:val="en-US" w:eastAsia="zh-CN"/>
                    </w:rPr>
                    <w:t>2</w:t>
                  </w:r>
                  <w:r>
                    <w:rPr>
                      <w:rFonts w:hint="default" w:ascii="Times New Roman" w:hAnsi="Times New Roman"/>
                      <w:b w:val="0"/>
                      <w:bCs w:val="0"/>
                      <w:color w:val="auto"/>
                      <w:sz w:val="21"/>
                      <w:szCs w:val="21"/>
                      <w:lang w:val="en-US" w:eastAsia="zh-CN"/>
                    </w:rPr>
                    <w:t>，主要对员工进行消毒</w:t>
                  </w:r>
                </w:p>
              </w:tc>
            </w:tr>
            <w:tr w14:paraId="333D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pct"/>
                  <w:vMerge w:val="restart"/>
                  <w:vAlign w:val="center"/>
                </w:tcPr>
                <w:p w14:paraId="56A35DE3">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公用工程</w:t>
                  </w:r>
                </w:p>
              </w:tc>
              <w:tc>
                <w:tcPr>
                  <w:tcW w:w="706" w:type="pct"/>
                  <w:vAlign w:val="center"/>
                </w:tcPr>
                <w:p w14:paraId="75B7F338">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给水</w:t>
                  </w:r>
                </w:p>
              </w:tc>
              <w:tc>
                <w:tcPr>
                  <w:tcW w:w="3873" w:type="pct"/>
                  <w:vAlign w:val="center"/>
                </w:tcPr>
                <w:p w14:paraId="1B4F97CA">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用水量</w:t>
                  </w:r>
                  <w:r>
                    <w:rPr>
                      <w:rFonts w:hint="eastAsia" w:ascii="Times New Roman" w:hAnsi="Times New Roman"/>
                      <w:b w:val="0"/>
                      <w:bCs w:val="0"/>
                      <w:color w:val="auto"/>
                      <w:sz w:val="21"/>
                      <w:szCs w:val="21"/>
                      <w:lang w:val="en-US" w:eastAsia="zh-CN"/>
                    </w:rPr>
                    <w:t>32223.9</w:t>
                  </w:r>
                  <w:r>
                    <w:rPr>
                      <w:rFonts w:ascii="Times New Roman" w:hAnsi="Times New Roman"/>
                      <w:b w:val="0"/>
                      <w:bCs w:val="0"/>
                      <w:color w:val="auto"/>
                      <w:sz w:val="21"/>
                      <w:szCs w:val="21"/>
                    </w:rPr>
                    <w:t>m</w:t>
                  </w:r>
                  <w:r>
                    <w:rPr>
                      <w:rFonts w:ascii="Times New Roman" w:hAnsi="Times New Roman"/>
                      <w:b w:val="0"/>
                      <w:bCs w:val="0"/>
                      <w:color w:val="auto"/>
                      <w:sz w:val="21"/>
                      <w:szCs w:val="21"/>
                      <w:vertAlign w:val="superscript"/>
                    </w:rPr>
                    <w:t>3</w:t>
                  </w:r>
                  <w:r>
                    <w:rPr>
                      <w:rFonts w:hint="eastAsia" w:ascii="Times New Roman" w:hAnsi="Times New Roman"/>
                      <w:b w:val="0"/>
                      <w:bCs w:val="0"/>
                      <w:color w:val="auto"/>
                      <w:sz w:val="21"/>
                      <w:szCs w:val="21"/>
                    </w:rPr>
                    <w:t>/a</w:t>
                  </w:r>
                  <w:r>
                    <w:rPr>
                      <w:rFonts w:ascii="Times New Roman" w:hAnsi="Times New Roman"/>
                      <w:b w:val="0"/>
                      <w:bCs w:val="0"/>
                      <w:color w:val="auto"/>
                      <w:sz w:val="21"/>
                      <w:szCs w:val="21"/>
                    </w:rPr>
                    <w:t>，由市政管网供水</w:t>
                  </w:r>
                </w:p>
              </w:tc>
            </w:tr>
            <w:tr w14:paraId="4944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516A1638">
                  <w:pPr>
                    <w:pStyle w:val="34"/>
                    <w:numPr>
                      <w:ilvl w:val="1"/>
                      <w:numId w:val="0"/>
                    </w:numPr>
                    <w:snapToGrid w:val="0"/>
                    <w:spacing w:before="60" w:after="60" w:line="240" w:lineRule="auto"/>
                    <w:jc w:val="center"/>
                    <w:rPr>
                      <w:rFonts w:ascii="Times New Roman" w:hAnsi="Times New Roman" w:cs="Times New Roman"/>
                      <w:b w:val="0"/>
                      <w:bCs w:val="0"/>
                      <w:color w:val="auto"/>
                      <w:kern w:val="2"/>
                      <w:sz w:val="21"/>
                      <w:szCs w:val="21"/>
                    </w:rPr>
                  </w:pPr>
                </w:p>
              </w:tc>
              <w:tc>
                <w:tcPr>
                  <w:tcW w:w="706" w:type="pct"/>
                  <w:vAlign w:val="center"/>
                </w:tcPr>
                <w:p w14:paraId="66DD864B">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排水</w:t>
                  </w:r>
                </w:p>
              </w:tc>
              <w:tc>
                <w:tcPr>
                  <w:tcW w:w="3873" w:type="pct"/>
                  <w:vAlign w:val="center"/>
                </w:tcPr>
                <w:p w14:paraId="486C78D1">
                  <w:pPr>
                    <w:pStyle w:val="35"/>
                    <w:numPr>
                      <w:ilvl w:val="1"/>
                      <w:numId w:val="0"/>
                    </w:numPr>
                    <w:adjustRightInd w:val="0"/>
                    <w:snapToGrid w:val="0"/>
                    <w:spacing w:before="60" w:after="60" w:line="240" w:lineRule="auto"/>
                    <w:jc w:val="center"/>
                    <w:rPr>
                      <w:rFonts w:hint="default" w:ascii="Times New Roman" w:hAnsi="Times New Roman" w:eastAsia="宋体"/>
                      <w:b w:val="0"/>
                      <w:bCs w:val="0"/>
                      <w:color w:val="auto"/>
                      <w:sz w:val="21"/>
                      <w:szCs w:val="21"/>
                      <w:lang w:val="en-US" w:eastAsia="zh-CN"/>
                    </w:rPr>
                  </w:pPr>
                  <w:r>
                    <w:rPr>
                      <w:rFonts w:ascii="Times New Roman" w:hAnsi="Times New Roman"/>
                      <w:b w:val="0"/>
                      <w:bCs w:val="0"/>
                      <w:color w:val="auto"/>
                      <w:sz w:val="21"/>
                      <w:szCs w:val="21"/>
                    </w:rPr>
                    <w:t>厂区排水系统采用雨、污分流制；</w:t>
                  </w:r>
                  <w:r>
                    <w:rPr>
                      <w:rFonts w:hint="eastAsia" w:ascii="Times New Roman" w:hAnsi="Times New Roman"/>
                      <w:b w:val="0"/>
                      <w:bCs w:val="0"/>
                      <w:color w:val="auto"/>
                      <w:sz w:val="21"/>
                      <w:szCs w:val="21"/>
                    </w:rPr>
                    <w:t>雨水</w:t>
                  </w:r>
                  <w:r>
                    <w:rPr>
                      <w:rFonts w:hint="eastAsia" w:ascii="Times New Roman" w:hAnsi="Times New Roman"/>
                      <w:b w:val="0"/>
                      <w:bCs w:val="0"/>
                      <w:color w:val="auto"/>
                      <w:sz w:val="21"/>
                      <w:szCs w:val="21"/>
                      <w:lang w:val="en-US" w:eastAsia="zh-CN"/>
                    </w:rPr>
                    <w:t>通过雨水管网，进入循环产业园内部池塘</w:t>
                  </w:r>
                  <w:r>
                    <w:rPr>
                      <w:rFonts w:hint="eastAsia" w:ascii="Times New Roman" w:hAnsi="Times New Roman"/>
                      <w:b w:val="0"/>
                      <w:bCs w:val="0"/>
                      <w:color w:val="auto"/>
                      <w:sz w:val="21"/>
                      <w:szCs w:val="21"/>
                    </w:rPr>
                    <w:t>；生活废水经化粪池处理后和</w:t>
                  </w:r>
                  <w:r>
                    <w:rPr>
                      <w:rFonts w:ascii="Times New Roman" w:hAnsi="Times New Roman"/>
                      <w:b w:val="0"/>
                      <w:bCs w:val="0"/>
                      <w:color w:val="auto"/>
                      <w:sz w:val="21"/>
                      <w:szCs w:val="21"/>
                    </w:rPr>
                    <w:t>生产废水</w:t>
                  </w:r>
                  <w:r>
                    <w:rPr>
                      <w:rFonts w:hint="eastAsia" w:ascii="Times New Roman" w:hAnsi="Times New Roman"/>
                      <w:b w:val="0"/>
                      <w:bCs w:val="0"/>
                      <w:color w:val="auto"/>
                      <w:sz w:val="21"/>
                      <w:szCs w:val="21"/>
                    </w:rPr>
                    <w:t>一并</w:t>
                  </w:r>
                  <w:r>
                    <w:rPr>
                      <w:rFonts w:ascii="Times New Roman" w:hAnsi="Times New Roman"/>
                      <w:b w:val="0"/>
                      <w:bCs w:val="0"/>
                      <w:color w:val="auto"/>
                      <w:sz w:val="21"/>
                      <w:szCs w:val="21"/>
                    </w:rPr>
                    <w:t>排入</w:t>
                  </w:r>
                  <w:r>
                    <w:rPr>
                      <w:rFonts w:hint="eastAsia" w:ascii="Times New Roman" w:hAnsi="Times New Roman"/>
                      <w:b w:val="0"/>
                      <w:bCs w:val="0"/>
                      <w:color w:val="auto"/>
                      <w:sz w:val="21"/>
                      <w:szCs w:val="21"/>
                    </w:rPr>
                    <w:t>秸秆粪便资源化利用（一期）项目</w:t>
                  </w:r>
                  <w:r>
                    <w:rPr>
                      <w:rFonts w:hint="eastAsia" w:ascii="Times New Roman" w:hAnsi="Times New Roman"/>
                      <w:b w:val="0"/>
                      <w:bCs w:val="0"/>
                      <w:color w:val="auto"/>
                      <w:sz w:val="21"/>
                      <w:szCs w:val="21"/>
                      <w:lang w:val="en-US" w:eastAsia="zh-CN"/>
                    </w:rPr>
                    <w:t>沼气发电系统</w:t>
                  </w:r>
                </w:p>
              </w:tc>
            </w:tr>
            <w:tr w14:paraId="550B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35F5A4B4">
                  <w:pPr>
                    <w:pStyle w:val="34"/>
                    <w:numPr>
                      <w:ilvl w:val="1"/>
                      <w:numId w:val="0"/>
                    </w:numPr>
                    <w:snapToGrid w:val="0"/>
                    <w:spacing w:before="60" w:after="60" w:line="240" w:lineRule="auto"/>
                    <w:jc w:val="center"/>
                    <w:rPr>
                      <w:rFonts w:ascii="Times New Roman" w:hAnsi="Times New Roman" w:cs="Times New Roman"/>
                      <w:b w:val="0"/>
                      <w:bCs w:val="0"/>
                      <w:color w:val="auto"/>
                      <w:kern w:val="2"/>
                      <w:sz w:val="21"/>
                      <w:szCs w:val="21"/>
                    </w:rPr>
                  </w:pPr>
                </w:p>
              </w:tc>
              <w:tc>
                <w:tcPr>
                  <w:tcW w:w="706" w:type="pct"/>
                  <w:vAlign w:val="center"/>
                </w:tcPr>
                <w:p w14:paraId="51A1C607">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供电</w:t>
                  </w:r>
                </w:p>
              </w:tc>
              <w:tc>
                <w:tcPr>
                  <w:tcW w:w="3873" w:type="pct"/>
                  <w:vAlign w:val="center"/>
                </w:tcPr>
                <w:p w14:paraId="7A3E7075">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用电量</w:t>
                  </w:r>
                  <w:r>
                    <w:rPr>
                      <w:rFonts w:hint="eastAsia" w:ascii="Times New Roman" w:hAnsi="Times New Roman"/>
                      <w:b w:val="0"/>
                      <w:bCs w:val="0"/>
                      <w:color w:val="auto"/>
                      <w:sz w:val="21"/>
                      <w:szCs w:val="21"/>
                      <w:lang w:val="en-US" w:eastAsia="zh-CN"/>
                    </w:rPr>
                    <w:t>200</w:t>
                  </w:r>
                  <w:r>
                    <w:rPr>
                      <w:rFonts w:ascii="Times New Roman" w:hAnsi="Times New Roman"/>
                      <w:b w:val="0"/>
                      <w:bCs w:val="0"/>
                      <w:color w:val="auto"/>
                      <w:sz w:val="21"/>
                      <w:szCs w:val="21"/>
                    </w:rPr>
                    <w:t>万kWh，</w:t>
                  </w:r>
                  <w:r>
                    <w:rPr>
                      <w:rFonts w:hint="eastAsia" w:ascii="Times New Roman" w:hAnsi="Times New Roman"/>
                      <w:b w:val="0"/>
                      <w:bCs w:val="0"/>
                      <w:color w:val="auto"/>
                      <w:sz w:val="21"/>
                      <w:szCs w:val="21"/>
                    </w:rPr>
                    <w:t>主要</w:t>
                  </w:r>
                  <w:r>
                    <w:rPr>
                      <w:rFonts w:hint="eastAsia" w:ascii="Times New Roman" w:hAnsi="Times New Roman"/>
                      <w:b w:val="0"/>
                      <w:bCs w:val="0"/>
                      <w:color w:val="auto"/>
                      <w:sz w:val="21"/>
                      <w:szCs w:val="21"/>
                      <w:lang w:eastAsia="zh-CN"/>
                    </w:rPr>
                    <w:t>来自于</w:t>
                  </w:r>
                  <w:r>
                    <w:rPr>
                      <w:rFonts w:hint="eastAsia" w:ascii="Times New Roman" w:hAnsi="Times New Roman"/>
                      <w:b w:val="0"/>
                      <w:bCs w:val="0"/>
                      <w:color w:val="auto"/>
                      <w:sz w:val="21"/>
                      <w:szCs w:val="21"/>
                      <w:lang w:val="en-US" w:eastAsia="zh-CN"/>
                    </w:rPr>
                    <w:t>项目区太阳能光伏发电和现有项目区</w:t>
                  </w:r>
                  <w:r>
                    <w:rPr>
                      <w:rFonts w:ascii="Times New Roman" w:hAnsi="Times New Roman"/>
                      <w:b w:val="0"/>
                      <w:bCs w:val="0"/>
                      <w:color w:val="auto"/>
                      <w:sz w:val="21"/>
                      <w:szCs w:val="21"/>
                    </w:rPr>
                    <w:t>沼气发电</w:t>
                  </w:r>
                  <w:r>
                    <w:rPr>
                      <w:rFonts w:hint="eastAsia" w:ascii="Times New Roman" w:hAnsi="Times New Roman"/>
                      <w:b w:val="0"/>
                      <w:bCs w:val="0"/>
                      <w:color w:val="auto"/>
                      <w:sz w:val="21"/>
                      <w:szCs w:val="21"/>
                    </w:rPr>
                    <w:t>，少量来源于市政供电</w:t>
                  </w:r>
                </w:p>
              </w:tc>
            </w:tr>
            <w:tr w14:paraId="3255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restart"/>
                  <w:vAlign w:val="center"/>
                </w:tcPr>
                <w:p w14:paraId="6DA11978">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环保工程</w:t>
                  </w:r>
                </w:p>
              </w:tc>
              <w:tc>
                <w:tcPr>
                  <w:tcW w:w="706" w:type="pct"/>
                  <w:vAlign w:val="center"/>
                </w:tcPr>
                <w:p w14:paraId="0A29BC65">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废水治理</w:t>
                  </w:r>
                </w:p>
              </w:tc>
              <w:tc>
                <w:tcPr>
                  <w:tcW w:w="3873" w:type="pct"/>
                  <w:vAlign w:val="center"/>
                </w:tcPr>
                <w:p w14:paraId="20092359">
                  <w:pPr>
                    <w:pStyle w:val="35"/>
                    <w:numPr>
                      <w:ilvl w:val="1"/>
                      <w:numId w:val="0"/>
                    </w:numPr>
                    <w:adjustRightInd w:val="0"/>
                    <w:snapToGrid w:val="0"/>
                    <w:spacing w:before="60" w:after="60" w:line="240" w:lineRule="auto"/>
                    <w:jc w:val="center"/>
                    <w:rPr>
                      <w:rFonts w:hint="default" w:ascii="Times New Roman" w:hAnsi="Times New Roman"/>
                      <w:b w:val="0"/>
                      <w:bCs w:val="0"/>
                      <w:color w:val="auto"/>
                      <w:sz w:val="21"/>
                      <w:szCs w:val="21"/>
                      <w:lang w:val="en-US"/>
                    </w:rPr>
                  </w:pPr>
                  <w:r>
                    <w:rPr>
                      <w:rFonts w:ascii="Times New Roman" w:hAnsi="Times New Roman"/>
                      <w:b w:val="0"/>
                      <w:bCs w:val="0"/>
                      <w:color w:val="auto"/>
                      <w:sz w:val="21"/>
                      <w:szCs w:val="21"/>
                    </w:rPr>
                    <w:t>厂区排水系统采用雨、污分流制；</w:t>
                  </w:r>
                  <w:r>
                    <w:rPr>
                      <w:rFonts w:hint="eastAsia" w:ascii="Times New Roman" w:hAnsi="Times New Roman"/>
                      <w:b w:val="0"/>
                      <w:bCs w:val="0"/>
                      <w:color w:val="auto"/>
                      <w:sz w:val="21"/>
                      <w:szCs w:val="21"/>
                    </w:rPr>
                    <w:t>雨水</w:t>
                  </w:r>
                  <w:r>
                    <w:rPr>
                      <w:rFonts w:hint="eastAsia" w:ascii="Times New Roman" w:hAnsi="Times New Roman"/>
                      <w:b w:val="0"/>
                      <w:bCs w:val="0"/>
                      <w:color w:val="auto"/>
                      <w:sz w:val="21"/>
                      <w:szCs w:val="21"/>
                      <w:lang w:val="en-US" w:eastAsia="zh-CN"/>
                    </w:rPr>
                    <w:t>通过雨水管网，进入循环产业园内部池塘</w:t>
                  </w:r>
                  <w:r>
                    <w:rPr>
                      <w:rFonts w:hint="eastAsia" w:ascii="Times New Roman" w:hAnsi="Times New Roman"/>
                      <w:b w:val="0"/>
                      <w:bCs w:val="0"/>
                      <w:color w:val="auto"/>
                      <w:sz w:val="21"/>
                      <w:szCs w:val="21"/>
                    </w:rPr>
                    <w:t>；生活废水经化粪池处理后和</w:t>
                  </w:r>
                  <w:r>
                    <w:rPr>
                      <w:rFonts w:ascii="Times New Roman" w:hAnsi="Times New Roman"/>
                      <w:b w:val="0"/>
                      <w:bCs w:val="0"/>
                      <w:color w:val="auto"/>
                      <w:sz w:val="21"/>
                      <w:szCs w:val="21"/>
                    </w:rPr>
                    <w:t>生产废水</w:t>
                  </w:r>
                  <w:r>
                    <w:rPr>
                      <w:rFonts w:hint="eastAsia" w:ascii="Times New Roman" w:hAnsi="Times New Roman"/>
                      <w:b w:val="0"/>
                      <w:bCs w:val="0"/>
                      <w:color w:val="auto"/>
                      <w:sz w:val="21"/>
                      <w:szCs w:val="21"/>
                    </w:rPr>
                    <w:t>一并</w:t>
                  </w:r>
                  <w:r>
                    <w:rPr>
                      <w:rFonts w:ascii="Times New Roman" w:hAnsi="Times New Roman"/>
                      <w:b w:val="0"/>
                      <w:bCs w:val="0"/>
                      <w:color w:val="auto"/>
                      <w:sz w:val="21"/>
                      <w:szCs w:val="21"/>
                    </w:rPr>
                    <w:t>排入</w:t>
                  </w:r>
                  <w:r>
                    <w:rPr>
                      <w:rFonts w:hint="eastAsia" w:ascii="Times New Roman" w:hAnsi="Times New Roman"/>
                      <w:b w:val="0"/>
                      <w:bCs w:val="0"/>
                      <w:color w:val="auto"/>
                      <w:sz w:val="21"/>
                      <w:szCs w:val="21"/>
                    </w:rPr>
                    <w:t>秸秆粪便资源化利用（一期）项目</w:t>
                  </w:r>
                  <w:r>
                    <w:rPr>
                      <w:rFonts w:hint="eastAsia" w:ascii="Times New Roman" w:hAnsi="Times New Roman"/>
                      <w:b w:val="0"/>
                      <w:bCs w:val="0"/>
                      <w:color w:val="auto"/>
                      <w:sz w:val="21"/>
                      <w:szCs w:val="21"/>
                      <w:lang w:val="en-US" w:eastAsia="zh-CN"/>
                    </w:rPr>
                    <w:t>沼气发电系统作为原料</w:t>
                  </w:r>
                </w:p>
              </w:tc>
            </w:tr>
            <w:tr w14:paraId="4B35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3BF0091D">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p>
              </w:tc>
              <w:tc>
                <w:tcPr>
                  <w:tcW w:w="706" w:type="pct"/>
                  <w:vAlign w:val="center"/>
                </w:tcPr>
                <w:p w14:paraId="781E9829">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废气治理</w:t>
                  </w:r>
                </w:p>
              </w:tc>
              <w:tc>
                <w:tcPr>
                  <w:tcW w:w="3873" w:type="pct"/>
                  <w:vAlign w:val="center"/>
                </w:tcPr>
                <w:p w14:paraId="7AA227A6">
                  <w:pPr>
                    <w:autoSpaceDE w:val="0"/>
                    <w:autoSpaceDN w:val="0"/>
                    <w:adjustRightInd w:val="0"/>
                    <w:snapToGrid w:val="0"/>
                    <w:spacing w:before="60" w:after="60"/>
                    <w:jc w:val="center"/>
                    <w:rPr>
                      <w:color w:val="auto"/>
                      <w:szCs w:val="21"/>
                    </w:rPr>
                  </w:pPr>
                  <w:r>
                    <w:rPr>
                      <w:rFonts w:hint="eastAsia"/>
                      <w:color w:val="auto"/>
                      <w:szCs w:val="21"/>
                      <w:lang w:val="en-US" w:eastAsia="zh-CN"/>
                    </w:rPr>
                    <w:t>沼气锅炉燃烧废气经低氮燃烧器处理后通过1根不低于8m高的排气筒引至高空排放；投料产生的粉尘以及豆渣存放产生的异味通过加强车间通风换风进行无组织排放</w:t>
                  </w:r>
                </w:p>
              </w:tc>
            </w:tr>
            <w:tr w14:paraId="5AF2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 w:type="pct"/>
                  <w:vMerge w:val="continue"/>
                  <w:vAlign w:val="center"/>
                </w:tcPr>
                <w:p w14:paraId="7666D71F">
                  <w:pPr>
                    <w:pStyle w:val="34"/>
                    <w:numPr>
                      <w:ilvl w:val="1"/>
                      <w:numId w:val="0"/>
                    </w:numPr>
                    <w:snapToGrid w:val="0"/>
                    <w:spacing w:before="60" w:after="60" w:line="240" w:lineRule="auto"/>
                    <w:jc w:val="center"/>
                    <w:rPr>
                      <w:rFonts w:ascii="Times New Roman" w:hAnsi="Times New Roman" w:cs="Times New Roman"/>
                      <w:b w:val="0"/>
                      <w:bCs w:val="0"/>
                      <w:color w:val="auto"/>
                      <w:kern w:val="2"/>
                      <w:sz w:val="21"/>
                      <w:szCs w:val="21"/>
                    </w:rPr>
                  </w:pPr>
                </w:p>
              </w:tc>
              <w:tc>
                <w:tcPr>
                  <w:tcW w:w="706" w:type="pct"/>
                  <w:vAlign w:val="center"/>
                </w:tcPr>
                <w:p w14:paraId="0D0A7F9C">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噪声控制</w:t>
                  </w:r>
                </w:p>
              </w:tc>
              <w:tc>
                <w:tcPr>
                  <w:tcW w:w="3873" w:type="pct"/>
                  <w:vAlign w:val="center"/>
                </w:tcPr>
                <w:p w14:paraId="0858F756">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选用低噪声设备，合理布局，对产噪设备采取基础减震、隔声等措施</w:t>
                  </w:r>
                </w:p>
              </w:tc>
            </w:tr>
            <w:tr w14:paraId="6EB6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42338E2D">
                  <w:pPr>
                    <w:pStyle w:val="34"/>
                    <w:numPr>
                      <w:ilvl w:val="1"/>
                      <w:numId w:val="0"/>
                    </w:numPr>
                    <w:snapToGrid w:val="0"/>
                    <w:spacing w:before="60" w:after="60" w:line="240" w:lineRule="auto"/>
                    <w:jc w:val="center"/>
                    <w:rPr>
                      <w:rFonts w:ascii="Times New Roman" w:hAnsi="Times New Roman" w:cs="Times New Roman"/>
                      <w:b w:val="0"/>
                      <w:bCs w:val="0"/>
                      <w:color w:val="auto"/>
                      <w:kern w:val="2"/>
                      <w:sz w:val="21"/>
                      <w:szCs w:val="21"/>
                    </w:rPr>
                  </w:pPr>
                </w:p>
              </w:tc>
              <w:tc>
                <w:tcPr>
                  <w:tcW w:w="706" w:type="pct"/>
                  <w:vAlign w:val="center"/>
                </w:tcPr>
                <w:p w14:paraId="0AE0E5E5">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ascii="Times New Roman" w:hAnsi="Times New Roman"/>
                      <w:b w:val="0"/>
                      <w:bCs w:val="0"/>
                      <w:color w:val="auto"/>
                      <w:sz w:val="21"/>
                      <w:szCs w:val="21"/>
                    </w:rPr>
                    <w:t>固废处置</w:t>
                  </w:r>
                </w:p>
              </w:tc>
              <w:tc>
                <w:tcPr>
                  <w:tcW w:w="3873" w:type="pct"/>
                  <w:vAlign w:val="center"/>
                </w:tcPr>
                <w:p w14:paraId="57AE15F0">
                  <w:pPr>
                    <w:pStyle w:val="35"/>
                    <w:numPr>
                      <w:ilvl w:val="1"/>
                      <w:numId w:val="0"/>
                    </w:numPr>
                    <w:adjustRightInd w:val="0"/>
                    <w:snapToGrid w:val="0"/>
                    <w:spacing w:before="60" w:after="60" w:line="240" w:lineRule="auto"/>
                    <w:jc w:val="center"/>
                    <w:rPr>
                      <w:rFonts w:ascii="Times New Roman" w:hAnsi="Times New Roman"/>
                      <w:b w:val="0"/>
                      <w:bCs w:val="0"/>
                      <w:color w:val="auto"/>
                      <w:sz w:val="21"/>
                      <w:szCs w:val="21"/>
                    </w:rPr>
                  </w:pPr>
                  <w:r>
                    <w:rPr>
                      <w:rFonts w:hint="eastAsia" w:ascii="Times New Roman" w:hAnsi="Times New Roman"/>
                      <w:b w:val="0"/>
                      <w:bCs w:val="0"/>
                      <w:color w:val="auto"/>
                      <w:sz w:val="21"/>
                      <w:szCs w:val="21"/>
                    </w:rPr>
                    <w:t>豆渣外售到饲料加工厂综合利用</w:t>
                  </w:r>
                  <w:r>
                    <w:rPr>
                      <w:rFonts w:hint="eastAsia" w:ascii="Times New Roman" w:hAnsi="Times New Roman"/>
                      <w:b w:val="0"/>
                      <w:bCs w:val="0"/>
                      <w:color w:val="auto"/>
                      <w:sz w:val="21"/>
                      <w:szCs w:val="21"/>
                      <w:lang w:eastAsia="zh-CN"/>
                    </w:rPr>
                    <w:t>；</w:t>
                  </w:r>
                  <w:r>
                    <w:rPr>
                      <w:rFonts w:hint="eastAsia" w:ascii="Times New Roman" w:hAnsi="Times New Roman"/>
                      <w:b w:val="0"/>
                      <w:bCs w:val="0"/>
                      <w:color w:val="auto"/>
                      <w:sz w:val="21"/>
                      <w:szCs w:val="21"/>
                    </w:rPr>
                    <w:t>生活垃圾、边角料、不合格品和废弃黄豆等由环卫部门清运</w:t>
                  </w:r>
                  <w:r>
                    <w:rPr>
                      <w:rFonts w:hint="eastAsia" w:ascii="Times New Roman" w:hAnsi="Times New Roman"/>
                      <w:b w:val="0"/>
                      <w:bCs w:val="0"/>
                      <w:color w:val="auto"/>
                      <w:sz w:val="21"/>
                      <w:szCs w:val="21"/>
                      <w:lang w:eastAsia="zh-CN"/>
                    </w:rPr>
                    <w:t>；</w:t>
                  </w:r>
                  <w:r>
                    <w:rPr>
                      <w:rFonts w:hint="eastAsia" w:ascii="Times New Roman" w:hAnsi="Times New Roman"/>
                      <w:b w:val="0"/>
                      <w:bCs w:val="0"/>
                      <w:color w:val="auto"/>
                      <w:sz w:val="21"/>
                      <w:szCs w:val="21"/>
                    </w:rPr>
                    <w:t>废包装袋和废包装纸箱等由物资回收单位处理。</w:t>
                  </w:r>
                </w:p>
              </w:tc>
            </w:tr>
            <w:tr w14:paraId="29BC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 w:type="pct"/>
                  <w:vMerge w:val="continue"/>
                  <w:vAlign w:val="center"/>
                </w:tcPr>
                <w:p w14:paraId="5CA5092D">
                  <w:pPr>
                    <w:pStyle w:val="34"/>
                    <w:numPr>
                      <w:ilvl w:val="1"/>
                      <w:numId w:val="0"/>
                    </w:numPr>
                    <w:snapToGrid w:val="0"/>
                    <w:spacing w:before="60" w:after="60" w:line="240" w:lineRule="auto"/>
                    <w:jc w:val="center"/>
                    <w:rPr>
                      <w:rFonts w:ascii="Times New Roman" w:hAnsi="Times New Roman" w:cs="Times New Roman"/>
                      <w:b w:val="0"/>
                      <w:bCs w:val="0"/>
                      <w:color w:val="auto"/>
                      <w:kern w:val="2"/>
                      <w:sz w:val="21"/>
                      <w:szCs w:val="21"/>
                    </w:rPr>
                  </w:pPr>
                </w:p>
              </w:tc>
              <w:tc>
                <w:tcPr>
                  <w:tcW w:w="706" w:type="pct"/>
                  <w:vAlign w:val="center"/>
                </w:tcPr>
                <w:p w14:paraId="3DF9F080">
                  <w:pPr>
                    <w:pStyle w:val="35"/>
                    <w:numPr>
                      <w:ilvl w:val="1"/>
                      <w:numId w:val="0"/>
                    </w:numPr>
                    <w:adjustRightInd w:val="0"/>
                    <w:snapToGrid w:val="0"/>
                    <w:spacing w:before="60" w:after="60" w:line="240" w:lineRule="auto"/>
                    <w:jc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环境风险</w:t>
                  </w:r>
                </w:p>
              </w:tc>
              <w:tc>
                <w:tcPr>
                  <w:tcW w:w="3873" w:type="pct"/>
                  <w:vAlign w:val="center"/>
                </w:tcPr>
                <w:p w14:paraId="5F652EA4">
                  <w:pPr>
                    <w:pStyle w:val="35"/>
                    <w:numPr>
                      <w:ilvl w:val="1"/>
                      <w:numId w:val="0"/>
                    </w:numPr>
                    <w:adjustRightInd w:val="0"/>
                    <w:snapToGrid w:val="0"/>
                    <w:spacing w:before="60" w:after="60" w:line="240" w:lineRule="auto"/>
                    <w:jc w:val="center"/>
                    <w:rPr>
                      <w:rFonts w:hint="default" w:ascii="Times New Roman" w:hAnsi="Times New Roman" w:eastAsia="宋体"/>
                      <w:b w:val="0"/>
                      <w:bCs w:val="0"/>
                      <w:color w:val="auto"/>
                      <w:sz w:val="21"/>
                      <w:szCs w:val="21"/>
                      <w:lang w:val="en-US" w:eastAsia="zh-CN"/>
                    </w:rPr>
                  </w:pPr>
                  <w:r>
                    <w:rPr>
                      <w:rFonts w:hint="eastAsia" w:ascii="Times New Roman" w:hAnsi="Times New Roman"/>
                      <w:b w:val="0"/>
                      <w:bCs w:val="0"/>
                      <w:color w:val="auto"/>
                      <w:sz w:val="21"/>
                      <w:szCs w:val="21"/>
                      <w:lang w:val="en-US" w:eastAsia="zh-CN"/>
                    </w:rPr>
                    <w:t>废水运输管道放置于废水专用运输沟渠内进行运输，废水专用运输沟渠内进行防腐防渗处理；沼气锅炉房内安装沼气泄露报警装置；完善风险防范与应急措施，修编突发环境事件应急预案</w:t>
                  </w:r>
                </w:p>
              </w:tc>
            </w:tr>
          </w:tbl>
          <w:p w14:paraId="5AD726FC">
            <w:pPr>
              <w:spacing w:beforeLines="50" w:line="360" w:lineRule="auto"/>
              <w:ind w:firstLine="482" w:firstLineChars="200"/>
              <w:rPr>
                <w:b/>
                <w:color w:val="auto"/>
                <w:sz w:val="24"/>
              </w:rPr>
            </w:pPr>
            <w:r>
              <w:rPr>
                <w:rFonts w:hint="eastAsia"/>
                <w:b/>
                <w:color w:val="auto"/>
                <w:sz w:val="24"/>
              </w:rPr>
              <w:t>3、产品方案</w:t>
            </w:r>
          </w:p>
          <w:p w14:paraId="37AD89D6">
            <w:pPr>
              <w:pStyle w:val="34"/>
              <w:numPr>
                <w:ilvl w:val="1"/>
                <w:numId w:val="0"/>
              </w:numPr>
              <w:spacing w:line="360" w:lineRule="auto"/>
              <w:ind w:left="210" w:leftChars="100" w:firstLine="480" w:firstLineChars="200"/>
              <w:rPr>
                <w:b w:val="0"/>
                <w:bCs w:val="0"/>
                <w:color w:val="auto"/>
              </w:rPr>
            </w:pPr>
            <w:r>
              <w:rPr>
                <w:b w:val="0"/>
                <w:bCs w:val="0"/>
                <w:color w:val="auto"/>
              </w:rPr>
              <w:t>根据建设单位提供的资料，项目产品方案见下表。</w:t>
            </w:r>
          </w:p>
          <w:p w14:paraId="712C9288">
            <w:pPr>
              <w:adjustRightInd w:val="0"/>
              <w:snapToGrid w:val="0"/>
              <w:jc w:val="center"/>
              <w:rPr>
                <w:b/>
                <w:bCs/>
                <w:color w:val="auto"/>
                <w:szCs w:val="21"/>
              </w:rPr>
            </w:pPr>
            <w:r>
              <w:rPr>
                <w:b/>
                <w:bCs/>
                <w:color w:val="auto"/>
                <w:szCs w:val="21"/>
              </w:rPr>
              <w:t>表</w:t>
            </w:r>
            <w:r>
              <w:rPr>
                <w:rFonts w:hint="eastAsia"/>
                <w:b/>
                <w:bCs/>
                <w:color w:val="auto"/>
                <w:szCs w:val="21"/>
              </w:rPr>
              <w:t>2-</w:t>
            </w:r>
            <w:r>
              <w:rPr>
                <w:rFonts w:hint="eastAsia"/>
                <w:b/>
                <w:bCs/>
                <w:color w:val="auto"/>
                <w:szCs w:val="21"/>
                <w:lang w:val="en-US" w:eastAsia="zh-CN"/>
              </w:rPr>
              <w:t>3</w:t>
            </w:r>
            <w:r>
              <w:rPr>
                <w:b/>
                <w:bCs/>
                <w:color w:val="auto"/>
                <w:szCs w:val="21"/>
              </w:rPr>
              <w:t xml:space="preserve"> 项目产品方案及生产规模</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946"/>
              <w:gridCol w:w="1886"/>
              <w:gridCol w:w="1171"/>
              <w:gridCol w:w="2173"/>
            </w:tblGrid>
            <w:tr w14:paraId="58BE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noWrap w:val="0"/>
                  <w:vAlign w:val="center"/>
                </w:tcPr>
                <w:p w14:paraId="37D85FD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b/>
                      <w:bCs/>
                      <w:color w:val="auto"/>
                      <w:kern w:val="0"/>
                      <w:szCs w:val="21"/>
                    </w:rPr>
                  </w:pPr>
                  <w:r>
                    <w:rPr>
                      <w:b/>
                      <w:bCs/>
                      <w:color w:val="auto"/>
                      <w:kern w:val="0"/>
                      <w:szCs w:val="21"/>
                    </w:rPr>
                    <w:t>产品名称</w:t>
                  </w:r>
                </w:p>
              </w:tc>
              <w:tc>
                <w:tcPr>
                  <w:tcW w:w="1173" w:type="pct"/>
                  <w:noWrap w:val="0"/>
                  <w:vAlign w:val="center"/>
                </w:tcPr>
                <w:p w14:paraId="696C069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b/>
                      <w:bCs/>
                      <w:color w:val="auto"/>
                      <w:kern w:val="0"/>
                      <w:szCs w:val="21"/>
                    </w:rPr>
                  </w:pPr>
                  <w:r>
                    <w:rPr>
                      <w:b/>
                      <w:bCs/>
                      <w:color w:val="auto"/>
                      <w:kern w:val="0"/>
                      <w:szCs w:val="21"/>
                    </w:rPr>
                    <w:t>规格/型号</w:t>
                  </w:r>
                </w:p>
              </w:tc>
              <w:tc>
                <w:tcPr>
                  <w:tcW w:w="1137" w:type="pct"/>
                  <w:noWrap w:val="0"/>
                  <w:vAlign w:val="center"/>
                </w:tcPr>
                <w:p w14:paraId="7F3FB64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b/>
                      <w:bCs/>
                      <w:color w:val="auto"/>
                      <w:kern w:val="0"/>
                      <w:szCs w:val="21"/>
                      <w:lang w:eastAsia="zh-CN"/>
                    </w:rPr>
                  </w:pPr>
                  <w:r>
                    <w:rPr>
                      <w:rFonts w:hint="eastAsia"/>
                      <w:b/>
                      <w:bCs/>
                      <w:color w:val="auto"/>
                      <w:kern w:val="0"/>
                      <w:szCs w:val="21"/>
                      <w:lang w:eastAsia="zh-CN"/>
                    </w:rPr>
                    <w:t>生产线数量</w:t>
                  </w:r>
                </w:p>
              </w:tc>
              <w:tc>
                <w:tcPr>
                  <w:tcW w:w="704" w:type="pct"/>
                  <w:noWrap w:val="0"/>
                  <w:vAlign w:val="center"/>
                </w:tcPr>
                <w:p w14:paraId="0A7B048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b/>
                      <w:bCs/>
                      <w:color w:val="auto"/>
                      <w:kern w:val="0"/>
                      <w:szCs w:val="21"/>
                    </w:rPr>
                  </w:pPr>
                  <w:r>
                    <w:rPr>
                      <w:rFonts w:hint="eastAsia"/>
                      <w:b/>
                      <w:bCs/>
                      <w:color w:val="auto"/>
                      <w:kern w:val="0"/>
                      <w:szCs w:val="21"/>
                      <w:lang w:eastAsia="zh-CN"/>
                    </w:rPr>
                    <w:t>产量</w:t>
                  </w:r>
                  <w:r>
                    <w:rPr>
                      <w:rFonts w:hint="eastAsia"/>
                      <w:b/>
                      <w:bCs/>
                      <w:color w:val="auto"/>
                      <w:kern w:val="0"/>
                      <w:szCs w:val="21"/>
                    </w:rPr>
                    <w:t>t</w:t>
                  </w:r>
                  <w:r>
                    <w:rPr>
                      <w:b/>
                      <w:bCs/>
                      <w:color w:val="auto"/>
                      <w:kern w:val="0"/>
                      <w:szCs w:val="21"/>
                    </w:rPr>
                    <w:t>/a</w:t>
                  </w:r>
                </w:p>
              </w:tc>
              <w:tc>
                <w:tcPr>
                  <w:tcW w:w="1309" w:type="pct"/>
                  <w:noWrap w:val="0"/>
                  <w:vAlign w:val="center"/>
                </w:tcPr>
                <w:p w14:paraId="7CAA89E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b/>
                      <w:bCs/>
                      <w:color w:val="auto"/>
                      <w:kern w:val="0"/>
                      <w:szCs w:val="21"/>
                    </w:rPr>
                  </w:pPr>
                  <w:r>
                    <w:rPr>
                      <w:rFonts w:hint="eastAsia"/>
                      <w:b/>
                      <w:bCs/>
                      <w:color w:val="auto"/>
                      <w:kern w:val="0"/>
                      <w:szCs w:val="21"/>
                    </w:rPr>
                    <w:t>执行标准</w:t>
                  </w:r>
                </w:p>
              </w:tc>
            </w:tr>
            <w:tr w14:paraId="0E015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noWrap w:val="0"/>
                  <w:vAlign w:val="center"/>
                </w:tcPr>
                <w:p w14:paraId="28148D8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color w:val="auto"/>
                      <w:kern w:val="0"/>
                      <w:szCs w:val="21"/>
                    </w:rPr>
                  </w:pPr>
                  <w:r>
                    <w:rPr>
                      <w:rFonts w:hint="eastAsia"/>
                      <w:color w:val="auto"/>
                      <w:kern w:val="0"/>
                      <w:szCs w:val="21"/>
                    </w:rPr>
                    <w:t>千张</w:t>
                  </w:r>
                </w:p>
              </w:tc>
              <w:tc>
                <w:tcPr>
                  <w:tcW w:w="1173" w:type="pct"/>
                  <w:noWrap w:val="0"/>
                  <w:vAlign w:val="center"/>
                </w:tcPr>
                <w:p w14:paraId="23269F0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color w:val="auto"/>
                      <w:kern w:val="0"/>
                      <w:szCs w:val="21"/>
                    </w:rPr>
                  </w:pPr>
                  <w:r>
                    <w:rPr>
                      <w:rFonts w:hint="eastAsia"/>
                      <w:color w:val="auto"/>
                      <w:kern w:val="0"/>
                      <w:szCs w:val="21"/>
                      <w:lang w:val="en-US" w:eastAsia="zh-CN"/>
                    </w:rPr>
                    <w:t>40</w:t>
                  </w:r>
                  <w:r>
                    <w:rPr>
                      <w:rFonts w:hint="eastAsia"/>
                      <w:color w:val="auto"/>
                      <w:kern w:val="0"/>
                      <w:szCs w:val="21"/>
                    </w:rPr>
                    <w:t>cm*</w:t>
                  </w:r>
                  <w:r>
                    <w:rPr>
                      <w:rFonts w:hint="eastAsia"/>
                      <w:color w:val="auto"/>
                      <w:kern w:val="0"/>
                      <w:szCs w:val="21"/>
                      <w:lang w:val="en-US" w:eastAsia="zh-CN"/>
                    </w:rPr>
                    <w:t>90</w:t>
                  </w:r>
                  <w:r>
                    <w:rPr>
                      <w:rFonts w:hint="eastAsia"/>
                      <w:color w:val="auto"/>
                      <w:kern w:val="0"/>
                      <w:szCs w:val="21"/>
                    </w:rPr>
                    <w:t>cm/张</w:t>
                  </w:r>
                </w:p>
              </w:tc>
              <w:tc>
                <w:tcPr>
                  <w:tcW w:w="1137" w:type="pct"/>
                  <w:noWrap w:val="0"/>
                  <w:vAlign w:val="center"/>
                </w:tcPr>
                <w:p w14:paraId="56D8618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10条（每条生产线产量为1.000t/d）</w:t>
                  </w:r>
                </w:p>
              </w:tc>
              <w:tc>
                <w:tcPr>
                  <w:tcW w:w="704" w:type="pct"/>
                  <w:noWrap w:val="0"/>
                  <w:vAlign w:val="center"/>
                </w:tcPr>
                <w:p w14:paraId="18C378B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3000</w:t>
                  </w:r>
                </w:p>
              </w:tc>
              <w:tc>
                <w:tcPr>
                  <w:tcW w:w="1309" w:type="pct"/>
                  <w:noWrap w:val="0"/>
                  <w:vAlign w:val="center"/>
                </w:tcPr>
                <w:p w14:paraId="02C077C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color w:val="auto"/>
                      <w:kern w:val="0"/>
                      <w:szCs w:val="21"/>
                    </w:rPr>
                  </w:pPr>
                  <w:r>
                    <w:rPr>
                      <w:rFonts w:hint="eastAsia"/>
                      <w:color w:val="auto"/>
                      <w:kern w:val="0"/>
                      <w:szCs w:val="21"/>
                    </w:rPr>
                    <w:t>Q/CXX 0001 S-202</w:t>
                  </w:r>
                  <w:r>
                    <w:rPr>
                      <w:rFonts w:hint="eastAsia"/>
                      <w:color w:val="auto"/>
                      <w:kern w:val="0"/>
                      <w:szCs w:val="21"/>
                      <w:lang w:val="en-US" w:eastAsia="zh-CN"/>
                    </w:rPr>
                    <w:t>4</w:t>
                  </w:r>
                  <w:r>
                    <w:rPr>
                      <w:rFonts w:hint="eastAsia"/>
                      <w:color w:val="auto"/>
                      <w:kern w:val="0"/>
                      <w:szCs w:val="21"/>
                    </w:rPr>
                    <w:t xml:space="preserve"> </w:t>
                  </w:r>
                </w:p>
              </w:tc>
            </w:tr>
            <w:tr w14:paraId="158C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noWrap w:val="0"/>
                  <w:vAlign w:val="center"/>
                </w:tcPr>
                <w:p w14:paraId="7387D2F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豆干</w:t>
                  </w:r>
                </w:p>
              </w:tc>
              <w:tc>
                <w:tcPr>
                  <w:tcW w:w="1173" w:type="pct"/>
                  <w:noWrap w:val="0"/>
                  <w:vAlign w:val="center"/>
                </w:tcPr>
                <w:p w14:paraId="444518B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5cm</w:t>
                  </w:r>
                  <w:r>
                    <w:rPr>
                      <w:rFonts w:hint="eastAsia"/>
                      <w:color w:val="auto"/>
                      <w:kern w:val="0"/>
                      <w:szCs w:val="21"/>
                    </w:rPr>
                    <w:t>*40cm</w:t>
                  </w:r>
                  <w:r>
                    <w:rPr>
                      <w:rFonts w:hint="eastAsia"/>
                      <w:color w:val="auto"/>
                      <w:kern w:val="0"/>
                      <w:szCs w:val="21"/>
                      <w:lang w:val="en-US" w:eastAsia="zh-CN"/>
                    </w:rPr>
                    <w:t>/块</w:t>
                  </w:r>
                </w:p>
              </w:tc>
              <w:tc>
                <w:tcPr>
                  <w:tcW w:w="1137" w:type="pct"/>
                  <w:noWrap w:val="0"/>
                  <w:vAlign w:val="center"/>
                </w:tcPr>
                <w:p w14:paraId="6945D86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5条（每条生产线产量为0.333t/d）</w:t>
                  </w:r>
                </w:p>
              </w:tc>
              <w:tc>
                <w:tcPr>
                  <w:tcW w:w="704" w:type="pct"/>
                  <w:noWrap w:val="0"/>
                  <w:vAlign w:val="center"/>
                </w:tcPr>
                <w:p w14:paraId="5FF8742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500</w:t>
                  </w:r>
                </w:p>
              </w:tc>
              <w:tc>
                <w:tcPr>
                  <w:tcW w:w="1309" w:type="pct"/>
                  <w:noWrap w:val="0"/>
                  <w:vAlign w:val="center"/>
                </w:tcPr>
                <w:p w14:paraId="357C1A2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Q/CXX 000</w:t>
                  </w:r>
                  <w:r>
                    <w:rPr>
                      <w:rFonts w:hint="eastAsia"/>
                      <w:color w:val="auto"/>
                      <w:kern w:val="0"/>
                      <w:szCs w:val="21"/>
                      <w:lang w:val="en-US" w:eastAsia="zh-CN"/>
                    </w:rPr>
                    <w:t>2</w:t>
                  </w:r>
                  <w:r>
                    <w:rPr>
                      <w:rFonts w:hint="eastAsia"/>
                      <w:color w:val="auto"/>
                      <w:kern w:val="0"/>
                      <w:szCs w:val="21"/>
                    </w:rPr>
                    <w:t xml:space="preserve"> S-202</w:t>
                  </w:r>
                  <w:r>
                    <w:rPr>
                      <w:rFonts w:hint="eastAsia"/>
                      <w:color w:val="auto"/>
                      <w:kern w:val="0"/>
                      <w:szCs w:val="21"/>
                      <w:lang w:val="en-US" w:eastAsia="zh-CN"/>
                    </w:rPr>
                    <w:t>4</w:t>
                  </w:r>
                  <w:r>
                    <w:rPr>
                      <w:rFonts w:hint="eastAsia"/>
                      <w:color w:val="auto"/>
                      <w:kern w:val="0"/>
                      <w:szCs w:val="21"/>
                    </w:rPr>
                    <w:t xml:space="preserve"> </w:t>
                  </w:r>
                </w:p>
              </w:tc>
            </w:tr>
            <w:tr w14:paraId="0EEC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noWrap w:val="0"/>
                  <w:vAlign w:val="center"/>
                </w:tcPr>
                <w:p w14:paraId="535D4B4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eastAsia="zh-CN"/>
                    </w:rPr>
                  </w:pPr>
                  <w:r>
                    <w:rPr>
                      <w:rFonts w:hint="eastAsia"/>
                      <w:color w:val="auto"/>
                      <w:kern w:val="0"/>
                      <w:szCs w:val="21"/>
                      <w:lang w:eastAsia="zh-CN"/>
                    </w:rPr>
                    <w:t>内酯豆腐</w:t>
                  </w:r>
                </w:p>
              </w:tc>
              <w:tc>
                <w:tcPr>
                  <w:tcW w:w="1173" w:type="pct"/>
                  <w:noWrap w:val="0"/>
                  <w:vAlign w:val="center"/>
                </w:tcPr>
                <w:p w14:paraId="3D8C0E2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12cm</w:t>
                  </w:r>
                  <w:r>
                    <w:rPr>
                      <w:rFonts w:hint="eastAsia"/>
                      <w:color w:val="auto"/>
                      <w:kern w:val="0"/>
                      <w:szCs w:val="21"/>
                    </w:rPr>
                    <w:t>*</w:t>
                  </w:r>
                  <w:r>
                    <w:rPr>
                      <w:rFonts w:hint="eastAsia"/>
                      <w:color w:val="auto"/>
                      <w:kern w:val="0"/>
                      <w:szCs w:val="21"/>
                      <w:lang w:val="en-US" w:eastAsia="zh-CN"/>
                    </w:rPr>
                    <w:t>5</w:t>
                  </w:r>
                  <w:r>
                    <w:rPr>
                      <w:rFonts w:hint="eastAsia"/>
                      <w:color w:val="auto"/>
                      <w:kern w:val="0"/>
                      <w:szCs w:val="21"/>
                    </w:rPr>
                    <w:t>cm*</w:t>
                  </w:r>
                  <w:r>
                    <w:rPr>
                      <w:rFonts w:hint="eastAsia"/>
                      <w:color w:val="auto"/>
                      <w:kern w:val="0"/>
                      <w:szCs w:val="21"/>
                      <w:lang w:val="en-US" w:eastAsia="zh-CN"/>
                    </w:rPr>
                    <w:t>3cm/块</w:t>
                  </w:r>
                </w:p>
              </w:tc>
              <w:tc>
                <w:tcPr>
                  <w:tcW w:w="1137" w:type="pct"/>
                  <w:noWrap w:val="0"/>
                  <w:vAlign w:val="center"/>
                </w:tcPr>
                <w:p w14:paraId="4DFE7B5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2条（每条生产线产量为0.833t/d）</w:t>
                  </w:r>
                </w:p>
              </w:tc>
              <w:tc>
                <w:tcPr>
                  <w:tcW w:w="704" w:type="pct"/>
                  <w:noWrap w:val="0"/>
                  <w:vAlign w:val="center"/>
                </w:tcPr>
                <w:p w14:paraId="244234B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500</w:t>
                  </w:r>
                </w:p>
              </w:tc>
              <w:tc>
                <w:tcPr>
                  <w:tcW w:w="1309" w:type="pct"/>
                  <w:noWrap w:val="0"/>
                  <w:vAlign w:val="center"/>
                </w:tcPr>
                <w:p w14:paraId="4C39A55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Q/CXX 000</w:t>
                  </w:r>
                  <w:r>
                    <w:rPr>
                      <w:rFonts w:hint="eastAsia"/>
                      <w:color w:val="auto"/>
                      <w:kern w:val="0"/>
                      <w:szCs w:val="21"/>
                      <w:lang w:val="en-US" w:eastAsia="zh-CN"/>
                    </w:rPr>
                    <w:t>3</w:t>
                  </w:r>
                  <w:r>
                    <w:rPr>
                      <w:rFonts w:hint="eastAsia"/>
                      <w:color w:val="auto"/>
                      <w:kern w:val="0"/>
                      <w:szCs w:val="21"/>
                    </w:rPr>
                    <w:t xml:space="preserve"> S-202</w:t>
                  </w:r>
                  <w:r>
                    <w:rPr>
                      <w:rFonts w:hint="eastAsia"/>
                      <w:color w:val="auto"/>
                      <w:kern w:val="0"/>
                      <w:szCs w:val="21"/>
                      <w:lang w:val="en-US" w:eastAsia="zh-CN"/>
                    </w:rPr>
                    <w:t>4</w:t>
                  </w:r>
                  <w:r>
                    <w:rPr>
                      <w:rFonts w:hint="eastAsia"/>
                      <w:color w:val="auto"/>
                      <w:kern w:val="0"/>
                      <w:szCs w:val="21"/>
                    </w:rPr>
                    <w:t xml:space="preserve"> </w:t>
                  </w:r>
                </w:p>
              </w:tc>
            </w:tr>
            <w:tr w14:paraId="0C12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5"/>
                  <w:noWrap w:val="0"/>
                  <w:vAlign w:val="center"/>
                </w:tcPr>
                <w:p w14:paraId="34D926A2">
                  <w:pPr>
                    <w:keepNext w:val="0"/>
                    <w:keepLines w:val="0"/>
                    <w:pageBreakBefore w:val="0"/>
                    <w:widowControl/>
                    <w:kinsoku/>
                    <w:wordWrap/>
                    <w:overflowPunct/>
                    <w:topLinePunct w:val="0"/>
                    <w:autoSpaceDE/>
                    <w:autoSpaceDN/>
                    <w:bidi w:val="0"/>
                    <w:adjustRightInd w:val="0"/>
                    <w:snapToGrid w:val="0"/>
                    <w:spacing w:before="60" w:after="60"/>
                    <w:jc w:val="both"/>
                    <w:textAlignment w:val="auto"/>
                    <w:rPr>
                      <w:rFonts w:hint="default" w:eastAsia="宋体"/>
                      <w:color w:val="auto"/>
                      <w:kern w:val="0"/>
                      <w:szCs w:val="21"/>
                      <w:lang w:val="en-US" w:eastAsia="zh-CN"/>
                    </w:rPr>
                  </w:pPr>
                  <w:r>
                    <w:rPr>
                      <w:rFonts w:hint="eastAsia"/>
                      <w:color w:val="auto"/>
                      <w:kern w:val="0"/>
                      <w:szCs w:val="21"/>
                      <w:lang w:eastAsia="zh-CN"/>
                    </w:rPr>
                    <w:t>备注：豆制品平均含水率约为</w:t>
                  </w:r>
                  <w:r>
                    <w:rPr>
                      <w:rFonts w:hint="eastAsia"/>
                      <w:color w:val="auto"/>
                      <w:kern w:val="0"/>
                      <w:szCs w:val="21"/>
                      <w:lang w:val="en-US" w:eastAsia="zh-CN"/>
                    </w:rPr>
                    <w:t>60%。</w:t>
                  </w:r>
                </w:p>
              </w:tc>
            </w:tr>
            <w:tr w14:paraId="4634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noWrap w:val="0"/>
                  <w:vAlign w:val="center"/>
                </w:tcPr>
                <w:p w14:paraId="57ABC09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lang w:val="en-US" w:eastAsia="zh-CN"/>
                    </w:rPr>
                  </w:pPr>
                  <w:r>
                    <w:rPr>
                      <w:rFonts w:hint="eastAsia"/>
                      <w:b/>
                      <w:bCs/>
                      <w:color w:val="auto"/>
                      <w:kern w:val="0"/>
                      <w:szCs w:val="21"/>
                      <w:lang w:val="en-US" w:eastAsia="zh-CN"/>
                    </w:rPr>
                    <w:t>豆制品要求指标</w:t>
                  </w:r>
                </w:p>
              </w:tc>
            </w:tr>
            <w:tr w14:paraId="49B3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pct"/>
                  <w:noWrap w:val="0"/>
                  <w:vAlign w:val="center"/>
                </w:tcPr>
                <w:p w14:paraId="7602EF2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lang w:val="en-US" w:eastAsia="zh-CN"/>
                    </w:rPr>
                  </w:pPr>
                  <w:r>
                    <w:rPr>
                      <w:rFonts w:hint="eastAsia"/>
                      <w:b/>
                      <w:bCs/>
                      <w:color w:val="auto"/>
                      <w:kern w:val="0"/>
                      <w:szCs w:val="21"/>
                      <w:lang w:val="en-US" w:eastAsia="zh-CN"/>
                    </w:rPr>
                    <w:t>指标类型</w:t>
                  </w:r>
                </w:p>
              </w:tc>
              <w:tc>
                <w:tcPr>
                  <w:tcW w:w="3016" w:type="pct"/>
                  <w:gridSpan w:val="3"/>
                  <w:noWrap w:val="0"/>
                  <w:vAlign w:val="center"/>
                </w:tcPr>
                <w:p w14:paraId="133BD07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lang w:val="en-US" w:eastAsia="zh-CN"/>
                    </w:rPr>
                  </w:pPr>
                  <w:r>
                    <w:rPr>
                      <w:rFonts w:hint="eastAsia"/>
                      <w:b/>
                      <w:bCs/>
                      <w:color w:val="auto"/>
                      <w:kern w:val="0"/>
                      <w:szCs w:val="21"/>
                      <w:lang w:val="en-US" w:eastAsia="zh-CN"/>
                    </w:rPr>
                    <w:t>项目</w:t>
                  </w:r>
                </w:p>
              </w:tc>
              <w:tc>
                <w:tcPr>
                  <w:tcW w:w="1309" w:type="pct"/>
                  <w:noWrap w:val="0"/>
                  <w:vAlign w:val="center"/>
                </w:tcPr>
                <w:p w14:paraId="269B015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lang w:val="en-US" w:eastAsia="zh-CN"/>
                    </w:rPr>
                  </w:pPr>
                  <w:r>
                    <w:rPr>
                      <w:rFonts w:hint="eastAsia"/>
                      <w:b/>
                      <w:bCs/>
                      <w:color w:val="auto"/>
                      <w:kern w:val="0"/>
                      <w:szCs w:val="21"/>
                      <w:lang w:val="en-US" w:eastAsia="zh-CN"/>
                    </w:rPr>
                    <w:t>指标</w:t>
                  </w:r>
                </w:p>
              </w:tc>
            </w:tr>
            <w:tr w14:paraId="6AC8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pct"/>
                  <w:vMerge w:val="restart"/>
                  <w:noWrap w:val="0"/>
                  <w:vAlign w:val="center"/>
                </w:tcPr>
                <w:p w14:paraId="2375FAD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理化指标</w:t>
                  </w:r>
                </w:p>
              </w:tc>
              <w:tc>
                <w:tcPr>
                  <w:tcW w:w="3016" w:type="pct"/>
                  <w:gridSpan w:val="3"/>
                  <w:noWrap w:val="0"/>
                  <w:vAlign w:val="center"/>
                </w:tcPr>
                <w:p w14:paraId="40A9C11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水分/（g/100g）≤</w:t>
                  </w:r>
                </w:p>
              </w:tc>
              <w:tc>
                <w:tcPr>
                  <w:tcW w:w="1309" w:type="pct"/>
                  <w:noWrap w:val="0"/>
                  <w:vAlign w:val="center"/>
                </w:tcPr>
                <w:p w14:paraId="5C9E0AA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90.0</w:t>
                  </w:r>
                </w:p>
              </w:tc>
            </w:tr>
            <w:tr w14:paraId="2E2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vMerge w:val="continue"/>
                  <w:noWrap w:val="0"/>
                  <w:vAlign w:val="center"/>
                </w:tcPr>
                <w:p w14:paraId="3060E3F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p>
              </w:tc>
              <w:tc>
                <w:tcPr>
                  <w:tcW w:w="3016" w:type="pct"/>
                  <w:gridSpan w:val="3"/>
                  <w:noWrap w:val="0"/>
                  <w:vAlign w:val="center"/>
                </w:tcPr>
                <w:p w14:paraId="5F6CCDC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val="en-US" w:eastAsia="zh-CN"/>
                    </w:rPr>
                  </w:pPr>
                  <w:r>
                    <w:rPr>
                      <w:rFonts w:hint="eastAsia"/>
                      <w:color w:val="auto"/>
                      <w:kern w:val="0"/>
                      <w:szCs w:val="21"/>
                      <w:lang w:val="en-US" w:eastAsia="zh-CN"/>
                    </w:rPr>
                    <w:t>蛋白质/（g/100g）≤</w:t>
                  </w:r>
                </w:p>
              </w:tc>
              <w:tc>
                <w:tcPr>
                  <w:tcW w:w="1309" w:type="pct"/>
                  <w:noWrap w:val="0"/>
                  <w:vAlign w:val="center"/>
                </w:tcPr>
                <w:p w14:paraId="341530F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5.0</w:t>
                  </w:r>
                </w:p>
              </w:tc>
            </w:tr>
            <w:tr w14:paraId="04DC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vMerge w:val="restart"/>
                  <w:noWrap w:val="0"/>
                  <w:vAlign w:val="center"/>
                </w:tcPr>
                <w:p w14:paraId="1088BF0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卫生指标</w:t>
                  </w:r>
                </w:p>
              </w:tc>
              <w:tc>
                <w:tcPr>
                  <w:tcW w:w="3016" w:type="pct"/>
                  <w:gridSpan w:val="3"/>
                  <w:noWrap w:val="0"/>
                  <w:vAlign w:val="center"/>
                </w:tcPr>
                <w:p w14:paraId="73CAA97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总砷（以 As 计）（mg/kg）≤</w:t>
                  </w:r>
                </w:p>
              </w:tc>
              <w:tc>
                <w:tcPr>
                  <w:tcW w:w="1309" w:type="pct"/>
                  <w:noWrap w:val="0"/>
                  <w:vAlign w:val="center"/>
                </w:tcPr>
                <w:p w14:paraId="4CFD422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0.5</w:t>
                  </w:r>
                </w:p>
              </w:tc>
            </w:tr>
            <w:tr w14:paraId="5A15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vMerge w:val="continue"/>
                  <w:noWrap w:val="0"/>
                  <w:vAlign w:val="center"/>
                </w:tcPr>
                <w:p w14:paraId="38AE12B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p>
              </w:tc>
              <w:tc>
                <w:tcPr>
                  <w:tcW w:w="3016" w:type="pct"/>
                  <w:gridSpan w:val="3"/>
                  <w:noWrap w:val="0"/>
                  <w:vAlign w:val="center"/>
                </w:tcPr>
                <w:p w14:paraId="7ECA13C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铅（Pb）/（mg/kg）≤</w:t>
                  </w:r>
                </w:p>
              </w:tc>
              <w:tc>
                <w:tcPr>
                  <w:tcW w:w="1309" w:type="pct"/>
                  <w:noWrap w:val="0"/>
                  <w:vAlign w:val="center"/>
                </w:tcPr>
                <w:p w14:paraId="78F5B30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1.0</w:t>
                  </w:r>
                </w:p>
              </w:tc>
            </w:tr>
            <w:tr w14:paraId="24E0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vMerge w:val="continue"/>
                  <w:noWrap w:val="0"/>
                  <w:vAlign w:val="center"/>
                </w:tcPr>
                <w:p w14:paraId="48F9DDB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p>
              </w:tc>
              <w:tc>
                <w:tcPr>
                  <w:tcW w:w="3016" w:type="pct"/>
                  <w:gridSpan w:val="3"/>
                  <w:noWrap w:val="0"/>
                  <w:vAlign w:val="center"/>
                </w:tcPr>
                <w:p w14:paraId="17CEE0C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细菌总数≤</w:t>
                  </w:r>
                </w:p>
              </w:tc>
              <w:tc>
                <w:tcPr>
                  <w:tcW w:w="1309" w:type="pct"/>
                  <w:noWrap w:val="0"/>
                  <w:vAlign w:val="center"/>
                </w:tcPr>
                <w:p w14:paraId="4BE462C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100.0</w:t>
                  </w:r>
                </w:p>
              </w:tc>
            </w:tr>
            <w:tr w14:paraId="709D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vMerge w:val="continue"/>
                  <w:noWrap w:val="0"/>
                  <w:vAlign w:val="center"/>
                </w:tcPr>
                <w:p w14:paraId="3EED493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p>
              </w:tc>
              <w:tc>
                <w:tcPr>
                  <w:tcW w:w="3016" w:type="pct"/>
                  <w:gridSpan w:val="3"/>
                  <w:noWrap w:val="0"/>
                  <w:vAlign w:val="center"/>
                </w:tcPr>
                <w:p w14:paraId="3E9634B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大肠菌群</w:t>
                  </w:r>
                  <w:r>
                    <w:rPr>
                      <w:rFonts w:hint="default"/>
                      <w:color w:val="auto"/>
                      <w:kern w:val="0"/>
                      <w:szCs w:val="21"/>
                      <w:lang w:val="en-US" w:eastAsia="zh-CN"/>
                    </w:rPr>
                    <w:t>/</w:t>
                  </w:r>
                  <w:r>
                    <w:rPr>
                      <w:rFonts w:hint="eastAsia"/>
                      <w:color w:val="auto"/>
                      <w:kern w:val="0"/>
                      <w:szCs w:val="21"/>
                      <w:lang w:val="en-US" w:eastAsia="zh-CN"/>
                    </w:rPr>
                    <w:t>（</w:t>
                  </w:r>
                  <w:r>
                    <w:rPr>
                      <w:rFonts w:hint="default"/>
                      <w:color w:val="auto"/>
                      <w:kern w:val="0"/>
                      <w:szCs w:val="21"/>
                      <w:lang w:val="en-US" w:eastAsia="zh-CN"/>
                    </w:rPr>
                    <w:t>MPN/100g</w:t>
                  </w:r>
                  <w:r>
                    <w:rPr>
                      <w:rFonts w:hint="eastAsia"/>
                      <w:color w:val="auto"/>
                      <w:kern w:val="0"/>
                      <w:szCs w:val="21"/>
                      <w:lang w:val="en-US" w:eastAsia="zh-CN"/>
                    </w:rPr>
                    <w:t>）≤</w:t>
                  </w:r>
                </w:p>
              </w:tc>
              <w:tc>
                <w:tcPr>
                  <w:tcW w:w="1309" w:type="pct"/>
                  <w:noWrap w:val="0"/>
                  <w:vAlign w:val="center"/>
                </w:tcPr>
                <w:p w14:paraId="5EE76BA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150</w:t>
                  </w:r>
                </w:p>
              </w:tc>
            </w:tr>
            <w:tr w14:paraId="3413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4" w:type="pct"/>
                  <w:vMerge w:val="continue"/>
                  <w:noWrap w:val="0"/>
                  <w:vAlign w:val="center"/>
                </w:tcPr>
                <w:p w14:paraId="3F96DC0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p>
              </w:tc>
              <w:tc>
                <w:tcPr>
                  <w:tcW w:w="3016" w:type="pct"/>
                  <w:gridSpan w:val="3"/>
                  <w:noWrap w:val="0"/>
                  <w:vAlign w:val="center"/>
                </w:tcPr>
                <w:p w14:paraId="69EAD89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致病菌（沙门氏菌、金黄色葡萄球菌、志贺氏菌）</w:t>
                  </w:r>
                </w:p>
              </w:tc>
              <w:tc>
                <w:tcPr>
                  <w:tcW w:w="1309" w:type="pct"/>
                  <w:noWrap w:val="0"/>
                  <w:vAlign w:val="center"/>
                </w:tcPr>
                <w:p w14:paraId="06C2BF7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不得检出</w:t>
                  </w:r>
                </w:p>
              </w:tc>
            </w:tr>
          </w:tbl>
          <w:p w14:paraId="7CD53303">
            <w:pPr>
              <w:spacing w:beforeLines="50" w:line="360" w:lineRule="auto"/>
              <w:ind w:firstLine="482" w:firstLineChars="200"/>
              <w:rPr>
                <w:b/>
                <w:color w:val="auto"/>
                <w:sz w:val="24"/>
              </w:rPr>
            </w:pPr>
            <w:r>
              <w:rPr>
                <w:rFonts w:hint="eastAsia"/>
                <w:b/>
                <w:color w:val="auto"/>
                <w:sz w:val="24"/>
              </w:rPr>
              <w:t>4、项目主要生产设备</w:t>
            </w:r>
          </w:p>
          <w:p w14:paraId="0708DF44">
            <w:pPr>
              <w:pStyle w:val="7"/>
              <w:spacing w:line="360" w:lineRule="auto"/>
              <w:ind w:firstLine="480"/>
              <w:rPr>
                <w:color w:val="auto"/>
              </w:rPr>
            </w:pPr>
            <w:r>
              <w:rPr>
                <w:color w:val="auto"/>
                <w:sz w:val="24"/>
                <w:szCs w:val="24"/>
              </w:rPr>
              <w:t>本项目主要生产设备一览表如下：</w:t>
            </w:r>
          </w:p>
          <w:p w14:paraId="0A44316C">
            <w:pPr>
              <w:adjustRightInd w:val="0"/>
              <w:snapToGrid w:val="0"/>
              <w:jc w:val="center"/>
              <w:rPr>
                <w:b/>
                <w:bCs/>
                <w:color w:val="auto"/>
                <w:szCs w:val="21"/>
              </w:rPr>
            </w:pPr>
            <w:r>
              <w:rPr>
                <w:b/>
                <w:bCs/>
                <w:color w:val="auto"/>
                <w:szCs w:val="21"/>
              </w:rPr>
              <w:t>表2-</w:t>
            </w:r>
            <w:r>
              <w:rPr>
                <w:rFonts w:hint="eastAsia"/>
                <w:b/>
                <w:bCs/>
                <w:color w:val="auto"/>
                <w:szCs w:val="21"/>
                <w:lang w:val="en-US" w:eastAsia="zh-CN"/>
              </w:rPr>
              <w:t>4</w:t>
            </w:r>
            <w:r>
              <w:rPr>
                <w:b/>
                <w:bCs/>
                <w:color w:val="auto"/>
                <w:szCs w:val="21"/>
              </w:rPr>
              <w:t xml:space="preserve">  </w:t>
            </w:r>
            <w:r>
              <w:rPr>
                <w:rFonts w:hint="eastAsia"/>
                <w:b/>
                <w:bCs/>
                <w:color w:val="auto"/>
                <w:szCs w:val="21"/>
              </w:rPr>
              <w:t>本项目</w:t>
            </w:r>
            <w:r>
              <w:rPr>
                <w:b/>
                <w:bCs/>
                <w:color w:val="auto"/>
                <w:szCs w:val="21"/>
              </w:rPr>
              <w:t>主要生产设备一览表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098"/>
              <w:gridCol w:w="2056"/>
              <w:gridCol w:w="1640"/>
              <w:gridCol w:w="1029"/>
              <w:gridCol w:w="1808"/>
            </w:tblGrid>
            <w:tr w14:paraId="224A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2A83B96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rPr>
                  </w:pPr>
                  <w:r>
                    <w:rPr>
                      <w:rFonts w:hint="eastAsia"/>
                      <w:b/>
                      <w:bCs/>
                      <w:color w:val="auto"/>
                      <w:kern w:val="0"/>
                      <w:szCs w:val="21"/>
                    </w:rPr>
                    <w:t>序号</w:t>
                  </w:r>
                </w:p>
              </w:tc>
              <w:tc>
                <w:tcPr>
                  <w:tcW w:w="1094" w:type="dxa"/>
                  <w:noWrap w:val="0"/>
                  <w:vAlign w:val="center"/>
                </w:tcPr>
                <w:p w14:paraId="25AB7B5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b/>
                      <w:bCs/>
                      <w:color w:val="auto"/>
                      <w:kern w:val="0"/>
                      <w:szCs w:val="21"/>
                      <w:lang w:val="en-US" w:eastAsia="zh-CN"/>
                    </w:rPr>
                  </w:pPr>
                  <w:r>
                    <w:rPr>
                      <w:rFonts w:hint="eastAsia"/>
                      <w:b/>
                      <w:bCs/>
                      <w:color w:val="auto"/>
                      <w:kern w:val="0"/>
                      <w:szCs w:val="21"/>
                    </w:rPr>
                    <w:t>生产</w:t>
                  </w:r>
                  <w:r>
                    <w:rPr>
                      <w:rFonts w:hint="eastAsia"/>
                      <w:b/>
                      <w:bCs/>
                      <w:color w:val="auto"/>
                      <w:kern w:val="0"/>
                      <w:szCs w:val="21"/>
                      <w:lang w:val="en-US" w:eastAsia="zh-CN"/>
                    </w:rPr>
                    <w:t>区域</w:t>
                  </w:r>
                </w:p>
              </w:tc>
              <w:tc>
                <w:tcPr>
                  <w:tcW w:w="2049" w:type="dxa"/>
                  <w:noWrap w:val="0"/>
                  <w:vAlign w:val="center"/>
                </w:tcPr>
                <w:p w14:paraId="6040C05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rPr>
                  </w:pPr>
                  <w:r>
                    <w:rPr>
                      <w:rFonts w:hint="eastAsia"/>
                      <w:b/>
                      <w:bCs/>
                      <w:color w:val="auto"/>
                      <w:kern w:val="0"/>
                      <w:szCs w:val="21"/>
                    </w:rPr>
                    <w:t>名称</w:t>
                  </w:r>
                </w:p>
              </w:tc>
              <w:tc>
                <w:tcPr>
                  <w:tcW w:w="1634" w:type="dxa"/>
                  <w:noWrap w:val="0"/>
                  <w:vAlign w:val="center"/>
                </w:tcPr>
                <w:p w14:paraId="1DA29A7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rPr>
                  </w:pPr>
                  <w:r>
                    <w:rPr>
                      <w:rFonts w:hint="eastAsia"/>
                      <w:b/>
                      <w:bCs/>
                      <w:color w:val="auto"/>
                      <w:kern w:val="0"/>
                      <w:szCs w:val="21"/>
                    </w:rPr>
                    <w:t>规格</w:t>
                  </w:r>
                </w:p>
              </w:tc>
              <w:tc>
                <w:tcPr>
                  <w:tcW w:w="1025" w:type="dxa"/>
                  <w:noWrap w:val="0"/>
                  <w:vAlign w:val="center"/>
                </w:tcPr>
                <w:p w14:paraId="3C91E93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b/>
                      <w:bCs/>
                      <w:color w:val="auto"/>
                      <w:kern w:val="0"/>
                      <w:szCs w:val="21"/>
                    </w:rPr>
                  </w:pPr>
                  <w:r>
                    <w:rPr>
                      <w:rFonts w:hint="eastAsia"/>
                      <w:b/>
                      <w:bCs/>
                      <w:color w:val="auto"/>
                      <w:kern w:val="0"/>
                      <w:szCs w:val="21"/>
                    </w:rPr>
                    <w:t>数量</w:t>
                  </w:r>
                </w:p>
              </w:tc>
              <w:tc>
                <w:tcPr>
                  <w:tcW w:w="1802" w:type="dxa"/>
                  <w:noWrap/>
                  <w:vAlign w:val="center"/>
                </w:tcPr>
                <w:p w14:paraId="39A98F5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b/>
                      <w:bCs/>
                      <w:color w:val="auto"/>
                      <w:kern w:val="0"/>
                      <w:szCs w:val="21"/>
                      <w:lang w:val="en-US" w:eastAsia="zh-CN"/>
                    </w:rPr>
                  </w:pPr>
                  <w:r>
                    <w:rPr>
                      <w:rFonts w:hint="eastAsia"/>
                      <w:b/>
                      <w:bCs/>
                      <w:color w:val="auto"/>
                      <w:kern w:val="0"/>
                      <w:szCs w:val="21"/>
                      <w:lang w:val="en-US" w:eastAsia="zh-CN"/>
                    </w:rPr>
                    <w:t>对应工序</w:t>
                  </w:r>
                </w:p>
              </w:tc>
            </w:tr>
            <w:tr w14:paraId="5456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noWrap w:val="0"/>
                  <w:vAlign w:val="center"/>
                </w:tcPr>
                <w:p w14:paraId="45FDDC1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1</w:t>
                  </w:r>
                </w:p>
              </w:tc>
              <w:tc>
                <w:tcPr>
                  <w:tcW w:w="1094" w:type="dxa"/>
                  <w:vMerge w:val="restart"/>
                  <w:noWrap w:val="0"/>
                  <w:vAlign w:val="center"/>
                </w:tcPr>
                <w:p w14:paraId="593A34F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泡豆区</w:t>
                  </w:r>
                </w:p>
              </w:tc>
              <w:tc>
                <w:tcPr>
                  <w:tcW w:w="2049" w:type="dxa"/>
                  <w:tcBorders>
                    <w:left w:val="single" w:color="auto" w:sz="4" w:space="0"/>
                    <w:bottom w:val="single" w:color="auto" w:sz="4" w:space="0"/>
                    <w:right w:val="single" w:color="auto" w:sz="4" w:space="0"/>
                  </w:tcBorders>
                  <w:noWrap w:val="0"/>
                  <w:vAlign w:val="center"/>
                </w:tcPr>
                <w:p w14:paraId="159184D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干豆提升分配设备</w:t>
                  </w:r>
                </w:p>
              </w:tc>
              <w:tc>
                <w:tcPr>
                  <w:tcW w:w="1634" w:type="dxa"/>
                  <w:tcBorders>
                    <w:left w:val="single" w:color="auto" w:sz="4" w:space="0"/>
                    <w:bottom w:val="single" w:color="auto" w:sz="4" w:space="0"/>
                    <w:right w:val="single" w:color="auto" w:sz="4" w:space="0"/>
                  </w:tcBorders>
                  <w:noWrap w:val="0"/>
                  <w:vAlign w:val="center"/>
                </w:tcPr>
                <w:p w14:paraId="5485C7A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eastAsia="zh-CN"/>
                    </w:rPr>
                  </w:pPr>
                  <w:r>
                    <w:rPr>
                      <w:rFonts w:hint="eastAsia"/>
                      <w:color w:val="auto"/>
                      <w:kern w:val="0"/>
                      <w:szCs w:val="21"/>
                      <w:lang w:val="en-US" w:eastAsia="zh-CN"/>
                    </w:rPr>
                    <w:t>/</w:t>
                  </w:r>
                </w:p>
              </w:tc>
              <w:tc>
                <w:tcPr>
                  <w:tcW w:w="1025" w:type="dxa"/>
                  <w:tcBorders>
                    <w:left w:val="single" w:color="auto" w:sz="4" w:space="0"/>
                    <w:bottom w:val="single" w:color="auto" w:sz="4" w:space="0"/>
                    <w:right w:val="single" w:color="auto" w:sz="4" w:space="0"/>
                  </w:tcBorders>
                  <w:noWrap w:val="0"/>
                  <w:vAlign w:val="center"/>
                </w:tcPr>
                <w:p w14:paraId="4409106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eastAsia="zh-CN"/>
                    </w:rPr>
                  </w:pPr>
                  <w:r>
                    <w:rPr>
                      <w:rFonts w:hint="eastAsia"/>
                      <w:color w:val="auto"/>
                      <w:kern w:val="0"/>
                      <w:szCs w:val="21"/>
                      <w:lang w:val="en-US" w:eastAsia="zh-CN"/>
                    </w:rPr>
                    <w:t>2套</w:t>
                  </w:r>
                </w:p>
              </w:tc>
              <w:tc>
                <w:tcPr>
                  <w:tcW w:w="1802" w:type="dxa"/>
                  <w:noWrap/>
                  <w:vAlign w:val="center"/>
                </w:tcPr>
                <w:p w14:paraId="47D87C0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en-US"/>
                    </w:rPr>
                  </w:pPr>
                  <w:r>
                    <w:rPr>
                      <w:rFonts w:hint="eastAsia"/>
                      <w:color w:val="auto"/>
                      <w:kern w:val="0"/>
                      <w:szCs w:val="21"/>
                      <w:lang w:val="en-US" w:eastAsia="zh-CN"/>
                    </w:rPr>
                    <w:t>泡豆</w:t>
                  </w:r>
                </w:p>
              </w:tc>
            </w:tr>
            <w:tr w14:paraId="4798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6764909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2</w:t>
                  </w:r>
                </w:p>
              </w:tc>
              <w:tc>
                <w:tcPr>
                  <w:tcW w:w="1094" w:type="dxa"/>
                  <w:vMerge w:val="continue"/>
                  <w:noWrap w:val="0"/>
                  <w:vAlign w:val="center"/>
                </w:tcPr>
                <w:p w14:paraId="1B16EAC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center"/>
                </w:tcPr>
                <w:p w14:paraId="07A209E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泡豆机</w:t>
                  </w:r>
                </w:p>
              </w:tc>
              <w:tc>
                <w:tcPr>
                  <w:tcW w:w="1634" w:type="dxa"/>
                  <w:tcBorders>
                    <w:left w:val="single" w:color="auto" w:sz="4" w:space="0"/>
                    <w:bottom w:val="single" w:color="auto" w:sz="4" w:space="0"/>
                    <w:right w:val="single" w:color="auto" w:sz="4" w:space="0"/>
                  </w:tcBorders>
                  <w:noWrap w:val="0"/>
                  <w:vAlign w:val="center"/>
                </w:tcPr>
                <w:p w14:paraId="144928F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1.2m*1.2m</w:t>
                  </w:r>
                </w:p>
              </w:tc>
              <w:tc>
                <w:tcPr>
                  <w:tcW w:w="1025" w:type="dxa"/>
                  <w:tcBorders>
                    <w:left w:val="single" w:color="auto" w:sz="4" w:space="0"/>
                    <w:bottom w:val="single" w:color="auto" w:sz="4" w:space="0"/>
                    <w:right w:val="single" w:color="auto" w:sz="4" w:space="0"/>
                  </w:tcBorders>
                  <w:noWrap w:val="0"/>
                  <w:vAlign w:val="center"/>
                </w:tcPr>
                <w:p w14:paraId="548CD90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10</w:t>
                  </w:r>
                  <w:r>
                    <w:rPr>
                      <w:rFonts w:hint="eastAsia"/>
                      <w:color w:val="auto"/>
                      <w:kern w:val="0"/>
                      <w:szCs w:val="21"/>
                    </w:rPr>
                    <w:t>台</w:t>
                  </w:r>
                </w:p>
              </w:tc>
              <w:tc>
                <w:tcPr>
                  <w:tcW w:w="1802" w:type="dxa"/>
                  <w:noWrap/>
                  <w:vAlign w:val="center"/>
                </w:tcPr>
                <w:p w14:paraId="00900D8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en-US"/>
                    </w:rPr>
                  </w:pPr>
                  <w:r>
                    <w:rPr>
                      <w:rFonts w:hint="eastAsia"/>
                      <w:color w:val="auto"/>
                      <w:kern w:val="0"/>
                      <w:szCs w:val="21"/>
                      <w:lang w:val="en-US" w:eastAsia="zh-CN"/>
                    </w:rPr>
                    <w:t>泡豆</w:t>
                  </w:r>
                </w:p>
              </w:tc>
            </w:tr>
            <w:tr w14:paraId="3B5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7D0F75B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3</w:t>
                  </w:r>
                </w:p>
              </w:tc>
              <w:tc>
                <w:tcPr>
                  <w:tcW w:w="1094" w:type="dxa"/>
                  <w:vMerge w:val="restart"/>
                  <w:noWrap w:val="0"/>
                  <w:vAlign w:val="center"/>
                </w:tcPr>
                <w:p w14:paraId="2EA44E4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ascii="Times New Roman" w:hAnsi="Times New Roman"/>
                      <w:b w:val="0"/>
                      <w:bCs w:val="0"/>
                      <w:color w:val="auto"/>
                      <w:sz w:val="21"/>
                      <w:szCs w:val="21"/>
                      <w:lang w:val="en-US" w:eastAsia="zh-CN"/>
                    </w:rPr>
                    <w:t>磨浆区</w:t>
                  </w:r>
                </w:p>
              </w:tc>
              <w:tc>
                <w:tcPr>
                  <w:tcW w:w="2049" w:type="dxa"/>
                  <w:tcBorders>
                    <w:left w:val="single" w:color="auto" w:sz="4" w:space="0"/>
                    <w:bottom w:val="single" w:color="auto" w:sz="4" w:space="0"/>
                    <w:right w:val="single" w:color="auto" w:sz="4" w:space="0"/>
                  </w:tcBorders>
                  <w:noWrap w:val="0"/>
                  <w:vAlign w:val="center"/>
                </w:tcPr>
                <w:p w14:paraId="17AE01E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磨浆机</w:t>
                  </w:r>
                </w:p>
              </w:tc>
              <w:tc>
                <w:tcPr>
                  <w:tcW w:w="1634" w:type="dxa"/>
                  <w:tcBorders>
                    <w:left w:val="single" w:color="auto" w:sz="4" w:space="0"/>
                    <w:bottom w:val="single" w:color="auto" w:sz="4" w:space="0"/>
                    <w:right w:val="single" w:color="auto" w:sz="4" w:space="0"/>
                  </w:tcBorders>
                  <w:noWrap w:val="0"/>
                  <w:vAlign w:val="center"/>
                </w:tcPr>
                <w:p w14:paraId="6188689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200型7.5kw</w:t>
                  </w:r>
                </w:p>
              </w:tc>
              <w:tc>
                <w:tcPr>
                  <w:tcW w:w="1025" w:type="dxa"/>
                  <w:tcBorders>
                    <w:left w:val="single" w:color="auto" w:sz="4" w:space="0"/>
                    <w:bottom w:val="single" w:color="auto" w:sz="4" w:space="0"/>
                    <w:right w:val="single" w:color="auto" w:sz="4" w:space="0"/>
                  </w:tcBorders>
                  <w:noWrap w:val="0"/>
                  <w:vAlign w:val="center"/>
                </w:tcPr>
                <w:p w14:paraId="0475C26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6</w:t>
                  </w:r>
                  <w:r>
                    <w:rPr>
                      <w:rFonts w:hint="eastAsia"/>
                      <w:color w:val="auto"/>
                      <w:kern w:val="0"/>
                      <w:szCs w:val="21"/>
                    </w:rPr>
                    <w:t>台</w:t>
                  </w:r>
                </w:p>
              </w:tc>
              <w:tc>
                <w:tcPr>
                  <w:tcW w:w="1802" w:type="dxa"/>
                  <w:noWrap/>
                  <w:vAlign w:val="center"/>
                </w:tcPr>
                <w:p w14:paraId="5C1E0CB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磨浆</w:t>
                  </w:r>
                </w:p>
              </w:tc>
            </w:tr>
            <w:tr w14:paraId="1B11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461EE83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4</w:t>
                  </w:r>
                </w:p>
              </w:tc>
              <w:tc>
                <w:tcPr>
                  <w:tcW w:w="1094" w:type="dxa"/>
                  <w:vMerge w:val="continue"/>
                  <w:noWrap w:val="0"/>
                  <w:vAlign w:val="center"/>
                </w:tcPr>
                <w:p w14:paraId="2D1C362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center"/>
                </w:tcPr>
                <w:p w14:paraId="6852570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磨糊机</w:t>
                  </w:r>
                </w:p>
              </w:tc>
              <w:tc>
                <w:tcPr>
                  <w:tcW w:w="1634" w:type="dxa"/>
                  <w:tcBorders>
                    <w:left w:val="single" w:color="auto" w:sz="4" w:space="0"/>
                    <w:bottom w:val="single" w:color="auto" w:sz="4" w:space="0"/>
                    <w:right w:val="single" w:color="auto" w:sz="4" w:space="0"/>
                  </w:tcBorders>
                  <w:noWrap w:val="0"/>
                  <w:vAlign w:val="center"/>
                </w:tcPr>
                <w:p w14:paraId="4581749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300型11kw</w:t>
                  </w:r>
                </w:p>
              </w:tc>
              <w:tc>
                <w:tcPr>
                  <w:tcW w:w="1025" w:type="dxa"/>
                  <w:tcBorders>
                    <w:left w:val="single" w:color="auto" w:sz="4" w:space="0"/>
                    <w:bottom w:val="single" w:color="auto" w:sz="4" w:space="0"/>
                    <w:right w:val="single" w:color="auto" w:sz="4" w:space="0"/>
                  </w:tcBorders>
                  <w:noWrap w:val="0"/>
                  <w:vAlign w:val="center"/>
                </w:tcPr>
                <w:p w14:paraId="55768F0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2</w:t>
                  </w:r>
                  <w:r>
                    <w:rPr>
                      <w:rFonts w:hint="eastAsia"/>
                      <w:color w:val="auto"/>
                      <w:kern w:val="0"/>
                      <w:szCs w:val="21"/>
                    </w:rPr>
                    <w:t>台</w:t>
                  </w:r>
                </w:p>
              </w:tc>
              <w:tc>
                <w:tcPr>
                  <w:tcW w:w="1802" w:type="dxa"/>
                  <w:noWrap/>
                  <w:vAlign w:val="center"/>
                </w:tcPr>
                <w:p w14:paraId="6EA6523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磨浆</w:t>
                  </w:r>
                </w:p>
              </w:tc>
            </w:tr>
            <w:tr w14:paraId="2AB2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4033574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5</w:t>
                  </w:r>
                </w:p>
              </w:tc>
              <w:tc>
                <w:tcPr>
                  <w:tcW w:w="1094" w:type="dxa"/>
                  <w:vMerge w:val="restart"/>
                  <w:noWrap w:val="0"/>
                  <w:vAlign w:val="center"/>
                </w:tcPr>
                <w:p w14:paraId="50488EC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ascii="Times New Roman" w:hAnsi="Times New Roman"/>
                      <w:b w:val="0"/>
                      <w:bCs w:val="0"/>
                      <w:color w:val="auto"/>
                      <w:sz w:val="21"/>
                      <w:szCs w:val="21"/>
                      <w:lang w:val="en-US" w:eastAsia="zh-CN"/>
                    </w:rPr>
                    <w:t>煮浆区</w:t>
                  </w:r>
                </w:p>
              </w:tc>
              <w:tc>
                <w:tcPr>
                  <w:tcW w:w="2049" w:type="dxa"/>
                  <w:tcBorders>
                    <w:left w:val="single" w:color="auto" w:sz="4" w:space="0"/>
                    <w:bottom w:val="single" w:color="auto" w:sz="4" w:space="0"/>
                    <w:right w:val="single" w:color="auto" w:sz="4" w:space="0"/>
                  </w:tcBorders>
                  <w:noWrap w:val="0"/>
                  <w:vAlign w:val="center"/>
                </w:tcPr>
                <w:p w14:paraId="67C5E0B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煮浆</w:t>
                  </w:r>
                  <w:r>
                    <w:rPr>
                      <w:rFonts w:hint="eastAsia"/>
                      <w:color w:val="auto"/>
                      <w:kern w:val="0"/>
                      <w:szCs w:val="21"/>
                      <w:lang w:eastAsia="zh-CN"/>
                    </w:rPr>
                    <w:t>桶</w:t>
                  </w:r>
                </w:p>
              </w:tc>
              <w:tc>
                <w:tcPr>
                  <w:tcW w:w="1634" w:type="dxa"/>
                  <w:tcBorders>
                    <w:left w:val="single" w:color="auto" w:sz="4" w:space="0"/>
                    <w:bottom w:val="single" w:color="auto" w:sz="4" w:space="0"/>
                    <w:right w:val="single" w:color="auto" w:sz="4" w:space="0"/>
                  </w:tcBorders>
                  <w:noWrap w:val="0"/>
                  <w:vAlign w:val="center"/>
                </w:tcPr>
                <w:p w14:paraId="528A29F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1E81E78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16个</w:t>
                  </w:r>
                </w:p>
              </w:tc>
              <w:tc>
                <w:tcPr>
                  <w:tcW w:w="1802" w:type="dxa"/>
                  <w:noWrap/>
                  <w:vAlign w:val="center"/>
                </w:tcPr>
                <w:p w14:paraId="563B547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煮浆</w:t>
                  </w:r>
                </w:p>
              </w:tc>
            </w:tr>
            <w:tr w14:paraId="342E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69E697F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6</w:t>
                  </w:r>
                </w:p>
              </w:tc>
              <w:tc>
                <w:tcPr>
                  <w:tcW w:w="1094" w:type="dxa"/>
                  <w:vMerge w:val="continue"/>
                  <w:noWrap w:val="0"/>
                  <w:vAlign w:val="center"/>
                </w:tcPr>
                <w:p w14:paraId="0DE94E4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center"/>
                </w:tcPr>
                <w:p w14:paraId="12F604A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eastAsia="zh-CN"/>
                    </w:rPr>
                    <w:t>点脑桶</w:t>
                  </w:r>
                </w:p>
              </w:tc>
              <w:tc>
                <w:tcPr>
                  <w:tcW w:w="1634" w:type="dxa"/>
                  <w:tcBorders>
                    <w:left w:val="single" w:color="auto" w:sz="4" w:space="0"/>
                    <w:bottom w:val="single" w:color="auto" w:sz="4" w:space="0"/>
                    <w:right w:val="single" w:color="auto" w:sz="4" w:space="0"/>
                  </w:tcBorders>
                  <w:noWrap w:val="0"/>
                  <w:vAlign w:val="center"/>
                </w:tcPr>
                <w:p w14:paraId="4FB52E5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6A88F2A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24个</w:t>
                  </w:r>
                </w:p>
              </w:tc>
              <w:tc>
                <w:tcPr>
                  <w:tcW w:w="1802" w:type="dxa"/>
                  <w:noWrap/>
                  <w:vAlign w:val="center"/>
                </w:tcPr>
                <w:p w14:paraId="6963213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val="en-US" w:eastAsia="zh-CN"/>
                    </w:rPr>
                  </w:pPr>
                  <w:r>
                    <w:rPr>
                      <w:rFonts w:hint="eastAsia"/>
                      <w:color w:val="auto"/>
                      <w:kern w:val="0"/>
                      <w:szCs w:val="21"/>
                      <w:lang w:val="en-US" w:eastAsia="zh-CN"/>
                    </w:rPr>
                    <w:t>过滤</w:t>
                  </w:r>
                  <w:r>
                    <w:rPr>
                      <w:rFonts w:hint="eastAsia"/>
                      <w:color w:val="auto"/>
                      <w:kern w:val="0"/>
                      <w:szCs w:val="21"/>
                    </w:rPr>
                    <w:t>豆浆</w:t>
                  </w:r>
                </w:p>
              </w:tc>
            </w:tr>
            <w:tr w14:paraId="28B1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63" w:type="dxa"/>
                  <w:noWrap w:val="0"/>
                  <w:vAlign w:val="center"/>
                </w:tcPr>
                <w:p w14:paraId="0431C79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7</w:t>
                  </w:r>
                </w:p>
              </w:tc>
              <w:tc>
                <w:tcPr>
                  <w:tcW w:w="1094" w:type="dxa"/>
                  <w:vMerge w:val="restart"/>
                  <w:noWrap w:val="0"/>
                  <w:vAlign w:val="center"/>
                </w:tcPr>
                <w:p w14:paraId="175A95B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val="en-US" w:eastAsia="zh-CN"/>
                    </w:rPr>
                  </w:pPr>
                  <w:r>
                    <w:rPr>
                      <w:rFonts w:hint="eastAsia"/>
                      <w:color w:val="auto"/>
                      <w:kern w:val="0"/>
                      <w:szCs w:val="21"/>
                    </w:rPr>
                    <w:t>千张</w:t>
                  </w:r>
                  <w:r>
                    <w:rPr>
                      <w:rFonts w:hint="eastAsia"/>
                      <w:color w:val="auto"/>
                      <w:kern w:val="0"/>
                      <w:szCs w:val="21"/>
                      <w:lang w:val="en-US" w:eastAsia="zh-CN"/>
                    </w:rPr>
                    <w:t>生产区</w:t>
                  </w:r>
                </w:p>
              </w:tc>
              <w:tc>
                <w:tcPr>
                  <w:tcW w:w="2049" w:type="dxa"/>
                  <w:tcBorders>
                    <w:left w:val="single" w:color="auto" w:sz="4" w:space="0"/>
                    <w:bottom w:val="single" w:color="auto" w:sz="4" w:space="0"/>
                    <w:right w:val="single" w:color="auto" w:sz="4" w:space="0"/>
                  </w:tcBorders>
                  <w:noWrap w:val="0"/>
                  <w:vAlign w:val="top"/>
                </w:tcPr>
                <w:p w14:paraId="7509BCE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浇注机</w:t>
                  </w:r>
                </w:p>
              </w:tc>
              <w:tc>
                <w:tcPr>
                  <w:tcW w:w="1634" w:type="dxa"/>
                  <w:tcBorders>
                    <w:left w:val="single" w:color="auto" w:sz="4" w:space="0"/>
                    <w:bottom w:val="single" w:color="auto" w:sz="4" w:space="0"/>
                    <w:right w:val="single" w:color="auto" w:sz="4" w:space="0"/>
                  </w:tcBorders>
                  <w:noWrap w:val="0"/>
                  <w:vAlign w:val="top"/>
                </w:tcPr>
                <w:p w14:paraId="2375EB4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40</w:t>
                  </w:r>
                  <w:r>
                    <w:rPr>
                      <w:rFonts w:hint="eastAsia"/>
                      <w:color w:val="auto"/>
                      <w:kern w:val="0"/>
                      <w:szCs w:val="21"/>
                    </w:rPr>
                    <w:t>cm*</w:t>
                  </w:r>
                  <w:r>
                    <w:rPr>
                      <w:rFonts w:hint="eastAsia"/>
                      <w:color w:val="auto"/>
                      <w:kern w:val="0"/>
                      <w:szCs w:val="21"/>
                      <w:lang w:val="en-US" w:eastAsia="zh-CN"/>
                    </w:rPr>
                    <w:t>90</w:t>
                  </w:r>
                  <w:r>
                    <w:rPr>
                      <w:rFonts w:hint="eastAsia"/>
                      <w:color w:val="auto"/>
                      <w:kern w:val="0"/>
                      <w:szCs w:val="21"/>
                    </w:rPr>
                    <w:t>cm</w:t>
                  </w:r>
                </w:p>
              </w:tc>
              <w:tc>
                <w:tcPr>
                  <w:tcW w:w="1025" w:type="dxa"/>
                  <w:tcBorders>
                    <w:left w:val="single" w:color="auto" w:sz="4" w:space="0"/>
                    <w:bottom w:val="single" w:color="auto" w:sz="4" w:space="0"/>
                    <w:right w:val="single" w:color="auto" w:sz="4" w:space="0"/>
                  </w:tcBorders>
                  <w:noWrap w:val="0"/>
                  <w:vAlign w:val="center"/>
                </w:tcPr>
                <w:p w14:paraId="440A3F7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8台</w:t>
                  </w:r>
                </w:p>
              </w:tc>
              <w:tc>
                <w:tcPr>
                  <w:tcW w:w="1802" w:type="dxa"/>
                  <w:noWrap/>
                  <w:vAlign w:val="center"/>
                </w:tcPr>
                <w:p w14:paraId="3597294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浇注</w:t>
                  </w:r>
                </w:p>
              </w:tc>
            </w:tr>
            <w:tr w14:paraId="1843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noWrap w:val="0"/>
                  <w:vAlign w:val="center"/>
                </w:tcPr>
                <w:p w14:paraId="7EB859A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8</w:t>
                  </w:r>
                </w:p>
              </w:tc>
              <w:tc>
                <w:tcPr>
                  <w:tcW w:w="1094" w:type="dxa"/>
                  <w:vMerge w:val="continue"/>
                  <w:noWrap w:val="0"/>
                  <w:vAlign w:val="center"/>
                </w:tcPr>
                <w:p w14:paraId="417F9B5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top"/>
                </w:tcPr>
                <w:p w14:paraId="5F5F5DC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压榨机</w:t>
                  </w:r>
                </w:p>
              </w:tc>
              <w:tc>
                <w:tcPr>
                  <w:tcW w:w="1634" w:type="dxa"/>
                  <w:tcBorders>
                    <w:left w:val="single" w:color="auto" w:sz="4" w:space="0"/>
                    <w:bottom w:val="single" w:color="auto" w:sz="4" w:space="0"/>
                    <w:right w:val="single" w:color="auto" w:sz="4" w:space="0"/>
                  </w:tcBorders>
                  <w:noWrap w:val="0"/>
                  <w:vAlign w:val="top"/>
                </w:tcPr>
                <w:p w14:paraId="78F21F5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10CB4E6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8台</w:t>
                  </w:r>
                </w:p>
              </w:tc>
              <w:tc>
                <w:tcPr>
                  <w:tcW w:w="1802" w:type="dxa"/>
                  <w:vMerge w:val="restart"/>
                  <w:noWrap/>
                  <w:vAlign w:val="center"/>
                </w:tcPr>
                <w:p w14:paraId="473F43F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压制摊凉</w:t>
                  </w:r>
                </w:p>
              </w:tc>
            </w:tr>
            <w:tr w14:paraId="473D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noWrap w:val="0"/>
                  <w:vAlign w:val="center"/>
                </w:tcPr>
                <w:p w14:paraId="7FD1FBD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9</w:t>
                  </w:r>
                </w:p>
              </w:tc>
              <w:tc>
                <w:tcPr>
                  <w:tcW w:w="1094" w:type="dxa"/>
                  <w:vMerge w:val="continue"/>
                  <w:noWrap w:val="0"/>
                  <w:vAlign w:val="center"/>
                </w:tcPr>
                <w:p w14:paraId="452A5FB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top"/>
                </w:tcPr>
                <w:p w14:paraId="13BE17D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摊凉机</w:t>
                  </w:r>
                </w:p>
              </w:tc>
              <w:tc>
                <w:tcPr>
                  <w:tcW w:w="1634" w:type="dxa"/>
                  <w:tcBorders>
                    <w:left w:val="single" w:color="auto" w:sz="4" w:space="0"/>
                    <w:bottom w:val="single" w:color="auto" w:sz="4" w:space="0"/>
                    <w:right w:val="single" w:color="auto" w:sz="4" w:space="0"/>
                  </w:tcBorders>
                  <w:noWrap w:val="0"/>
                  <w:vAlign w:val="top"/>
                </w:tcPr>
                <w:p w14:paraId="4101C15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331D4E5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8台</w:t>
                  </w:r>
                </w:p>
              </w:tc>
              <w:tc>
                <w:tcPr>
                  <w:tcW w:w="1802" w:type="dxa"/>
                  <w:vMerge w:val="continue"/>
                  <w:noWrap/>
                  <w:vAlign w:val="center"/>
                </w:tcPr>
                <w:p w14:paraId="6C43499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r>
            <w:tr w14:paraId="1D4E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noWrap w:val="0"/>
                  <w:vAlign w:val="center"/>
                </w:tcPr>
                <w:p w14:paraId="06FF2D5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10</w:t>
                  </w:r>
                </w:p>
              </w:tc>
              <w:tc>
                <w:tcPr>
                  <w:tcW w:w="1094" w:type="dxa"/>
                  <w:vMerge w:val="continue"/>
                  <w:noWrap w:val="0"/>
                  <w:vAlign w:val="center"/>
                </w:tcPr>
                <w:p w14:paraId="29CEF83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top"/>
                </w:tcPr>
                <w:p w14:paraId="114D2DF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剥布机</w:t>
                  </w:r>
                </w:p>
              </w:tc>
              <w:tc>
                <w:tcPr>
                  <w:tcW w:w="1634" w:type="dxa"/>
                  <w:tcBorders>
                    <w:left w:val="single" w:color="auto" w:sz="4" w:space="0"/>
                    <w:bottom w:val="single" w:color="auto" w:sz="4" w:space="0"/>
                    <w:right w:val="single" w:color="auto" w:sz="4" w:space="0"/>
                  </w:tcBorders>
                  <w:noWrap w:val="0"/>
                  <w:vAlign w:val="top"/>
                </w:tcPr>
                <w:p w14:paraId="60E5C4B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70457D6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lang w:val="en-US" w:eastAsia="zh-CN"/>
                    </w:rPr>
                  </w:pPr>
                  <w:r>
                    <w:rPr>
                      <w:rFonts w:hint="eastAsia"/>
                      <w:color w:val="auto"/>
                      <w:kern w:val="0"/>
                      <w:szCs w:val="21"/>
                      <w:lang w:val="en-US" w:eastAsia="zh-CN"/>
                    </w:rPr>
                    <w:t>8台</w:t>
                  </w:r>
                </w:p>
              </w:tc>
              <w:tc>
                <w:tcPr>
                  <w:tcW w:w="1802" w:type="dxa"/>
                  <w:vMerge w:val="restart"/>
                  <w:noWrap/>
                  <w:vAlign w:val="center"/>
                </w:tcPr>
                <w:p w14:paraId="6B8B93D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切片</w:t>
                  </w:r>
                </w:p>
              </w:tc>
            </w:tr>
            <w:tr w14:paraId="38F6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41D8A65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11</w:t>
                  </w:r>
                </w:p>
              </w:tc>
              <w:tc>
                <w:tcPr>
                  <w:tcW w:w="1094" w:type="dxa"/>
                  <w:vMerge w:val="continue"/>
                  <w:noWrap w:val="0"/>
                  <w:vAlign w:val="center"/>
                </w:tcPr>
                <w:p w14:paraId="0A77450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top"/>
                </w:tcPr>
                <w:p w14:paraId="56976B0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整理台</w:t>
                  </w:r>
                </w:p>
              </w:tc>
              <w:tc>
                <w:tcPr>
                  <w:tcW w:w="1634" w:type="dxa"/>
                  <w:tcBorders>
                    <w:left w:val="single" w:color="auto" w:sz="4" w:space="0"/>
                    <w:bottom w:val="single" w:color="auto" w:sz="4" w:space="0"/>
                    <w:right w:val="single" w:color="auto" w:sz="4" w:space="0"/>
                  </w:tcBorders>
                  <w:noWrap w:val="0"/>
                  <w:vAlign w:val="top"/>
                </w:tcPr>
                <w:p w14:paraId="015635F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7AAE543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8台</w:t>
                  </w:r>
                </w:p>
              </w:tc>
              <w:tc>
                <w:tcPr>
                  <w:tcW w:w="1802" w:type="dxa"/>
                  <w:vMerge w:val="continue"/>
                  <w:noWrap/>
                  <w:vAlign w:val="center"/>
                </w:tcPr>
                <w:p w14:paraId="4BC1789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r>
            <w:tr w14:paraId="0169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024951B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12</w:t>
                  </w:r>
                </w:p>
              </w:tc>
              <w:tc>
                <w:tcPr>
                  <w:tcW w:w="1094" w:type="dxa"/>
                  <w:vMerge w:val="continue"/>
                  <w:noWrap w:val="0"/>
                  <w:vAlign w:val="center"/>
                </w:tcPr>
                <w:p w14:paraId="2FB0270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top"/>
                </w:tcPr>
                <w:p w14:paraId="070DE23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煮布桶</w:t>
                  </w:r>
                </w:p>
              </w:tc>
              <w:tc>
                <w:tcPr>
                  <w:tcW w:w="1634" w:type="dxa"/>
                  <w:tcBorders>
                    <w:left w:val="single" w:color="auto" w:sz="4" w:space="0"/>
                    <w:bottom w:val="single" w:color="auto" w:sz="4" w:space="0"/>
                    <w:right w:val="single" w:color="auto" w:sz="4" w:space="0"/>
                  </w:tcBorders>
                  <w:noWrap w:val="0"/>
                  <w:vAlign w:val="top"/>
                </w:tcPr>
                <w:p w14:paraId="2E7CF6D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JT-500-2</w:t>
                  </w:r>
                </w:p>
              </w:tc>
              <w:tc>
                <w:tcPr>
                  <w:tcW w:w="1025" w:type="dxa"/>
                  <w:tcBorders>
                    <w:left w:val="single" w:color="auto" w:sz="4" w:space="0"/>
                    <w:bottom w:val="single" w:color="auto" w:sz="4" w:space="0"/>
                    <w:right w:val="single" w:color="auto" w:sz="4" w:space="0"/>
                  </w:tcBorders>
                  <w:noWrap w:val="0"/>
                  <w:vAlign w:val="center"/>
                </w:tcPr>
                <w:p w14:paraId="48BCFA1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8台</w:t>
                  </w:r>
                </w:p>
              </w:tc>
              <w:tc>
                <w:tcPr>
                  <w:tcW w:w="1802" w:type="dxa"/>
                  <w:noWrap/>
                  <w:vAlign w:val="center"/>
                </w:tcPr>
                <w:p w14:paraId="240389A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水煮包扎</w:t>
                  </w:r>
                </w:p>
              </w:tc>
            </w:tr>
            <w:tr w14:paraId="1674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3BFD64F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rPr>
                    <w:t>13</w:t>
                  </w:r>
                </w:p>
              </w:tc>
              <w:tc>
                <w:tcPr>
                  <w:tcW w:w="1094" w:type="dxa"/>
                  <w:vMerge w:val="restart"/>
                  <w:noWrap w:val="0"/>
                  <w:vAlign w:val="center"/>
                </w:tcPr>
                <w:p w14:paraId="325DA35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豆干</w:t>
                  </w:r>
                </w:p>
              </w:tc>
              <w:tc>
                <w:tcPr>
                  <w:tcW w:w="2049" w:type="dxa"/>
                  <w:tcBorders>
                    <w:left w:val="single" w:color="auto" w:sz="4" w:space="0"/>
                    <w:bottom w:val="single" w:color="auto" w:sz="4" w:space="0"/>
                    <w:right w:val="single" w:color="auto" w:sz="4" w:space="0"/>
                  </w:tcBorders>
                  <w:noWrap w:val="0"/>
                  <w:vAlign w:val="center"/>
                </w:tcPr>
                <w:p w14:paraId="11E8779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成型机</w:t>
                  </w:r>
                </w:p>
              </w:tc>
              <w:tc>
                <w:tcPr>
                  <w:tcW w:w="1634" w:type="dxa"/>
                  <w:tcBorders>
                    <w:left w:val="single" w:color="auto" w:sz="4" w:space="0"/>
                    <w:bottom w:val="single" w:color="auto" w:sz="4" w:space="0"/>
                    <w:right w:val="single" w:color="auto" w:sz="4" w:space="0"/>
                  </w:tcBorders>
                  <w:noWrap w:val="0"/>
                  <w:vAlign w:val="center"/>
                </w:tcPr>
                <w:p w14:paraId="637F922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7893F9C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4台</w:t>
                  </w:r>
                </w:p>
              </w:tc>
              <w:tc>
                <w:tcPr>
                  <w:tcW w:w="1802" w:type="dxa"/>
                  <w:noWrap/>
                  <w:vAlign w:val="center"/>
                </w:tcPr>
                <w:p w14:paraId="02389A6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color w:val="auto"/>
                      <w:spacing w:val="7"/>
                      <w:sz w:val="20"/>
                      <w:szCs w:val="20"/>
                    </w:rPr>
                    <w:t>压制成型</w:t>
                  </w:r>
                </w:p>
              </w:tc>
            </w:tr>
            <w:tr w14:paraId="430B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1E70754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14</w:t>
                  </w:r>
                </w:p>
              </w:tc>
              <w:tc>
                <w:tcPr>
                  <w:tcW w:w="1094" w:type="dxa"/>
                  <w:vMerge w:val="continue"/>
                  <w:noWrap w:val="0"/>
                  <w:vAlign w:val="center"/>
                </w:tcPr>
                <w:p w14:paraId="735573C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center"/>
                </w:tcPr>
                <w:p w14:paraId="54EF5FC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切块机</w:t>
                  </w:r>
                </w:p>
              </w:tc>
              <w:tc>
                <w:tcPr>
                  <w:tcW w:w="1634" w:type="dxa"/>
                  <w:tcBorders>
                    <w:left w:val="single" w:color="auto" w:sz="4" w:space="0"/>
                    <w:bottom w:val="single" w:color="auto" w:sz="4" w:space="0"/>
                    <w:right w:val="single" w:color="auto" w:sz="4" w:space="0"/>
                  </w:tcBorders>
                  <w:noWrap w:val="0"/>
                  <w:vAlign w:val="center"/>
                </w:tcPr>
                <w:p w14:paraId="75E495E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15AA303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4台</w:t>
                  </w:r>
                </w:p>
              </w:tc>
              <w:tc>
                <w:tcPr>
                  <w:tcW w:w="1802" w:type="dxa"/>
                  <w:vMerge w:val="restart"/>
                  <w:noWrap/>
                  <w:vAlign w:val="center"/>
                </w:tcPr>
                <w:p w14:paraId="61CFBC7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val="en-US" w:eastAsia="zh-CN"/>
                    </w:rPr>
                  </w:pPr>
                  <w:r>
                    <w:rPr>
                      <w:rFonts w:hint="eastAsia"/>
                      <w:color w:val="auto"/>
                      <w:kern w:val="0"/>
                      <w:szCs w:val="21"/>
                      <w:lang w:val="en-US" w:eastAsia="zh-CN"/>
                    </w:rPr>
                    <w:t>分切</w:t>
                  </w:r>
                </w:p>
              </w:tc>
            </w:tr>
            <w:tr w14:paraId="4BAF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5134853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15</w:t>
                  </w:r>
                </w:p>
              </w:tc>
              <w:tc>
                <w:tcPr>
                  <w:tcW w:w="1094" w:type="dxa"/>
                  <w:vMerge w:val="continue"/>
                  <w:noWrap w:val="0"/>
                  <w:vAlign w:val="center"/>
                </w:tcPr>
                <w:p w14:paraId="26D6EEF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center"/>
                </w:tcPr>
                <w:p w14:paraId="52C09AE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整理台</w:t>
                  </w:r>
                </w:p>
              </w:tc>
              <w:tc>
                <w:tcPr>
                  <w:tcW w:w="1634" w:type="dxa"/>
                  <w:tcBorders>
                    <w:left w:val="single" w:color="auto" w:sz="4" w:space="0"/>
                    <w:bottom w:val="single" w:color="auto" w:sz="4" w:space="0"/>
                    <w:right w:val="single" w:color="auto" w:sz="4" w:space="0"/>
                  </w:tcBorders>
                  <w:noWrap w:val="0"/>
                  <w:vAlign w:val="center"/>
                </w:tcPr>
                <w:p w14:paraId="41EDBF4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12C3824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4台</w:t>
                  </w:r>
                </w:p>
              </w:tc>
              <w:tc>
                <w:tcPr>
                  <w:tcW w:w="1802" w:type="dxa"/>
                  <w:vMerge w:val="continue"/>
                  <w:noWrap/>
                  <w:vAlign w:val="center"/>
                </w:tcPr>
                <w:p w14:paraId="0E0CEBC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r>
            <w:tr w14:paraId="62E2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06451B2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16</w:t>
                  </w:r>
                </w:p>
              </w:tc>
              <w:tc>
                <w:tcPr>
                  <w:tcW w:w="1094" w:type="dxa"/>
                  <w:vMerge w:val="restart"/>
                  <w:noWrap w:val="0"/>
                  <w:vAlign w:val="center"/>
                </w:tcPr>
                <w:p w14:paraId="4D94B9C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eastAsia="zh-CN"/>
                    </w:rPr>
                    <w:t>内酯豆腐</w:t>
                  </w:r>
                  <w:r>
                    <w:rPr>
                      <w:rFonts w:hint="eastAsia"/>
                      <w:color w:val="auto"/>
                      <w:kern w:val="0"/>
                      <w:szCs w:val="21"/>
                    </w:rPr>
                    <w:t>豆腐</w:t>
                  </w:r>
                  <w:r>
                    <w:rPr>
                      <w:rFonts w:hint="eastAsia"/>
                      <w:color w:val="auto"/>
                      <w:kern w:val="0"/>
                      <w:szCs w:val="21"/>
                      <w:lang w:val="en-US" w:eastAsia="zh-CN"/>
                    </w:rPr>
                    <w:t>生产</w:t>
                  </w:r>
                  <w:r>
                    <w:rPr>
                      <w:rFonts w:hint="eastAsia"/>
                      <w:color w:val="auto"/>
                      <w:kern w:val="0"/>
                      <w:szCs w:val="21"/>
                    </w:rPr>
                    <w:t>线</w:t>
                  </w:r>
                </w:p>
              </w:tc>
              <w:tc>
                <w:tcPr>
                  <w:tcW w:w="2049" w:type="dxa"/>
                  <w:tcBorders>
                    <w:left w:val="single" w:color="auto" w:sz="4" w:space="0"/>
                    <w:bottom w:val="single" w:color="auto" w:sz="4" w:space="0"/>
                    <w:right w:val="single" w:color="auto" w:sz="4" w:space="0"/>
                  </w:tcBorders>
                  <w:noWrap w:val="0"/>
                  <w:vAlign w:val="center"/>
                </w:tcPr>
                <w:p w14:paraId="31A053F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成型机</w:t>
                  </w:r>
                </w:p>
              </w:tc>
              <w:tc>
                <w:tcPr>
                  <w:tcW w:w="1634" w:type="dxa"/>
                  <w:tcBorders>
                    <w:left w:val="single" w:color="auto" w:sz="4" w:space="0"/>
                    <w:bottom w:val="single" w:color="auto" w:sz="4" w:space="0"/>
                    <w:right w:val="single" w:color="auto" w:sz="4" w:space="0"/>
                  </w:tcBorders>
                  <w:noWrap w:val="0"/>
                  <w:vAlign w:val="center"/>
                </w:tcPr>
                <w:p w14:paraId="57B064C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4CBABEE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4</w:t>
                  </w:r>
                  <w:r>
                    <w:rPr>
                      <w:rFonts w:hint="eastAsia"/>
                      <w:color w:val="auto"/>
                      <w:kern w:val="0"/>
                      <w:szCs w:val="21"/>
                    </w:rPr>
                    <w:t>台</w:t>
                  </w:r>
                </w:p>
              </w:tc>
              <w:tc>
                <w:tcPr>
                  <w:tcW w:w="1802" w:type="dxa"/>
                  <w:noWrap/>
                  <w:vAlign w:val="top"/>
                </w:tcPr>
                <w:p w14:paraId="67B8304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压制成型</w:t>
                  </w:r>
                </w:p>
              </w:tc>
            </w:tr>
            <w:tr w14:paraId="4EB4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663" w:type="dxa"/>
                  <w:noWrap w:val="0"/>
                  <w:vAlign w:val="center"/>
                </w:tcPr>
                <w:p w14:paraId="1B56DA5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0"/>
                      <w:sz w:val="21"/>
                      <w:szCs w:val="21"/>
                      <w:lang w:val="en-US" w:eastAsia="zh-CN" w:bidi="ar-SA"/>
                    </w:rPr>
                  </w:pPr>
                  <w:r>
                    <w:rPr>
                      <w:rFonts w:hint="eastAsia"/>
                      <w:color w:val="auto"/>
                      <w:kern w:val="0"/>
                      <w:szCs w:val="21"/>
                      <w:lang w:val="en-US" w:eastAsia="zh-CN"/>
                    </w:rPr>
                    <w:t>17</w:t>
                  </w:r>
                </w:p>
              </w:tc>
              <w:tc>
                <w:tcPr>
                  <w:tcW w:w="1094" w:type="dxa"/>
                  <w:vMerge w:val="continue"/>
                  <w:noWrap w:val="0"/>
                  <w:vAlign w:val="center"/>
                </w:tcPr>
                <w:p w14:paraId="1EEF047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center"/>
                </w:tcPr>
                <w:p w14:paraId="4127E1A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切块机</w:t>
                  </w:r>
                </w:p>
              </w:tc>
              <w:tc>
                <w:tcPr>
                  <w:tcW w:w="1634" w:type="dxa"/>
                  <w:tcBorders>
                    <w:left w:val="single" w:color="auto" w:sz="4" w:space="0"/>
                    <w:bottom w:val="single" w:color="auto" w:sz="4" w:space="0"/>
                    <w:right w:val="single" w:color="auto" w:sz="4" w:space="0"/>
                  </w:tcBorders>
                  <w:noWrap w:val="0"/>
                  <w:vAlign w:val="center"/>
                </w:tcPr>
                <w:p w14:paraId="47BA900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28A93DC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4</w:t>
                  </w:r>
                  <w:r>
                    <w:rPr>
                      <w:rFonts w:hint="eastAsia"/>
                      <w:color w:val="auto"/>
                      <w:kern w:val="0"/>
                      <w:szCs w:val="21"/>
                    </w:rPr>
                    <w:t>台</w:t>
                  </w:r>
                </w:p>
              </w:tc>
              <w:tc>
                <w:tcPr>
                  <w:tcW w:w="1802" w:type="dxa"/>
                  <w:vMerge w:val="restart"/>
                  <w:noWrap/>
                  <w:vAlign w:val="center"/>
                </w:tcPr>
                <w:p w14:paraId="3B77B2C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切块</w:t>
                  </w:r>
                </w:p>
              </w:tc>
            </w:tr>
            <w:tr w14:paraId="634D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62D3D13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18</w:t>
                  </w:r>
                </w:p>
              </w:tc>
              <w:tc>
                <w:tcPr>
                  <w:tcW w:w="1094" w:type="dxa"/>
                  <w:vMerge w:val="continue"/>
                  <w:noWrap w:val="0"/>
                  <w:vAlign w:val="center"/>
                </w:tcPr>
                <w:p w14:paraId="5C7C373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bottom w:val="single" w:color="auto" w:sz="4" w:space="0"/>
                    <w:right w:val="single" w:color="auto" w:sz="4" w:space="0"/>
                  </w:tcBorders>
                  <w:noWrap w:val="0"/>
                  <w:vAlign w:val="center"/>
                </w:tcPr>
                <w:p w14:paraId="5DC9D0C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整理台</w:t>
                  </w:r>
                </w:p>
              </w:tc>
              <w:tc>
                <w:tcPr>
                  <w:tcW w:w="1634" w:type="dxa"/>
                  <w:tcBorders>
                    <w:left w:val="single" w:color="auto" w:sz="4" w:space="0"/>
                    <w:bottom w:val="single" w:color="auto" w:sz="4" w:space="0"/>
                    <w:right w:val="single" w:color="auto" w:sz="4" w:space="0"/>
                  </w:tcBorders>
                  <w:noWrap w:val="0"/>
                  <w:vAlign w:val="center"/>
                </w:tcPr>
                <w:p w14:paraId="6254723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bottom w:val="single" w:color="auto" w:sz="4" w:space="0"/>
                    <w:right w:val="single" w:color="auto" w:sz="4" w:space="0"/>
                  </w:tcBorders>
                  <w:noWrap w:val="0"/>
                  <w:vAlign w:val="center"/>
                </w:tcPr>
                <w:p w14:paraId="7E0462E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4</w:t>
                  </w:r>
                  <w:r>
                    <w:rPr>
                      <w:rFonts w:hint="eastAsia"/>
                      <w:color w:val="auto"/>
                      <w:kern w:val="0"/>
                      <w:szCs w:val="21"/>
                    </w:rPr>
                    <w:t>台</w:t>
                  </w:r>
                </w:p>
              </w:tc>
              <w:tc>
                <w:tcPr>
                  <w:tcW w:w="1802" w:type="dxa"/>
                  <w:vMerge w:val="continue"/>
                  <w:noWrap/>
                  <w:vAlign w:val="top"/>
                </w:tcPr>
                <w:p w14:paraId="29750AD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r>
            <w:tr w14:paraId="5D3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4A3359E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19</w:t>
                  </w:r>
                </w:p>
              </w:tc>
              <w:tc>
                <w:tcPr>
                  <w:tcW w:w="1094" w:type="dxa"/>
                  <w:vMerge w:val="continue"/>
                  <w:noWrap w:val="0"/>
                  <w:vAlign w:val="center"/>
                </w:tcPr>
                <w:p w14:paraId="631E437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2049" w:type="dxa"/>
                  <w:tcBorders>
                    <w:left w:val="single" w:color="auto" w:sz="4" w:space="0"/>
                    <w:right w:val="single" w:color="auto" w:sz="4" w:space="0"/>
                  </w:tcBorders>
                  <w:noWrap w:val="0"/>
                  <w:vAlign w:val="center"/>
                </w:tcPr>
                <w:p w14:paraId="5571D9B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内酯豆腐封口机</w:t>
                  </w:r>
                </w:p>
              </w:tc>
              <w:tc>
                <w:tcPr>
                  <w:tcW w:w="1634" w:type="dxa"/>
                  <w:tcBorders>
                    <w:left w:val="single" w:color="auto" w:sz="4" w:space="0"/>
                    <w:right w:val="single" w:color="auto" w:sz="4" w:space="0"/>
                  </w:tcBorders>
                  <w:noWrap w:val="0"/>
                  <w:vAlign w:val="center"/>
                </w:tcPr>
                <w:p w14:paraId="768E859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w:t>
                  </w:r>
                </w:p>
              </w:tc>
              <w:tc>
                <w:tcPr>
                  <w:tcW w:w="1025" w:type="dxa"/>
                  <w:tcBorders>
                    <w:left w:val="single" w:color="auto" w:sz="4" w:space="0"/>
                    <w:right w:val="single" w:color="auto" w:sz="4" w:space="0"/>
                  </w:tcBorders>
                  <w:noWrap w:val="0"/>
                  <w:vAlign w:val="center"/>
                </w:tcPr>
                <w:p w14:paraId="15BEE23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4</w:t>
                  </w:r>
                  <w:r>
                    <w:rPr>
                      <w:rFonts w:hint="eastAsia"/>
                      <w:color w:val="auto"/>
                      <w:kern w:val="0"/>
                      <w:szCs w:val="21"/>
                    </w:rPr>
                    <w:t>台</w:t>
                  </w:r>
                </w:p>
              </w:tc>
              <w:tc>
                <w:tcPr>
                  <w:tcW w:w="1802" w:type="dxa"/>
                  <w:noWrap/>
                  <w:vAlign w:val="top"/>
                </w:tcPr>
                <w:p w14:paraId="27A5711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计量包装</w:t>
                  </w:r>
                </w:p>
              </w:tc>
            </w:tr>
            <w:tr w14:paraId="0DB4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3" w:type="dxa"/>
                  <w:noWrap w:val="0"/>
                  <w:vAlign w:val="center"/>
                </w:tcPr>
                <w:p w14:paraId="620E684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20</w:t>
                  </w:r>
                </w:p>
              </w:tc>
              <w:tc>
                <w:tcPr>
                  <w:tcW w:w="1094" w:type="dxa"/>
                  <w:noWrap w:val="0"/>
                  <w:vAlign w:val="center"/>
                </w:tcPr>
                <w:p w14:paraId="77F6D8E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其他设备</w:t>
                  </w:r>
                </w:p>
              </w:tc>
              <w:tc>
                <w:tcPr>
                  <w:tcW w:w="2049" w:type="dxa"/>
                  <w:tcBorders>
                    <w:left w:val="single" w:color="auto" w:sz="4" w:space="0"/>
                    <w:bottom w:val="single" w:color="auto" w:sz="4" w:space="0"/>
                    <w:right w:val="single" w:color="auto" w:sz="4" w:space="0"/>
                  </w:tcBorders>
                  <w:noWrap w:val="0"/>
                  <w:vAlign w:val="center"/>
                </w:tcPr>
                <w:p w14:paraId="51042CD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val="en-US" w:eastAsia="zh-CN"/>
                    </w:rPr>
                  </w:pPr>
                  <w:r>
                    <w:rPr>
                      <w:rFonts w:hint="eastAsia"/>
                      <w:color w:val="auto"/>
                      <w:kern w:val="0"/>
                      <w:szCs w:val="21"/>
                      <w:lang w:val="en-US" w:eastAsia="zh-CN"/>
                    </w:rPr>
                    <w:t>沼气锅炉</w:t>
                  </w:r>
                </w:p>
              </w:tc>
              <w:tc>
                <w:tcPr>
                  <w:tcW w:w="1634" w:type="dxa"/>
                  <w:tcBorders>
                    <w:left w:val="single" w:color="auto" w:sz="4" w:space="0"/>
                    <w:bottom w:val="single" w:color="auto" w:sz="4" w:space="0"/>
                    <w:right w:val="single" w:color="auto" w:sz="4" w:space="0"/>
                  </w:tcBorders>
                  <w:noWrap w:val="0"/>
                  <w:vAlign w:val="center"/>
                </w:tcPr>
                <w:p w14:paraId="63ECE4B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2t/h</w:t>
                  </w:r>
                </w:p>
              </w:tc>
              <w:tc>
                <w:tcPr>
                  <w:tcW w:w="1025" w:type="dxa"/>
                  <w:tcBorders>
                    <w:left w:val="single" w:color="auto" w:sz="4" w:space="0"/>
                    <w:bottom w:val="single" w:color="auto" w:sz="4" w:space="0"/>
                    <w:right w:val="single" w:color="auto" w:sz="4" w:space="0"/>
                  </w:tcBorders>
                  <w:noWrap w:val="0"/>
                  <w:vAlign w:val="center"/>
                </w:tcPr>
                <w:p w14:paraId="0A2A140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lang w:val="en-US" w:eastAsia="zh-CN"/>
                    </w:rPr>
                  </w:pPr>
                  <w:r>
                    <w:rPr>
                      <w:rFonts w:hint="eastAsia"/>
                      <w:color w:val="auto"/>
                      <w:kern w:val="0"/>
                      <w:szCs w:val="21"/>
                      <w:lang w:val="en-US" w:eastAsia="zh-CN"/>
                    </w:rPr>
                    <w:t>1台</w:t>
                  </w:r>
                </w:p>
              </w:tc>
              <w:tc>
                <w:tcPr>
                  <w:tcW w:w="1802" w:type="dxa"/>
                  <w:noWrap/>
                  <w:vAlign w:val="top"/>
                </w:tcPr>
                <w:p w14:paraId="072FB93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供热设备</w:t>
                  </w:r>
                </w:p>
              </w:tc>
            </w:tr>
          </w:tbl>
          <w:p w14:paraId="7C9D921D">
            <w:pPr>
              <w:adjustRightInd w:val="0"/>
              <w:snapToGrid w:val="0"/>
              <w:spacing w:beforeLines="50" w:line="360" w:lineRule="auto"/>
              <w:ind w:firstLine="482" w:firstLineChars="200"/>
              <w:rPr>
                <w:b/>
                <w:color w:val="auto"/>
                <w:sz w:val="24"/>
              </w:rPr>
            </w:pPr>
            <w:r>
              <w:rPr>
                <w:rFonts w:hint="eastAsia"/>
                <w:b/>
                <w:color w:val="auto"/>
                <w:sz w:val="24"/>
              </w:rPr>
              <w:t>5、主要原辅材料及能源消耗</w:t>
            </w:r>
          </w:p>
          <w:p w14:paraId="5799FE8E">
            <w:pPr>
              <w:pStyle w:val="7"/>
              <w:spacing w:line="360" w:lineRule="auto"/>
              <w:ind w:firstLine="480"/>
              <w:rPr>
                <w:color w:val="auto"/>
                <w:sz w:val="24"/>
                <w:szCs w:val="24"/>
              </w:rPr>
            </w:pPr>
            <w:r>
              <w:rPr>
                <w:rFonts w:hint="eastAsia"/>
                <w:color w:val="auto"/>
                <w:sz w:val="24"/>
                <w:szCs w:val="24"/>
              </w:rPr>
              <w:t>本项目主要原辅材料、能源、动力消耗及用水情况见表2-4。</w:t>
            </w:r>
          </w:p>
          <w:p w14:paraId="00C683BA">
            <w:pPr>
              <w:pStyle w:val="5"/>
              <w:spacing w:before="0" w:after="0" w:line="240" w:lineRule="auto"/>
              <w:jc w:val="center"/>
              <w:rPr>
                <w:rFonts w:ascii="Times New Roman" w:hAnsi="Times New Roman" w:eastAsia="宋体"/>
                <w:color w:val="auto"/>
                <w:sz w:val="24"/>
                <w:szCs w:val="24"/>
              </w:rPr>
            </w:pPr>
            <w:r>
              <w:rPr>
                <w:rFonts w:ascii="Times New Roman" w:hAnsi="Times New Roman" w:eastAsia="宋体"/>
                <w:color w:val="auto"/>
                <w:sz w:val="21"/>
                <w:szCs w:val="21"/>
              </w:rPr>
              <w:t>表2-4  主要原辅材料、能源动力消耗及用水一览表</w:t>
            </w:r>
          </w:p>
          <w:tbl>
            <w:tblPr>
              <w:tblStyle w:val="60"/>
              <w:tblW w:w="497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57" w:type="dxa"/>
                <w:bottom w:w="0" w:type="dxa"/>
                <w:right w:w="57" w:type="dxa"/>
              </w:tblCellMar>
            </w:tblPr>
            <w:tblGrid>
              <w:gridCol w:w="644"/>
              <w:gridCol w:w="1072"/>
              <w:gridCol w:w="3024"/>
              <w:gridCol w:w="981"/>
              <w:gridCol w:w="770"/>
              <w:gridCol w:w="628"/>
              <w:gridCol w:w="1137"/>
            </w:tblGrid>
            <w:tr w14:paraId="1AB6D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390" w:type="pct"/>
                  <w:vAlign w:val="center"/>
                </w:tcPr>
                <w:p w14:paraId="24E7234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序号</w:t>
                  </w:r>
                </w:p>
              </w:tc>
              <w:tc>
                <w:tcPr>
                  <w:tcW w:w="649" w:type="pct"/>
                  <w:vAlign w:val="center"/>
                </w:tcPr>
                <w:p w14:paraId="031F044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原辅料名称</w:t>
                  </w:r>
                </w:p>
              </w:tc>
              <w:tc>
                <w:tcPr>
                  <w:tcW w:w="1830" w:type="pct"/>
                  <w:vAlign w:val="center"/>
                </w:tcPr>
                <w:p w14:paraId="4FE0109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型号/规格</w:t>
                  </w:r>
                </w:p>
              </w:tc>
              <w:tc>
                <w:tcPr>
                  <w:tcW w:w="594" w:type="pct"/>
                  <w:vAlign w:val="center"/>
                </w:tcPr>
                <w:p w14:paraId="3E5C1DD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年消耗量（t/a）</w:t>
                  </w:r>
                </w:p>
              </w:tc>
              <w:tc>
                <w:tcPr>
                  <w:tcW w:w="466" w:type="pct"/>
                  <w:vAlign w:val="center"/>
                </w:tcPr>
                <w:p w14:paraId="31F7274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一次最大储存量（t）</w:t>
                  </w:r>
                </w:p>
              </w:tc>
              <w:tc>
                <w:tcPr>
                  <w:tcW w:w="380" w:type="pct"/>
                  <w:vAlign w:val="center"/>
                </w:tcPr>
                <w:p w14:paraId="3A4599F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存储位置</w:t>
                  </w:r>
                </w:p>
              </w:tc>
              <w:tc>
                <w:tcPr>
                  <w:tcW w:w="687" w:type="pct"/>
                  <w:vAlign w:val="center"/>
                </w:tcPr>
                <w:p w14:paraId="089A532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来源及运输</w:t>
                  </w:r>
                </w:p>
              </w:tc>
            </w:tr>
            <w:tr w14:paraId="6D834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390" w:type="pct"/>
                  <w:vAlign w:val="center"/>
                </w:tcPr>
                <w:p w14:paraId="1F2001C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1</w:t>
                  </w:r>
                </w:p>
              </w:tc>
              <w:tc>
                <w:tcPr>
                  <w:tcW w:w="649" w:type="pct"/>
                  <w:vAlign w:val="center"/>
                </w:tcPr>
                <w:p w14:paraId="4D36892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黄豆</w:t>
                  </w:r>
                </w:p>
              </w:tc>
              <w:tc>
                <w:tcPr>
                  <w:tcW w:w="1830" w:type="pct"/>
                  <w:vAlign w:val="center"/>
                </w:tcPr>
                <w:p w14:paraId="141DB1F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颗粒，1等，粗蛋白质含量≥42%，50kg/袋</w:t>
                  </w:r>
                </w:p>
              </w:tc>
              <w:tc>
                <w:tcPr>
                  <w:tcW w:w="594" w:type="pct"/>
                  <w:vAlign w:val="center"/>
                </w:tcPr>
                <w:p w14:paraId="3C0371F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2000</w:t>
                  </w:r>
                </w:p>
              </w:tc>
              <w:tc>
                <w:tcPr>
                  <w:tcW w:w="466" w:type="pct"/>
                  <w:vAlign w:val="center"/>
                </w:tcPr>
                <w:p w14:paraId="3DA7985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80</w:t>
                  </w:r>
                </w:p>
              </w:tc>
              <w:tc>
                <w:tcPr>
                  <w:tcW w:w="380" w:type="pct"/>
                  <w:vAlign w:val="center"/>
                </w:tcPr>
                <w:p w14:paraId="74FD2D2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原料存储区</w:t>
                  </w:r>
                </w:p>
              </w:tc>
              <w:tc>
                <w:tcPr>
                  <w:tcW w:w="687" w:type="pct"/>
                  <w:vAlign w:val="center"/>
                </w:tcPr>
                <w:p w14:paraId="0AAAE35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0113A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390" w:type="pct"/>
                  <w:vAlign w:val="center"/>
                </w:tcPr>
                <w:p w14:paraId="6CDFA20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2</w:t>
                  </w:r>
                </w:p>
              </w:tc>
              <w:tc>
                <w:tcPr>
                  <w:tcW w:w="649" w:type="pct"/>
                  <w:vAlign w:val="center"/>
                </w:tcPr>
                <w:p w14:paraId="744262E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石膏（食用级）</w:t>
                  </w:r>
                </w:p>
              </w:tc>
              <w:tc>
                <w:tcPr>
                  <w:tcW w:w="1830" w:type="pct"/>
                  <w:vAlign w:val="center"/>
                </w:tcPr>
                <w:p w14:paraId="1A75AE3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粉状，20kg/袋</w:t>
                  </w:r>
                </w:p>
              </w:tc>
              <w:tc>
                <w:tcPr>
                  <w:tcW w:w="594" w:type="pct"/>
                  <w:vAlign w:val="center"/>
                </w:tcPr>
                <w:p w14:paraId="1A6D842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16</w:t>
                  </w:r>
                </w:p>
              </w:tc>
              <w:tc>
                <w:tcPr>
                  <w:tcW w:w="466" w:type="pct"/>
                  <w:vAlign w:val="center"/>
                </w:tcPr>
                <w:p w14:paraId="5B190C5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1.0</w:t>
                  </w:r>
                </w:p>
              </w:tc>
              <w:tc>
                <w:tcPr>
                  <w:tcW w:w="380" w:type="pct"/>
                  <w:vMerge w:val="restart"/>
                  <w:tcBorders>
                    <w:bottom w:val="nil"/>
                  </w:tcBorders>
                  <w:vAlign w:val="center"/>
                </w:tcPr>
                <w:p w14:paraId="56F95EF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辅料和包装材料储存区</w:t>
                  </w:r>
                </w:p>
              </w:tc>
              <w:tc>
                <w:tcPr>
                  <w:tcW w:w="687" w:type="pct"/>
                  <w:vAlign w:val="center"/>
                </w:tcPr>
                <w:p w14:paraId="19DC7B0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5E07C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390" w:type="pct"/>
                  <w:vAlign w:val="center"/>
                </w:tcPr>
                <w:p w14:paraId="20D3319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3</w:t>
                  </w:r>
                </w:p>
              </w:tc>
              <w:tc>
                <w:tcPr>
                  <w:tcW w:w="649" w:type="pct"/>
                  <w:vAlign w:val="center"/>
                </w:tcPr>
                <w:p w14:paraId="46BF3B5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内酯（食用级）</w:t>
                  </w:r>
                </w:p>
              </w:tc>
              <w:tc>
                <w:tcPr>
                  <w:tcW w:w="1830" w:type="pct"/>
                  <w:vAlign w:val="center"/>
                </w:tcPr>
                <w:p w14:paraId="07F80E3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粉状，1kg/袋</w:t>
                  </w:r>
                </w:p>
              </w:tc>
              <w:tc>
                <w:tcPr>
                  <w:tcW w:w="594" w:type="pct"/>
                  <w:vAlign w:val="center"/>
                </w:tcPr>
                <w:p w14:paraId="4E5947B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1.6</w:t>
                  </w:r>
                </w:p>
              </w:tc>
              <w:tc>
                <w:tcPr>
                  <w:tcW w:w="466" w:type="pct"/>
                  <w:vAlign w:val="center"/>
                </w:tcPr>
                <w:p w14:paraId="54CE48A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0.2</w:t>
                  </w:r>
                </w:p>
              </w:tc>
              <w:tc>
                <w:tcPr>
                  <w:tcW w:w="380" w:type="pct"/>
                  <w:vMerge w:val="continue"/>
                  <w:tcBorders>
                    <w:top w:val="nil"/>
                    <w:bottom w:val="nil"/>
                  </w:tcBorders>
                  <w:vAlign w:val="center"/>
                </w:tcPr>
                <w:p w14:paraId="32E6BA7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687" w:type="pct"/>
                  <w:vAlign w:val="center"/>
                </w:tcPr>
                <w:p w14:paraId="66D1B90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7D8E3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390" w:type="pct"/>
                  <w:vAlign w:val="center"/>
                </w:tcPr>
                <w:p w14:paraId="5AC6089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4</w:t>
                  </w:r>
                </w:p>
              </w:tc>
              <w:tc>
                <w:tcPr>
                  <w:tcW w:w="649" w:type="pct"/>
                  <w:vAlign w:val="center"/>
                </w:tcPr>
                <w:p w14:paraId="3511A9C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消泡剂（食用级）</w:t>
                  </w:r>
                </w:p>
              </w:tc>
              <w:tc>
                <w:tcPr>
                  <w:tcW w:w="1830" w:type="pct"/>
                  <w:vAlign w:val="center"/>
                </w:tcPr>
                <w:p w14:paraId="7040DD6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粉状，1kg/袋，包括聚二甲基硅氧烷、司盘60、吐温60、二氧化硅</w:t>
                  </w:r>
                </w:p>
              </w:tc>
              <w:tc>
                <w:tcPr>
                  <w:tcW w:w="594" w:type="pct"/>
                  <w:vAlign w:val="center"/>
                </w:tcPr>
                <w:p w14:paraId="0039614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0.7</w:t>
                  </w:r>
                </w:p>
              </w:tc>
              <w:tc>
                <w:tcPr>
                  <w:tcW w:w="466" w:type="pct"/>
                  <w:vAlign w:val="center"/>
                </w:tcPr>
                <w:p w14:paraId="2583178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eastAsia="zh-CN"/>
                    </w:rPr>
                  </w:pPr>
                  <w:r>
                    <w:rPr>
                      <w:rFonts w:hint="eastAsia"/>
                      <w:color w:val="auto"/>
                      <w:kern w:val="0"/>
                      <w:szCs w:val="21"/>
                    </w:rPr>
                    <w:t>0.0</w:t>
                  </w:r>
                  <w:r>
                    <w:rPr>
                      <w:rFonts w:hint="eastAsia"/>
                      <w:color w:val="auto"/>
                      <w:kern w:val="0"/>
                      <w:szCs w:val="21"/>
                      <w:lang w:val="en-US" w:eastAsia="zh-CN"/>
                    </w:rPr>
                    <w:t>2</w:t>
                  </w:r>
                </w:p>
              </w:tc>
              <w:tc>
                <w:tcPr>
                  <w:tcW w:w="380" w:type="pct"/>
                  <w:vMerge w:val="continue"/>
                  <w:tcBorders>
                    <w:top w:val="nil"/>
                    <w:bottom w:val="nil"/>
                  </w:tcBorders>
                  <w:vAlign w:val="center"/>
                </w:tcPr>
                <w:p w14:paraId="1C7CAB6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687" w:type="pct"/>
                  <w:vAlign w:val="center"/>
                </w:tcPr>
                <w:p w14:paraId="65DC90D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38640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390" w:type="pct"/>
                  <w:vAlign w:val="center"/>
                </w:tcPr>
                <w:p w14:paraId="37B858B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val="en-US" w:eastAsia="zh-CN"/>
                    </w:rPr>
                  </w:pPr>
                  <w:r>
                    <w:rPr>
                      <w:rFonts w:hint="eastAsia"/>
                      <w:color w:val="auto"/>
                      <w:kern w:val="0"/>
                      <w:szCs w:val="21"/>
                      <w:lang w:val="en-US" w:eastAsia="zh-CN"/>
                    </w:rPr>
                    <w:t>5</w:t>
                  </w:r>
                </w:p>
              </w:tc>
              <w:tc>
                <w:tcPr>
                  <w:tcW w:w="649" w:type="pct"/>
                  <w:vAlign w:val="center"/>
                </w:tcPr>
                <w:p w14:paraId="472232F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食用碱</w:t>
                  </w:r>
                </w:p>
              </w:tc>
              <w:tc>
                <w:tcPr>
                  <w:tcW w:w="1830" w:type="pct"/>
                  <w:vAlign w:val="center"/>
                </w:tcPr>
                <w:p w14:paraId="3EEEFA9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粉状，1kg/袋，主要成分为碳酸钠</w:t>
                  </w:r>
                  <w:r>
                    <w:rPr>
                      <w:rFonts w:hint="eastAsia"/>
                      <w:color w:val="auto"/>
                      <w:kern w:val="0"/>
                      <w:szCs w:val="21"/>
                      <w:lang w:eastAsia="zh-CN"/>
                    </w:rPr>
                    <w:t>（</w:t>
                  </w:r>
                  <w:r>
                    <w:rPr>
                      <w:rFonts w:hint="eastAsia"/>
                      <w:color w:val="auto"/>
                      <w:kern w:val="0"/>
                      <w:szCs w:val="21"/>
                    </w:rPr>
                    <w:t>Na</w:t>
                  </w:r>
                  <w:r>
                    <w:rPr>
                      <w:rFonts w:hint="eastAsia"/>
                      <w:color w:val="auto"/>
                      <w:kern w:val="0"/>
                      <w:szCs w:val="21"/>
                      <w:vertAlign w:val="subscript"/>
                    </w:rPr>
                    <w:t>2</w:t>
                  </w:r>
                  <w:r>
                    <w:rPr>
                      <w:rFonts w:hint="eastAsia"/>
                      <w:color w:val="auto"/>
                      <w:kern w:val="0"/>
                      <w:szCs w:val="21"/>
                    </w:rPr>
                    <w:t>CO</w:t>
                  </w:r>
                  <w:r>
                    <w:rPr>
                      <w:rFonts w:hint="eastAsia"/>
                      <w:color w:val="auto"/>
                      <w:kern w:val="0"/>
                      <w:szCs w:val="21"/>
                      <w:vertAlign w:val="subscript"/>
                    </w:rPr>
                    <w:t>3</w:t>
                  </w:r>
                  <w:r>
                    <w:rPr>
                      <w:rFonts w:hint="eastAsia"/>
                      <w:color w:val="auto"/>
                      <w:kern w:val="0"/>
                      <w:szCs w:val="21"/>
                      <w:lang w:eastAsia="zh-CN"/>
                    </w:rPr>
                    <w:t>）</w:t>
                  </w:r>
                  <w:r>
                    <w:rPr>
                      <w:rFonts w:hint="eastAsia"/>
                      <w:color w:val="auto"/>
                      <w:kern w:val="0"/>
                      <w:szCs w:val="21"/>
                    </w:rPr>
                    <w:t>与碳酸氢钠</w:t>
                  </w:r>
                  <w:r>
                    <w:rPr>
                      <w:rFonts w:hint="eastAsia"/>
                      <w:color w:val="auto"/>
                      <w:kern w:val="0"/>
                      <w:szCs w:val="21"/>
                      <w:lang w:eastAsia="zh-CN"/>
                    </w:rPr>
                    <w:t>（</w:t>
                  </w:r>
                  <w:r>
                    <w:rPr>
                      <w:rFonts w:hint="eastAsia"/>
                      <w:color w:val="auto"/>
                      <w:kern w:val="0"/>
                      <w:szCs w:val="21"/>
                    </w:rPr>
                    <w:t>NaHCO</w:t>
                  </w:r>
                  <w:r>
                    <w:rPr>
                      <w:rFonts w:hint="eastAsia"/>
                      <w:color w:val="auto"/>
                      <w:kern w:val="0"/>
                      <w:szCs w:val="21"/>
                      <w:vertAlign w:val="subscript"/>
                    </w:rPr>
                    <w:t>3</w:t>
                  </w:r>
                  <w:r>
                    <w:rPr>
                      <w:rFonts w:hint="eastAsia"/>
                      <w:color w:val="auto"/>
                      <w:kern w:val="0"/>
                      <w:szCs w:val="21"/>
                      <w:lang w:eastAsia="zh-CN"/>
                    </w:rPr>
                    <w:t>）</w:t>
                  </w:r>
                  <w:r>
                    <w:rPr>
                      <w:rFonts w:hint="eastAsia"/>
                      <w:color w:val="auto"/>
                      <w:kern w:val="0"/>
                      <w:szCs w:val="21"/>
                    </w:rPr>
                    <w:t>，混合比例为1：6</w:t>
                  </w:r>
                </w:p>
              </w:tc>
              <w:tc>
                <w:tcPr>
                  <w:tcW w:w="594" w:type="pct"/>
                  <w:vAlign w:val="center"/>
                </w:tcPr>
                <w:p w14:paraId="309FDFD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0.3</w:t>
                  </w:r>
                </w:p>
              </w:tc>
              <w:tc>
                <w:tcPr>
                  <w:tcW w:w="466" w:type="pct"/>
                  <w:vAlign w:val="center"/>
                </w:tcPr>
                <w:p w14:paraId="0BBEAE8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eastAsia="zh-CN"/>
                    </w:rPr>
                  </w:pPr>
                  <w:r>
                    <w:rPr>
                      <w:rFonts w:hint="eastAsia"/>
                      <w:color w:val="auto"/>
                      <w:kern w:val="0"/>
                      <w:szCs w:val="21"/>
                    </w:rPr>
                    <w:t>0.0</w:t>
                  </w:r>
                  <w:r>
                    <w:rPr>
                      <w:rFonts w:hint="eastAsia"/>
                      <w:color w:val="auto"/>
                      <w:kern w:val="0"/>
                      <w:szCs w:val="21"/>
                      <w:lang w:val="en-US" w:eastAsia="zh-CN"/>
                    </w:rPr>
                    <w:t>1</w:t>
                  </w:r>
                </w:p>
              </w:tc>
              <w:tc>
                <w:tcPr>
                  <w:tcW w:w="380" w:type="pct"/>
                  <w:vMerge w:val="continue"/>
                  <w:tcBorders>
                    <w:top w:val="nil"/>
                    <w:bottom w:val="nil"/>
                  </w:tcBorders>
                  <w:vAlign w:val="center"/>
                </w:tcPr>
                <w:p w14:paraId="62160AF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687" w:type="pct"/>
                  <w:vAlign w:val="center"/>
                </w:tcPr>
                <w:p w14:paraId="3D6BD73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2BFC0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643" w:type="dxa"/>
                  <w:vAlign w:val="center"/>
                </w:tcPr>
                <w:p w14:paraId="243FD93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6</w:t>
                  </w:r>
                </w:p>
              </w:tc>
              <w:tc>
                <w:tcPr>
                  <w:tcW w:w="649" w:type="pct"/>
                  <w:vAlign w:val="center"/>
                </w:tcPr>
                <w:p w14:paraId="427A6FD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食用油</w:t>
                  </w:r>
                </w:p>
              </w:tc>
              <w:tc>
                <w:tcPr>
                  <w:tcW w:w="1830" w:type="pct"/>
                  <w:vAlign w:val="center"/>
                </w:tcPr>
                <w:p w14:paraId="321C15E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20L/桶</w:t>
                  </w:r>
                </w:p>
              </w:tc>
              <w:tc>
                <w:tcPr>
                  <w:tcW w:w="594" w:type="pct"/>
                  <w:vAlign w:val="center"/>
                </w:tcPr>
                <w:p w14:paraId="5B2A026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3</w:t>
                  </w:r>
                  <w:r>
                    <w:rPr>
                      <w:rFonts w:hint="eastAsia"/>
                      <w:color w:val="auto"/>
                      <w:kern w:val="0"/>
                      <w:szCs w:val="21"/>
                    </w:rPr>
                    <w:t>000L</w:t>
                  </w:r>
                </w:p>
              </w:tc>
              <w:tc>
                <w:tcPr>
                  <w:tcW w:w="466" w:type="pct"/>
                  <w:vAlign w:val="center"/>
                </w:tcPr>
                <w:p w14:paraId="1F0468A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val="en-US" w:eastAsia="zh-CN"/>
                    </w:rPr>
                    <w:t>12</w:t>
                  </w:r>
                  <w:r>
                    <w:rPr>
                      <w:rFonts w:hint="eastAsia"/>
                      <w:color w:val="auto"/>
                      <w:kern w:val="0"/>
                      <w:szCs w:val="21"/>
                    </w:rPr>
                    <w:t>0L</w:t>
                  </w:r>
                </w:p>
              </w:tc>
              <w:tc>
                <w:tcPr>
                  <w:tcW w:w="380" w:type="pct"/>
                  <w:vMerge w:val="continue"/>
                  <w:tcBorders>
                    <w:top w:val="nil"/>
                    <w:bottom w:val="nil"/>
                  </w:tcBorders>
                  <w:vAlign w:val="center"/>
                </w:tcPr>
                <w:p w14:paraId="1423EA6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687" w:type="pct"/>
                  <w:vAlign w:val="center"/>
                </w:tcPr>
                <w:p w14:paraId="14B2402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49B42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643" w:type="dxa"/>
                  <w:vAlign w:val="center"/>
                </w:tcPr>
                <w:p w14:paraId="1C79616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7</w:t>
                  </w:r>
                </w:p>
              </w:tc>
              <w:tc>
                <w:tcPr>
                  <w:tcW w:w="649" w:type="pct"/>
                  <w:vAlign w:val="center"/>
                </w:tcPr>
                <w:p w14:paraId="7BDAB77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包装盒、袋</w:t>
                  </w:r>
                </w:p>
              </w:tc>
              <w:tc>
                <w:tcPr>
                  <w:tcW w:w="1830" w:type="pct"/>
                  <w:vAlign w:val="center"/>
                </w:tcPr>
                <w:p w14:paraId="73AAABA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塑料盒、塑料袋</w:t>
                  </w:r>
                </w:p>
              </w:tc>
              <w:tc>
                <w:tcPr>
                  <w:tcW w:w="594" w:type="pct"/>
                  <w:vAlign w:val="center"/>
                </w:tcPr>
                <w:p w14:paraId="2705961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4</w:t>
                  </w:r>
                </w:p>
              </w:tc>
              <w:tc>
                <w:tcPr>
                  <w:tcW w:w="466" w:type="pct"/>
                  <w:vAlign w:val="center"/>
                </w:tcPr>
                <w:p w14:paraId="2B6929F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0.1</w:t>
                  </w:r>
                </w:p>
              </w:tc>
              <w:tc>
                <w:tcPr>
                  <w:tcW w:w="380" w:type="pct"/>
                  <w:vMerge w:val="continue"/>
                  <w:tcBorders>
                    <w:top w:val="nil"/>
                    <w:bottom w:val="nil"/>
                  </w:tcBorders>
                  <w:vAlign w:val="center"/>
                </w:tcPr>
                <w:p w14:paraId="177A637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687" w:type="pct"/>
                  <w:vAlign w:val="center"/>
                </w:tcPr>
                <w:p w14:paraId="7BB3BE7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55839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643" w:type="dxa"/>
                  <w:vAlign w:val="center"/>
                </w:tcPr>
                <w:p w14:paraId="0BE3ADC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8</w:t>
                  </w:r>
                </w:p>
              </w:tc>
              <w:tc>
                <w:tcPr>
                  <w:tcW w:w="649" w:type="pct"/>
                  <w:vAlign w:val="center"/>
                </w:tcPr>
                <w:p w14:paraId="5B6D018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鸡蛋</w:t>
                  </w:r>
                </w:p>
              </w:tc>
              <w:tc>
                <w:tcPr>
                  <w:tcW w:w="1830" w:type="pct"/>
                  <w:vAlign w:val="center"/>
                </w:tcPr>
                <w:p w14:paraId="6693C80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盒装</w:t>
                  </w:r>
                </w:p>
              </w:tc>
              <w:tc>
                <w:tcPr>
                  <w:tcW w:w="594" w:type="pct"/>
                  <w:vAlign w:val="center"/>
                </w:tcPr>
                <w:p w14:paraId="621B390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16</w:t>
                  </w:r>
                </w:p>
              </w:tc>
              <w:tc>
                <w:tcPr>
                  <w:tcW w:w="466" w:type="pct"/>
                  <w:vAlign w:val="center"/>
                </w:tcPr>
                <w:p w14:paraId="452EB38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1.0</w:t>
                  </w:r>
                </w:p>
              </w:tc>
              <w:tc>
                <w:tcPr>
                  <w:tcW w:w="380" w:type="pct"/>
                  <w:vMerge w:val="continue"/>
                  <w:tcBorders>
                    <w:top w:val="nil"/>
                  </w:tcBorders>
                  <w:vAlign w:val="center"/>
                </w:tcPr>
                <w:p w14:paraId="6BB2783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p>
              </w:tc>
              <w:tc>
                <w:tcPr>
                  <w:tcW w:w="687" w:type="pct"/>
                  <w:vAlign w:val="center"/>
                </w:tcPr>
                <w:p w14:paraId="0FB3DBD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外购汽运</w:t>
                  </w:r>
                </w:p>
              </w:tc>
            </w:tr>
            <w:tr w14:paraId="0278F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643" w:type="dxa"/>
                  <w:vAlign w:val="center"/>
                </w:tcPr>
                <w:p w14:paraId="381D506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9</w:t>
                  </w:r>
                </w:p>
              </w:tc>
              <w:tc>
                <w:tcPr>
                  <w:tcW w:w="649" w:type="pct"/>
                  <w:vAlign w:val="center"/>
                </w:tcPr>
                <w:p w14:paraId="2A0BA31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水</w:t>
                  </w:r>
                </w:p>
              </w:tc>
              <w:tc>
                <w:tcPr>
                  <w:tcW w:w="1830" w:type="pct"/>
                  <w:vAlign w:val="center"/>
                </w:tcPr>
                <w:p w14:paraId="2D5F5A4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t/a</w:t>
                  </w:r>
                </w:p>
              </w:tc>
              <w:tc>
                <w:tcPr>
                  <w:tcW w:w="594" w:type="pct"/>
                  <w:vAlign w:val="center"/>
                </w:tcPr>
                <w:p w14:paraId="0053501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eastAsia="zh-CN"/>
                    </w:rPr>
                  </w:pPr>
                  <w:r>
                    <w:rPr>
                      <w:rFonts w:hint="eastAsia"/>
                      <w:color w:val="auto"/>
                      <w:kern w:val="0"/>
                      <w:szCs w:val="21"/>
                      <w:lang w:eastAsia="zh-CN"/>
                    </w:rPr>
                    <w:t>32223.9</w:t>
                  </w:r>
                </w:p>
              </w:tc>
              <w:tc>
                <w:tcPr>
                  <w:tcW w:w="1534" w:type="pct"/>
                  <w:gridSpan w:val="3"/>
                  <w:vAlign w:val="center"/>
                </w:tcPr>
                <w:p w14:paraId="34AA61C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市政供水管网</w:t>
                  </w:r>
                </w:p>
              </w:tc>
            </w:tr>
            <w:tr w14:paraId="08D0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643" w:type="dxa"/>
                  <w:vAlign w:val="center"/>
                </w:tcPr>
                <w:p w14:paraId="00E1CC3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10</w:t>
                  </w:r>
                </w:p>
              </w:tc>
              <w:tc>
                <w:tcPr>
                  <w:tcW w:w="649" w:type="pct"/>
                  <w:vAlign w:val="center"/>
                </w:tcPr>
                <w:p w14:paraId="4CA7F17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电</w:t>
                  </w:r>
                </w:p>
              </w:tc>
              <w:tc>
                <w:tcPr>
                  <w:tcW w:w="1830" w:type="pct"/>
                  <w:vAlign w:val="center"/>
                </w:tcPr>
                <w:p w14:paraId="751E2BC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万kWh</w:t>
                  </w:r>
                </w:p>
              </w:tc>
              <w:tc>
                <w:tcPr>
                  <w:tcW w:w="594" w:type="pct"/>
                  <w:vAlign w:val="center"/>
                </w:tcPr>
                <w:p w14:paraId="4E3C364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eastAsia="宋体"/>
                      <w:color w:val="auto"/>
                      <w:kern w:val="0"/>
                      <w:szCs w:val="21"/>
                      <w:lang w:val="en-US" w:eastAsia="zh-CN"/>
                    </w:rPr>
                  </w:pPr>
                  <w:r>
                    <w:rPr>
                      <w:rFonts w:hint="eastAsia"/>
                      <w:color w:val="auto"/>
                      <w:kern w:val="0"/>
                      <w:szCs w:val="21"/>
                    </w:rPr>
                    <w:t>20</w:t>
                  </w:r>
                  <w:r>
                    <w:rPr>
                      <w:rFonts w:hint="eastAsia"/>
                      <w:color w:val="auto"/>
                      <w:kern w:val="0"/>
                      <w:szCs w:val="21"/>
                      <w:lang w:val="en-US" w:eastAsia="zh-CN"/>
                    </w:rPr>
                    <w:t>0</w:t>
                  </w:r>
                </w:p>
              </w:tc>
              <w:tc>
                <w:tcPr>
                  <w:tcW w:w="1534" w:type="pct"/>
                  <w:gridSpan w:val="3"/>
                  <w:vAlign w:val="center"/>
                </w:tcPr>
                <w:p w14:paraId="3EE988D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市政供电电网</w:t>
                  </w:r>
                </w:p>
              </w:tc>
            </w:tr>
            <w:tr w14:paraId="03683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0" w:hRule="atLeast"/>
              </w:trPr>
              <w:tc>
                <w:tcPr>
                  <w:tcW w:w="643" w:type="dxa"/>
                  <w:vAlign w:val="center"/>
                </w:tcPr>
                <w:p w14:paraId="3EE5538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11</w:t>
                  </w:r>
                </w:p>
              </w:tc>
              <w:tc>
                <w:tcPr>
                  <w:tcW w:w="649" w:type="pct"/>
                  <w:vAlign w:val="center"/>
                </w:tcPr>
                <w:p w14:paraId="2B22F1F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eastAsia="zh-CN"/>
                    </w:rPr>
                    <w:t>沼</w:t>
                  </w:r>
                  <w:r>
                    <w:rPr>
                      <w:rFonts w:hint="eastAsia"/>
                      <w:color w:val="auto"/>
                      <w:kern w:val="0"/>
                      <w:szCs w:val="21"/>
                    </w:rPr>
                    <w:t>气</w:t>
                  </w:r>
                </w:p>
              </w:tc>
              <w:tc>
                <w:tcPr>
                  <w:tcW w:w="1830" w:type="pct"/>
                  <w:vAlign w:val="center"/>
                </w:tcPr>
                <w:p w14:paraId="68C3030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rPr>
                    <w:t>万m</w:t>
                  </w:r>
                  <w:r>
                    <w:rPr>
                      <w:rFonts w:hint="eastAsia"/>
                      <w:color w:val="auto"/>
                      <w:kern w:val="0"/>
                      <w:szCs w:val="21"/>
                      <w:vertAlign w:val="superscript"/>
                    </w:rPr>
                    <w:t>3</w:t>
                  </w:r>
                  <w:r>
                    <w:rPr>
                      <w:rFonts w:hint="eastAsia"/>
                      <w:color w:val="auto"/>
                      <w:kern w:val="0"/>
                      <w:szCs w:val="21"/>
                    </w:rPr>
                    <w:t>/a</w:t>
                  </w:r>
                </w:p>
              </w:tc>
              <w:tc>
                <w:tcPr>
                  <w:tcW w:w="594" w:type="pct"/>
                  <w:vAlign w:val="center"/>
                </w:tcPr>
                <w:p w14:paraId="38A8F0F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eastAsia="宋体"/>
                      <w:color w:val="auto"/>
                      <w:kern w:val="0"/>
                      <w:szCs w:val="21"/>
                      <w:lang w:val="en-US" w:eastAsia="zh-CN"/>
                    </w:rPr>
                  </w:pPr>
                  <w:r>
                    <w:rPr>
                      <w:rFonts w:hint="eastAsia"/>
                      <w:color w:val="auto"/>
                      <w:kern w:val="0"/>
                      <w:szCs w:val="21"/>
                      <w:lang w:val="en-US" w:eastAsia="zh-CN"/>
                    </w:rPr>
                    <w:t>63.36</w:t>
                  </w:r>
                </w:p>
              </w:tc>
              <w:tc>
                <w:tcPr>
                  <w:tcW w:w="1534" w:type="pct"/>
                  <w:gridSpan w:val="3"/>
                  <w:vAlign w:val="center"/>
                </w:tcPr>
                <w:p w14:paraId="0EC57C2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color w:val="auto"/>
                      <w:kern w:val="0"/>
                      <w:szCs w:val="21"/>
                    </w:rPr>
                  </w:pPr>
                  <w:r>
                    <w:rPr>
                      <w:rFonts w:hint="eastAsia"/>
                      <w:color w:val="auto"/>
                      <w:kern w:val="0"/>
                      <w:szCs w:val="21"/>
                      <w:lang w:eastAsia="zh-CN"/>
                    </w:rPr>
                    <w:t>沼气储罐</w:t>
                  </w:r>
                </w:p>
              </w:tc>
            </w:tr>
          </w:tbl>
          <w:p w14:paraId="1D169E80">
            <w:pPr>
              <w:pStyle w:val="5"/>
              <w:keepNext/>
              <w:keepLines/>
              <w:pageBreakBefore w:val="0"/>
              <w:widowControl w:val="0"/>
              <w:kinsoku/>
              <w:wordWrap/>
              <w:overflowPunct/>
              <w:topLinePunct w:val="0"/>
              <w:autoSpaceDE/>
              <w:autoSpaceDN/>
              <w:bidi w:val="0"/>
              <w:adjustRightInd/>
              <w:snapToGrid w:val="0"/>
              <w:spacing w:before="157" w:beforeLines="50" w:after="0" w:line="240" w:lineRule="auto"/>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表 2-8  原辅材料理化性质及危险特性</w:t>
            </w:r>
          </w:p>
          <w:tbl>
            <w:tblPr>
              <w:tblStyle w:val="6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0"/>
              <w:gridCol w:w="4090"/>
              <w:gridCol w:w="991"/>
              <w:gridCol w:w="1722"/>
            </w:tblGrid>
            <w:tr w14:paraId="0420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trPr>
              <w:tc>
                <w:tcPr>
                  <w:tcW w:w="898" w:type="pct"/>
                  <w:vAlign w:val="center"/>
                </w:tcPr>
                <w:p w14:paraId="66256F0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名称</w:t>
                  </w:r>
                </w:p>
              </w:tc>
              <w:tc>
                <w:tcPr>
                  <w:tcW w:w="2465" w:type="pct"/>
                  <w:vAlign w:val="center"/>
                </w:tcPr>
                <w:p w14:paraId="58DD26B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理化特性</w:t>
                  </w:r>
                </w:p>
              </w:tc>
              <w:tc>
                <w:tcPr>
                  <w:tcW w:w="597" w:type="pct"/>
                  <w:vAlign w:val="center"/>
                </w:tcPr>
                <w:p w14:paraId="6DEB9F5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燃烧爆炸性</w:t>
                  </w:r>
                </w:p>
              </w:tc>
              <w:tc>
                <w:tcPr>
                  <w:tcW w:w="1038" w:type="pct"/>
                  <w:vAlign w:val="center"/>
                </w:tcPr>
                <w:p w14:paraId="4D7E7D0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毒性毒理</w:t>
                  </w:r>
                </w:p>
              </w:tc>
            </w:tr>
            <w:tr w14:paraId="42C3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898" w:type="pct"/>
                  <w:vAlign w:val="center"/>
                </w:tcPr>
                <w:p w14:paraId="662DEAC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石膏</w:t>
                  </w:r>
                </w:p>
                <w:p w14:paraId="49FD8B9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CaSO4·2H</w:t>
                  </w:r>
                  <w:r>
                    <w:rPr>
                      <w:rFonts w:hint="default"/>
                      <w:color w:val="auto"/>
                      <w:kern w:val="0"/>
                      <w:szCs w:val="21"/>
                      <w:vertAlign w:val="subscript"/>
                    </w:rPr>
                    <w:t>2</w:t>
                  </w:r>
                  <w:r>
                    <w:rPr>
                      <w:rFonts w:hint="default"/>
                      <w:color w:val="auto"/>
                      <w:kern w:val="0"/>
                      <w:szCs w:val="21"/>
                    </w:rPr>
                    <w:t>O</w:t>
                  </w:r>
                </w:p>
                <w:p w14:paraId="019BD38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10101-41-4</w:t>
                  </w:r>
                </w:p>
              </w:tc>
              <w:tc>
                <w:tcPr>
                  <w:tcW w:w="2465" w:type="pct"/>
                  <w:vAlign w:val="center"/>
                </w:tcPr>
                <w:p w14:paraId="7615534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外观性状：白色单斜结晶或结晶性粉末</w:t>
                  </w:r>
                  <w:r>
                    <w:rPr>
                      <w:rFonts w:hint="eastAsia"/>
                      <w:color w:val="auto"/>
                      <w:kern w:val="0"/>
                      <w:szCs w:val="21"/>
                      <w:lang w:eastAsia="zh-CN"/>
                    </w:rPr>
                    <w:t>；</w:t>
                  </w:r>
                  <w:r>
                    <w:rPr>
                      <w:rFonts w:hint="default"/>
                      <w:color w:val="auto"/>
                      <w:kern w:val="0"/>
                      <w:szCs w:val="21"/>
                    </w:rPr>
                    <w:t>分子量：172.17；密度：2.32g/cm</w:t>
                  </w:r>
                  <w:r>
                    <w:rPr>
                      <w:rFonts w:hint="default"/>
                      <w:color w:val="auto"/>
                      <w:kern w:val="0"/>
                      <w:szCs w:val="21"/>
                      <w:vertAlign w:val="superscript"/>
                    </w:rPr>
                    <w:t>3</w:t>
                  </w:r>
                  <w:r>
                    <w:rPr>
                      <w:rFonts w:hint="default"/>
                      <w:color w:val="auto"/>
                      <w:kern w:val="0"/>
                      <w:szCs w:val="21"/>
                    </w:rPr>
                    <w:t>、熔点：1450℃</w:t>
                  </w:r>
                  <w:r>
                    <w:rPr>
                      <w:rFonts w:hint="eastAsia"/>
                      <w:color w:val="auto"/>
                      <w:kern w:val="0"/>
                      <w:szCs w:val="21"/>
                      <w:lang w:eastAsia="zh-CN"/>
                    </w:rPr>
                    <w:t>；</w:t>
                  </w:r>
                  <w:r>
                    <w:rPr>
                      <w:rFonts w:hint="default"/>
                      <w:color w:val="auto"/>
                      <w:kern w:val="0"/>
                      <w:szCs w:val="21"/>
                    </w:rPr>
                    <w:t>溶解度：微溶于水，溶于盐酸。</w:t>
                  </w:r>
                </w:p>
              </w:tc>
              <w:tc>
                <w:tcPr>
                  <w:tcW w:w="597" w:type="pct"/>
                  <w:vAlign w:val="center"/>
                </w:tcPr>
                <w:p w14:paraId="4ABDE23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不可燃</w:t>
                  </w:r>
                </w:p>
              </w:tc>
              <w:tc>
                <w:tcPr>
                  <w:tcW w:w="1038" w:type="pct"/>
                  <w:vAlign w:val="center"/>
                </w:tcPr>
                <w:p w14:paraId="13BDC10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无毒</w:t>
                  </w:r>
                </w:p>
              </w:tc>
            </w:tr>
            <w:tr w14:paraId="0284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98" w:type="pct"/>
                  <w:vAlign w:val="center"/>
                </w:tcPr>
                <w:p w14:paraId="4129BFB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内酯</w:t>
                  </w:r>
                </w:p>
              </w:tc>
              <w:tc>
                <w:tcPr>
                  <w:tcW w:w="2465" w:type="pct"/>
                  <w:vAlign w:val="center"/>
                </w:tcPr>
                <w:p w14:paraId="2083281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葡萄糖酸内酯，外观性状：白色结晶或结晶性粉末</w:t>
                  </w:r>
                  <w:r>
                    <w:rPr>
                      <w:rFonts w:hint="eastAsia"/>
                      <w:color w:val="auto"/>
                      <w:kern w:val="0"/>
                      <w:szCs w:val="21"/>
                      <w:lang w:eastAsia="zh-CN"/>
                    </w:rPr>
                    <w:t>；</w:t>
                  </w:r>
                  <w:r>
                    <w:rPr>
                      <w:rFonts w:hint="default"/>
                      <w:color w:val="auto"/>
                      <w:kern w:val="0"/>
                      <w:szCs w:val="21"/>
                    </w:rPr>
                    <w:t>分子量：178.14；密度：1.72g/cm</w:t>
                  </w:r>
                  <w:r>
                    <w:rPr>
                      <w:rFonts w:hint="default"/>
                      <w:color w:val="auto"/>
                      <w:kern w:val="0"/>
                      <w:szCs w:val="21"/>
                      <w:vertAlign w:val="superscript"/>
                    </w:rPr>
                    <w:t>3</w:t>
                  </w:r>
                  <w:r>
                    <w:rPr>
                      <w:rFonts w:hint="default"/>
                      <w:color w:val="auto"/>
                      <w:kern w:val="0"/>
                      <w:szCs w:val="21"/>
                    </w:rPr>
                    <w:t>、熔点：151-155℃</w:t>
                  </w:r>
                  <w:r>
                    <w:rPr>
                      <w:rFonts w:hint="eastAsia"/>
                      <w:color w:val="auto"/>
                      <w:kern w:val="0"/>
                      <w:szCs w:val="21"/>
                      <w:lang w:eastAsia="zh-CN"/>
                    </w:rPr>
                    <w:t>；</w:t>
                  </w:r>
                  <w:r>
                    <w:rPr>
                      <w:rFonts w:hint="default"/>
                      <w:color w:val="auto"/>
                      <w:kern w:val="0"/>
                      <w:szCs w:val="21"/>
                    </w:rPr>
                    <w:t>溶解度：易溶于水。</w:t>
                  </w:r>
                </w:p>
              </w:tc>
              <w:tc>
                <w:tcPr>
                  <w:tcW w:w="597" w:type="pct"/>
                  <w:vAlign w:val="center"/>
                </w:tcPr>
                <w:p w14:paraId="3D1DD0A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不可燃</w:t>
                  </w:r>
                </w:p>
              </w:tc>
              <w:tc>
                <w:tcPr>
                  <w:tcW w:w="1038" w:type="pct"/>
                  <w:vAlign w:val="center"/>
                </w:tcPr>
                <w:p w14:paraId="4ED3EF2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无毒</w:t>
                  </w:r>
                </w:p>
              </w:tc>
            </w:tr>
            <w:tr w14:paraId="344C3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98" w:type="pct"/>
                  <w:vAlign w:val="center"/>
                </w:tcPr>
                <w:p w14:paraId="1E856F9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消泡剂</w:t>
                  </w:r>
                </w:p>
              </w:tc>
              <w:tc>
                <w:tcPr>
                  <w:tcW w:w="2465" w:type="pct"/>
                  <w:vAlign w:val="center"/>
                </w:tcPr>
                <w:p w14:paraId="0D8A1DB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聚二甲基硅氧烷（也叫做硅油）为有机硅型消泡剂的主要成分，和H</w:t>
                  </w:r>
                  <w:r>
                    <w:rPr>
                      <w:rFonts w:hint="default"/>
                      <w:color w:val="auto"/>
                      <w:kern w:val="0"/>
                      <w:szCs w:val="21"/>
                      <w:vertAlign w:val="subscript"/>
                    </w:rPr>
                    <w:t>2</w:t>
                  </w:r>
                  <w:r>
                    <w:rPr>
                      <w:rFonts w:hint="default"/>
                      <w:color w:val="auto"/>
                      <w:kern w:val="0"/>
                      <w:szCs w:val="21"/>
                    </w:rPr>
                    <w:t>O、普通油类相比，硅油表面张力更小，既适用于水基起泡体系，又适用于油性起泡体系。在H2O、普通油类中，硅油活性高、溶解度低，其基本特征表现在化学性质稳定、使用范围广泛、挥发性低，且消泡能力比较突出等。</w:t>
                  </w:r>
                </w:p>
              </w:tc>
              <w:tc>
                <w:tcPr>
                  <w:tcW w:w="597" w:type="pct"/>
                  <w:vAlign w:val="center"/>
                </w:tcPr>
                <w:p w14:paraId="207C600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不可燃</w:t>
                  </w:r>
                </w:p>
              </w:tc>
              <w:tc>
                <w:tcPr>
                  <w:tcW w:w="1038" w:type="pct"/>
                  <w:vAlign w:val="center"/>
                </w:tcPr>
                <w:p w14:paraId="0CD5D73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无毒</w:t>
                  </w:r>
                </w:p>
              </w:tc>
            </w:tr>
            <w:tr w14:paraId="44030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trPr>
              <w:tc>
                <w:tcPr>
                  <w:tcW w:w="898" w:type="pct"/>
                  <w:vAlign w:val="center"/>
                </w:tcPr>
                <w:p w14:paraId="3EBCC12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食用碱Na</w:t>
                  </w:r>
                  <w:r>
                    <w:rPr>
                      <w:rFonts w:hint="default"/>
                      <w:color w:val="auto"/>
                      <w:kern w:val="0"/>
                      <w:szCs w:val="21"/>
                      <w:vertAlign w:val="subscript"/>
                    </w:rPr>
                    <w:t>2</w:t>
                  </w:r>
                  <w:r>
                    <w:rPr>
                      <w:rFonts w:hint="default"/>
                      <w:color w:val="auto"/>
                      <w:kern w:val="0"/>
                      <w:szCs w:val="21"/>
                    </w:rPr>
                    <w:t>CO</w:t>
                  </w:r>
                  <w:r>
                    <w:rPr>
                      <w:rFonts w:hint="default"/>
                      <w:color w:val="auto"/>
                      <w:kern w:val="0"/>
                      <w:szCs w:val="21"/>
                      <w:vertAlign w:val="subscript"/>
                    </w:rPr>
                    <w:t>3</w:t>
                  </w:r>
                  <w:r>
                    <w:rPr>
                      <w:rFonts w:hint="eastAsia"/>
                      <w:color w:val="auto"/>
                      <w:kern w:val="0"/>
                      <w:szCs w:val="21"/>
                      <w:lang w:eastAsia="zh-CN"/>
                    </w:rPr>
                    <w:t>；</w:t>
                  </w:r>
                  <w:r>
                    <w:rPr>
                      <w:rFonts w:hint="default"/>
                      <w:color w:val="auto"/>
                      <w:kern w:val="0"/>
                      <w:szCs w:val="21"/>
                    </w:rPr>
                    <w:t>497-19-8</w:t>
                  </w:r>
                </w:p>
              </w:tc>
              <w:tc>
                <w:tcPr>
                  <w:tcW w:w="2465" w:type="pct"/>
                  <w:vAlign w:val="center"/>
                </w:tcPr>
                <w:p w14:paraId="608B249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外观性状：白色结晶性粉末；分子量：105.99；密度：2.532g/cm</w:t>
                  </w:r>
                  <w:r>
                    <w:rPr>
                      <w:rFonts w:hint="default"/>
                      <w:color w:val="auto"/>
                      <w:kern w:val="0"/>
                      <w:szCs w:val="21"/>
                      <w:vertAlign w:val="superscript"/>
                    </w:rPr>
                    <w:t>3</w:t>
                  </w:r>
                  <w:r>
                    <w:rPr>
                      <w:rFonts w:hint="default"/>
                      <w:color w:val="auto"/>
                      <w:kern w:val="0"/>
                      <w:szCs w:val="21"/>
                    </w:rPr>
                    <w:t>、熔点：851℃、沸点：1600℃;溶解度：微溶于无水乙醇，难溶于丙醇。</w:t>
                  </w:r>
                </w:p>
              </w:tc>
              <w:tc>
                <w:tcPr>
                  <w:tcW w:w="597" w:type="pct"/>
                  <w:vAlign w:val="center"/>
                </w:tcPr>
                <w:p w14:paraId="2EC394F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不可燃</w:t>
                  </w:r>
                </w:p>
              </w:tc>
              <w:tc>
                <w:tcPr>
                  <w:tcW w:w="1038" w:type="pct"/>
                  <w:vAlign w:val="center"/>
                </w:tcPr>
                <w:p w14:paraId="6F752FC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LD</w:t>
                  </w:r>
                  <w:r>
                    <w:rPr>
                      <w:rFonts w:hint="default"/>
                      <w:color w:val="auto"/>
                      <w:kern w:val="0"/>
                      <w:szCs w:val="21"/>
                      <w:vertAlign w:val="subscript"/>
                    </w:rPr>
                    <w:t>50</w:t>
                  </w:r>
                  <w:r>
                    <w:rPr>
                      <w:rFonts w:hint="default"/>
                      <w:color w:val="auto"/>
                      <w:kern w:val="0"/>
                      <w:szCs w:val="21"/>
                    </w:rPr>
                    <w:t>：2800mg/kg（大鼠经口）LC</w:t>
                  </w:r>
                  <w:r>
                    <w:rPr>
                      <w:rFonts w:hint="default"/>
                      <w:color w:val="auto"/>
                      <w:kern w:val="0"/>
                      <w:szCs w:val="21"/>
                      <w:vertAlign w:val="subscript"/>
                    </w:rPr>
                    <w:t>50</w:t>
                  </w:r>
                  <w:r>
                    <w:rPr>
                      <w:rFonts w:hint="default"/>
                      <w:color w:val="auto"/>
                      <w:kern w:val="0"/>
                      <w:szCs w:val="21"/>
                    </w:rPr>
                    <w:t>：2300mg/m</w:t>
                  </w:r>
                  <w:r>
                    <w:rPr>
                      <w:rFonts w:hint="default"/>
                      <w:color w:val="auto"/>
                      <w:kern w:val="0"/>
                      <w:szCs w:val="21"/>
                      <w:vertAlign w:val="superscript"/>
                    </w:rPr>
                    <w:t>3</w:t>
                  </w:r>
                  <w:r>
                    <w:rPr>
                      <w:rFonts w:hint="default"/>
                      <w:color w:val="auto"/>
                      <w:kern w:val="0"/>
                      <w:szCs w:val="21"/>
                    </w:rPr>
                    <w:t>（大鼠吸入）</w:t>
                  </w:r>
                </w:p>
              </w:tc>
            </w:tr>
            <w:tr w14:paraId="6E7AA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898" w:type="pct"/>
                  <w:tcBorders>
                    <w:bottom w:val="single" w:color="000000" w:sz="2" w:space="0"/>
                  </w:tcBorders>
                  <w:vAlign w:val="center"/>
                </w:tcPr>
                <w:p w14:paraId="3ED44A9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碳酸氢钠NaHCO</w:t>
                  </w:r>
                  <w:r>
                    <w:rPr>
                      <w:rFonts w:hint="eastAsia"/>
                      <w:color w:val="auto"/>
                      <w:kern w:val="0"/>
                      <w:szCs w:val="21"/>
                      <w:vertAlign w:val="subscript"/>
                      <w:lang w:val="en-US" w:eastAsia="zh-CN"/>
                    </w:rPr>
                    <w:t>3</w:t>
                  </w:r>
                  <w:r>
                    <w:rPr>
                      <w:rFonts w:hint="eastAsia"/>
                      <w:color w:val="auto"/>
                      <w:kern w:val="0"/>
                      <w:szCs w:val="21"/>
                      <w:lang w:eastAsia="zh-CN"/>
                    </w:rPr>
                    <w:t>；</w:t>
                  </w:r>
                  <w:r>
                    <w:rPr>
                      <w:rFonts w:hint="default"/>
                      <w:color w:val="auto"/>
                      <w:kern w:val="0"/>
                      <w:szCs w:val="21"/>
                    </w:rPr>
                    <w:t>3144-55-8</w:t>
                  </w:r>
                </w:p>
              </w:tc>
              <w:tc>
                <w:tcPr>
                  <w:tcW w:w="2465" w:type="pct"/>
                  <w:tcBorders>
                    <w:bottom w:val="single" w:color="000000" w:sz="2" w:space="0"/>
                  </w:tcBorders>
                  <w:vAlign w:val="center"/>
                </w:tcPr>
                <w:p w14:paraId="0051472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外观性状：白色晶体或不透明单斜晶系细微结晶；分子量：84.01；密度：2.16g/cm</w:t>
                  </w:r>
                  <w:r>
                    <w:rPr>
                      <w:rFonts w:hint="default"/>
                      <w:color w:val="auto"/>
                      <w:kern w:val="0"/>
                      <w:szCs w:val="21"/>
                      <w:vertAlign w:val="superscript"/>
                    </w:rPr>
                    <w:t>3</w:t>
                  </w:r>
                  <w:r>
                    <w:rPr>
                      <w:rFonts w:hint="default"/>
                      <w:color w:val="auto"/>
                      <w:kern w:val="0"/>
                      <w:szCs w:val="21"/>
                    </w:rPr>
                    <w:t>、熔点：270℃、沸点：851℃;溶解度：溶于水，不溶于乙醇。</w:t>
                  </w:r>
                </w:p>
              </w:tc>
              <w:tc>
                <w:tcPr>
                  <w:tcW w:w="597" w:type="pct"/>
                  <w:tcBorders>
                    <w:bottom w:val="single" w:color="000000" w:sz="2" w:space="0"/>
                  </w:tcBorders>
                  <w:vAlign w:val="center"/>
                </w:tcPr>
                <w:p w14:paraId="186AF53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不可燃</w:t>
                  </w:r>
                </w:p>
              </w:tc>
              <w:tc>
                <w:tcPr>
                  <w:tcW w:w="1038" w:type="pct"/>
                  <w:tcBorders>
                    <w:bottom w:val="single" w:color="000000" w:sz="2" w:space="0"/>
                  </w:tcBorders>
                  <w:vAlign w:val="center"/>
                </w:tcPr>
                <w:p w14:paraId="1FBA303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color w:val="auto"/>
                      <w:kern w:val="0"/>
                      <w:szCs w:val="21"/>
                    </w:rPr>
                  </w:pPr>
                  <w:r>
                    <w:rPr>
                      <w:rFonts w:hint="default"/>
                      <w:color w:val="auto"/>
                      <w:kern w:val="0"/>
                      <w:szCs w:val="21"/>
                    </w:rPr>
                    <w:t>LD</w:t>
                  </w:r>
                  <w:r>
                    <w:rPr>
                      <w:rFonts w:hint="default"/>
                      <w:color w:val="auto"/>
                      <w:kern w:val="0"/>
                      <w:szCs w:val="21"/>
                      <w:vertAlign w:val="subscript"/>
                    </w:rPr>
                    <w:t>50</w:t>
                  </w:r>
                  <w:r>
                    <w:rPr>
                      <w:rFonts w:hint="default"/>
                      <w:color w:val="auto"/>
                      <w:kern w:val="0"/>
                      <w:szCs w:val="21"/>
                    </w:rPr>
                    <w:t>：4220mg/kg（大鼠经口）</w:t>
                  </w:r>
                </w:p>
              </w:tc>
            </w:tr>
          </w:tbl>
          <w:p w14:paraId="5318EF62">
            <w:pPr>
              <w:adjustRightInd w:val="0"/>
              <w:snapToGrid w:val="0"/>
              <w:spacing w:beforeLines="50" w:line="360" w:lineRule="auto"/>
              <w:ind w:firstLine="482" w:firstLineChars="200"/>
              <w:rPr>
                <w:b/>
                <w:color w:val="auto"/>
                <w:sz w:val="24"/>
              </w:rPr>
            </w:pPr>
            <w:r>
              <w:rPr>
                <w:rFonts w:hint="eastAsia"/>
                <w:b/>
                <w:color w:val="auto"/>
                <w:sz w:val="24"/>
              </w:rPr>
              <w:t>6、公用工程</w:t>
            </w:r>
          </w:p>
          <w:p w14:paraId="5B3CE17D">
            <w:pPr>
              <w:spacing w:line="360" w:lineRule="auto"/>
              <w:ind w:firstLine="480" w:firstLineChars="200"/>
              <w:rPr>
                <w:bCs/>
                <w:color w:val="auto"/>
                <w:sz w:val="24"/>
                <w:lang w:eastAsia="en-US"/>
              </w:rPr>
            </w:pPr>
            <w:r>
              <w:rPr>
                <w:rFonts w:hint="eastAsia"/>
                <w:bCs/>
                <w:color w:val="auto"/>
                <w:sz w:val="24"/>
                <w:lang w:eastAsia="en-US"/>
              </w:rPr>
              <w:t>本项目主要公辅设施匹配、依托情况如下：</w:t>
            </w:r>
          </w:p>
          <w:p w14:paraId="4109D64E">
            <w:pPr>
              <w:spacing w:line="360" w:lineRule="auto"/>
              <w:ind w:firstLine="480" w:firstLineChars="200"/>
              <w:rPr>
                <w:bCs/>
                <w:color w:val="auto"/>
                <w:sz w:val="24"/>
                <w:lang w:eastAsia="en-US"/>
              </w:rPr>
            </w:pPr>
            <w:r>
              <w:rPr>
                <w:rFonts w:hint="eastAsia"/>
                <w:bCs/>
                <w:color w:val="auto"/>
                <w:sz w:val="24"/>
                <w:lang w:eastAsia="en-US"/>
              </w:rPr>
              <w:t>（1）给</w:t>
            </w:r>
            <w:r>
              <w:rPr>
                <w:rFonts w:hint="eastAsia"/>
                <w:bCs/>
                <w:color w:val="auto"/>
                <w:sz w:val="24"/>
              </w:rPr>
              <w:t>排水</w:t>
            </w:r>
            <w:r>
              <w:rPr>
                <w:rFonts w:hint="eastAsia"/>
                <w:bCs/>
                <w:color w:val="auto"/>
                <w:sz w:val="24"/>
                <w:lang w:eastAsia="en-US"/>
              </w:rPr>
              <w:t>工程</w:t>
            </w:r>
          </w:p>
          <w:p w14:paraId="2BA66101">
            <w:pPr>
              <w:spacing w:line="360" w:lineRule="auto"/>
              <w:ind w:firstLine="480" w:firstLineChars="200"/>
              <w:rPr>
                <w:rFonts w:hint="eastAsia"/>
                <w:color w:val="auto"/>
                <w:sz w:val="24"/>
              </w:rPr>
            </w:pPr>
            <w:r>
              <w:rPr>
                <w:rFonts w:hint="eastAsia"/>
                <w:color w:val="auto"/>
                <w:sz w:val="24"/>
              </w:rPr>
              <w:t>建设项目用水主要为生产用水和生活用水，生产用水具体包括：洗豆用水、泡豆用水、磨浆用水、调配用水、设备清洗用水、软水制备用水和地坪保洁用水。</w:t>
            </w:r>
          </w:p>
          <w:p w14:paraId="3BD990C7">
            <w:pPr>
              <w:spacing w:line="360" w:lineRule="auto"/>
              <w:ind w:firstLine="480" w:firstLineChars="200"/>
              <w:rPr>
                <w:color w:val="auto"/>
                <w:sz w:val="24"/>
              </w:rPr>
            </w:pPr>
            <w:r>
              <w:rPr>
                <w:rFonts w:hint="eastAsia"/>
                <w:color w:val="auto"/>
                <w:sz w:val="24"/>
              </w:rPr>
              <w:t>产生的废水有生产废水和生活污水，生产废水具体包括：洗豆废水、泡豆废水、压制废水（黄浆水）、设备清洗废水、软水制备废水、锅炉排污水和地坪保洁废水</w:t>
            </w:r>
            <w:r>
              <w:rPr>
                <w:color w:val="auto"/>
                <w:sz w:val="24"/>
              </w:rPr>
              <w:t>。</w:t>
            </w:r>
          </w:p>
          <w:p w14:paraId="380CD922">
            <w:pPr>
              <w:widowControl/>
              <w:adjustRightInd w:val="0"/>
              <w:snapToGrid w:val="0"/>
              <w:spacing w:line="360" w:lineRule="auto"/>
              <w:ind w:firstLine="480" w:firstLineChars="200"/>
              <w:jc w:val="left"/>
              <w:rPr>
                <w:color w:val="auto"/>
                <w:sz w:val="24"/>
              </w:rPr>
            </w:pPr>
            <w:r>
              <w:rPr>
                <w:rFonts w:hint="eastAsia"/>
                <w:color w:val="auto"/>
                <w:sz w:val="24"/>
              </w:rPr>
              <w:t>1）生活用水</w:t>
            </w:r>
          </w:p>
          <w:p w14:paraId="17C1D1EF">
            <w:pPr>
              <w:widowControl/>
              <w:adjustRightInd w:val="0"/>
              <w:snapToGrid w:val="0"/>
              <w:spacing w:line="360" w:lineRule="auto"/>
              <w:ind w:firstLine="480" w:firstLineChars="200"/>
              <w:jc w:val="left"/>
              <w:rPr>
                <w:color w:val="auto"/>
                <w:sz w:val="24"/>
              </w:rPr>
            </w:pPr>
            <w:r>
              <w:rPr>
                <w:rFonts w:hint="eastAsia"/>
                <w:color w:val="auto"/>
                <w:sz w:val="24"/>
              </w:rPr>
              <w:t>本项目劳动定员4</w:t>
            </w:r>
            <w:r>
              <w:rPr>
                <w:rFonts w:hint="eastAsia"/>
                <w:color w:val="auto"/>
                <w:sz w:val="24"/>
                <w:lang w:val="en-US" w:eastAsia="zh-CN"/>
              </w:rPr>
              <w:t>0</w:t>
            </w:r>
            <w:r>
              <w:rPr>
                <w:rFonts w:hint="eastAsia"/>
                <w:color w:val="auto"/>
                <w:sz w:val="24"/>
              </w:rPr>
              <w:t>人，年工作3</w:t>
            </w:r>
            <w:r>
              <w:rPr>
                <w:rFonts w:hint="eastAsia"/>
                <w:color w:val="auto"/>
                <w:sz w:val="24"/>
                <w:lang w:val="en-US" w:eastAsia="zh-CN"/>
              </w:rPr>
              <w:t>00</w:t>
            </w:r>
            <w:r>
              <w:rPr>
                <w:rFonts w:hint="eastAsia"/>
                <w:color w:val="auto"/>
                <w:sz w:val="24"/>
              </w:rPr>
              <w:t>天，员工均不在厂区内食宿，每人每天生活用水按50L计，则生活用水量为</w:t>
            </w:r>
            <w:r>
              <w:rPr>
                <w:rFonts w:hint="eastAsia"/>
                <w:color w:val="auto"/>
                <w:sz w:val="24"/>
                <w:lang w:val="en-US" w:eastAsia="zh-CN"/>
              </w:rPr>
              <w:t>2.0</w:t>
            </w:r>
            <w:r>
              <w:rPr>
                <w:rFonts w:hint="eastAsia"/>
                <w:color w:val="auto"/>
                <w:sz w:val="24"/>
              </w:rPr>
              <w:t>00</w:t>
            </w:r>
            <w:r>
              <w:rPr>
                <w:color w:val="auto"/>
                <w:sz w:val="24"/>
              </w:rPr>
              <w:t>m³</w:t>
            </w:r>
            <w:r>
              <w:rPr>
                <w:rFonts w:hint="eastAsia"/>
                <w:color w:val="auto"/>
                <w:sz w:val="24"/>
              </w:rPr>
              <w:t>/d（</w:t>
            </w:r>
            <w:r>
              <w:rPr>
                <w:rFonts w:hint="eastAsia"/>
                <w:color w:val="auto"/>
                <w:sz w:val="24"/>
                <w:lang w:val="en-US" w:eastAsia="zh-CN"/>
              </w:rPr>
              <w:t>600</w:t>
            </w:r>
            <w:r>
              <w:rPr>
                <w:color w:val="auto"/>
                <w:sz w:val="24"/>
              </w:rPr>
              <w:t>m³</w:t>
            </w:r>
            <w:r>
              <w:rPr>
                <w:rFonts w:hint="eastAsia"/>
                <w:color w:val="auto"/>
                <w:sz w:val="24"/>
              </w:rPr>
              <w:t>/a），生活污水按用水量80%，则项目生活污水量为</w:t>
            </w:r>
            <w:r>
              <w:rPr>
                <w:rFonts w:hint="eastAsia"/>
                <w:color w:val="auto"/>
                <w:sz w:val="24"/>
                <w:lang w:val="en-US" w:eastAsia="zh-CN"/>
              </w:rPr>
              <w:t>1.</w:t>
            </w:r>
            <w:r>
              <w:rPr>
                <w:rFonts w:hint="eastAsia"/>
                <w:color w:val="auto"/>
                <w:sz w:val="24"/>
              </w:rPr>
              <w:t>6</w:t>
            </w:r>
            <w:r>
              <w:rPr>
                <w:rFonts w:hint="eastAsia"/>
                <w:color w:val="auto"/>
                <w:sz w:val="24"/>
                <w:lang w:val="en-US" w:eastAsia="zh-CN"/>
              </w:rPr>
              <w:t>0</w:t>
            </w:r>
            <w:r>
              <w:rPr>
                <w:rFonts w:hint="eastAsia"/>
                <w:color w:val="auto"/>
                <w:sz w:val="24"/>
              </w:rPr>
              <w:t>0</w:t>
            </w:r>
            <w:r>
              <w:rPr>
                <w:color w:val="auto"/>
                <w:sz w:val="24"/>
              </w:rPr>
              <w:t>m³</w:t>
            </w:r>
            <w:r>
              <w:rPr>
                <w:rFonts w:hint="eastAsia"/>
                <w:color w:val="auto"/>
                <w:sz w:val="24"/>
              </w:rPr>
              <w:t>/d（</w:t>
            </w:r>
            <w:r>
              <w:rPr>
                <w:rFonts w:hint="eastAsia"/>
                <w:color w:val="auto"/>
                <w:sz w:val="24"/>
                <w:lang w:val="en-US" w:eastAsia="zh-CN"/>
              </w:rPr>
              <w:t>480</w:t>
            </w:r>
            <w:r>
              <w:rPr>
                <w:color w:val="auto"/>
                <w:sz w:val="24"/>
              </w:rPr>
              <w:t>m³</w:t>
            </w:r>
            <w:r>
              <w:rPr>
                <w:rFonts w:hint="eastAsia"/>
                <w:color w:val="auto"/>
                <w:sz w:val="24"/>
              </w:rPr>
              <w:t>/a）。生活污水</w:t>
            </w:r>
            <w:r>
              <w:rPr>
                <w:rFonts w:hint="eastAsia"/>
                <w:color w:val="auto"/>
                <w:sz w:val="24"/>
                <w:lang w:eastAsia="zh-CN"/>
              </w:rPr>
              <w:t>经化粪池处理后</w:t>
            </w:r>
            <w:r>
              <w:rPr>
                <w:rFonts w:hint="eastAsia"/>
                <w:color w:val="auto"/>
                <w:sz w:val="24"/>
              </w:rPr>
              <w:t>泵送至秸秆粪便资源化利用（一期）项目</w:t>
            </w:r>
            <w:r>
              <w:rPr>
                <w:rFonts w:hint="eastAsia"/>
                <w:color w:val="auto"/>
                <w:sz w:val="24"/>
                <w:lang w:val="en-US" w:eastAsia="zh-CN"/>
              </w:rPr>
              <w:t>沼气发电系统作为原料</w:t>
            </w:r>
            <w:r>
              <w:rPr>
                <w:rFonts w:hint="eastAsia"/>
                <w:color w:val="auto"/>
                <w:sz w:val="24"/>
              </w:rPr>
              <w:t>。</w:t>
            </w:r>
          </w:p>
          <w:p w14:paraId="1DB3B948">
            <w:pPr>
              <w:widowControl/>
              <w:adjustRightInd w:val="0"/>
              <w:snapToGrid w:val="0"/>
              <w:spacing w:line="360" w:lineRule="auto"/>
              <w:ind w:firstLine="480" w:firstLineChars="200"/>
              <w:rPr>
                <w:rFonts w:hint="eastAsia"/>
                <w:color w:val="auto"/>
                <w:sz w:val="24"/>
              </w:rPr>
            </w:pPr>
            <w:r>
              <w:rPr>
                <w:color w:val="auto"/>
                <w:sz w:val="24"/>
              </w:rPr>
              <w:t>2</w:t>
            </w:r>
            <w:r>
              <w:rPr>
                <w:rFonts w:hint="eastAsia"/>
                <w:color w:val="auto"/>
                <w:sz w:val="24"/>
              </w:rPr>
              <w:t>）洗豆用水</w:t>
            </w:r>
          </w:p>
          <w:p w14:paraId="31DCD104">
            <w:pPr>
              <w:widowControl/>
              <w:adjustRightInd w:val="0"/>
              <w:snapToGrid w:val="0"/>
              <w:spacing w:line="360" w:lineRule="auto"/>
              <w:ind w:firstLine="480" w:firstLineChars="200"/>
              <w:rPr>
                <w:color w:val="auto"/>
                <w:sz w:val="24"/>
              </w:rPr>
            </w:pPr>
            <w:r>
              <w:rPr>
                <w:rFonts w:hint="eastAsia"/>
                <w:color w:val="auto"/>
                <w:sz w:val="24"/>
              </w:rPr>
              <w:t>在磨浆前需对黄豆清洗三次，每次洗豆时，豆与水的比例为1：</w:t>
            </w:r>
            <w:r>
              <w:rPr>
                <w:rFonts w:hint="eastAsia"/>
                <w:color w:val="auto"/>
                <w:sz w:val="24"/>
                <w:lang w:val="en-US" w:eastAsia="zh-CN"/>
              </w:rPr>
              <w:t>1</w:t>
            </w:r>
            <w:r>
              <w:rPr>
                <w:rFonts w:hint="eastAsia"/>
                <w:color w:val="auto"/>
                <w:sz w:val="24"/>
              </w:rPr>
              <w:t>，黄豆原料年用量为</w:t>
            </w:r>
            <w:r>
              <w:rPr>
                <w:rFonts w:hint="eastAsia"/>
                <w:color w:val="auto"/>
                <w:sz w:val="24"/>
                <w:lang w:val="en-US" w:eastAsia="zh-CN"/>
              </w:rPr>
              <w:t>2</w:t>
            </w:r>
            <w:r>
              <w:rPr>
                <w:rFonts w:hint="eastAsia"/>
                <w:color w:val="auto"/>
                <w:sz w:val="24"/>
              </w:rPr>
              <w:t>000t/a（</w:t>
            </w:r>
            <w:r>
              <w:rPr>
                <w:rFonts w:hint="eastAsia"/>
                <w:color w:val="auto"/>
                <w:sz w:val="24"/>
                <w:lang w:val="en-US" w:eastAsia="zh-CN"/>
              </w:rPr>
              <w:t>6.667</w:t>
            </w:r>
            <w:r>
              <w:rPr>
                <w:rFonts w:hint="eastAsia"/>
                <w:color w:val="auto"/>
                <w:sz w:val="24"/>
              </w:rPr>
              <w:t>t/</w:t>
            </w:r>
            <w:r>
              <w:rPr>
                <w:rFonts w:hint="eastAsia"/>
                <w:color w:val="auto"/>
                <w:sz w:val="24"/>
                <w:lang w:val="en-US" w:eastAsia="zh-CN"/>
              </w:rPr>
              <w:t>d</w:t>
            </w:r>
            <w:r>
              <w:rPr>
                <w:rFonts w:hint="eastAsia"/>
                <w:color w:val="auto"/>
                <w:sz w:val="24"/>
              </w:rPr>
              <w:t>），洗豆用水量为</w:t>
            </w:r>
            <w:r>
              <w:rPr>
                <w:rFonts w:hint="eastAsia"/>
                <w:color w:val="auto"/>
                <w:sz w:val="24"/>
                <w:lang w:val="en-US" w:eastAsia="zh-CN"/>
              </w:rPr>
              <w:t>6000</w:t>
            </w:r>
            <w:r>
              <w:rPr>
                <w:rFonts w:hint="eastAsia"/>
                <w:color w:val="auto"/>
                <w:sz w:val="24"/>
              </w:rPr>
              <w:t>t/a（</w:t>
            </w:r>
            <w:r>
              <w:rPr>
                <w:rFonts w:hint="eastAsia"/>
                <w:color w:val="auto"/>
                <w:sz w:val="24"/>
                <w:lang w:val="en-US" w:eastAsia="zh-CN"/>
              </w:rPr>
              <w:t>20</w:t>
            </w:r>
            <w:r>
              <w:rPr>
                <w:rFonts w:hint="eastAsia"/>
                <w:color w:val="auto"/>
                <w:sz w:val="24"/>
              </w:rPr>
              <w:t>t/d），洗豆用水损耗按10%计，洗豆废水产生量为</w:t>
            </w:r>
            <w:r>
              <w:rPr>
                <w:rFonts w:hint="eastAsia"/>
                <w:color w:val="auto"/>
                <w:sz w:val="24"/>
                <w:lang w:val="en-US" w:eastAsia="zh-CN"/>
              </w:rPr>
              <w:t>5400</w:t>
            </w:r>
            <w:r>
              <w:rPr>
                <w:rFonts w:hint="eastAsia"/>
                <w:color w:val="auto"/>
                <w:sz w:val="24"/>
                <w:lang w:eastAsia="zh-CN"/>
              </w:rPr>
              <w:t>t</w:t>
            </w:r>
            <w:r>
              <w:rPr>
                <w:rFonts w:hint="eastAsia"/>
                <w:color w:val="auto"/>
                <w:sz w:val="24"/>
              </w:rPr>
              <w:t>/a（</w:t>
            </w:r>
            <w:r>
              <w:rPr>
                <w:rFonts w:hint="eastAsia"/>
                <w:color w:val="auto"/>
                <w:sz w:val="24"/>
                <w:lang w:val="en-US" w:eastAsia="zh-CN"/>
              </w:rPr>
              <w:t>18</w:t>
            </w:r>
            <w:r>
              <w:rPr>
                <w:rFonts w:hint="eastAsia"/>
                <w:color w:val="auto"/>
                <w:sz w:val="24"/>
              </w:rPr>
              <w:t>t/d）。</w:t>
            </w:r>
          </w:p>
          <w:p w14:paraId="140E3152">
            <w:pPr>
              <w:pStyle w:val="12"/>
              <w:numPr>
                <w:ilvl w:val="0"/>
                <w:numId w:val="6"/>
              </w:numPr>
              <w:adjustRightInd w:val="0"/>
              <w:snapToGrid w:val="0"/>
              <w:spacing w:after="0" w:line="360" w:lineRule="auto"/>
              <w:ind w:left="0" w:leftChars="0" w:firstLine="480" w:firstLineChars="200"/>
              <w:rPr>
                <w:rFonts w:hint="eastAsia"/>
                <w:color w:val="auto"/>
                <w:szCs w:val="24"/>
              </w:rPr>
            </w:pPr>
            <w:r>
              <w:rPr>
                <w:rFonts w:hint="eastAsia"/>
                <w:color w:val="auto"/>
                <w:szCs w:val="24"/>
              </w:rPr>
              <w:t>泡豆用水</w:t>
            </w:r>
          </w:p>
          <w:p w14:paraId="78E789FD">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浸泡黄豆时加水量一般为黄豆质量的3倍，黄豆原料年用量为</w:t>
            </w:r>
            <w:r>
              <w:rPr>
                <w:rFonts w:hint="eastAsia"/>
                <w:color w:val="auto"/>
                <w:szCs w:val="24"/>
                <w:lang w:val="en-US" w:eastAsia="zh-CN"/>
              </w:rPr>
              <w:t>2</w:t>
            </w:r>
            <w:r>
              <w:rPr>
                <w:rFonts w:hint="eastAsia"/>
                <w:color w:val="auto"/>
                <w:szCs w:val="24"/>
              </w:rPr>
              <w:t>000t/a，则泡豆需水量为</w:t>
            </w:r>
            <w:r>
              <w:rPr>
                <w:rFonts w:hint="eastAsia"/>
                <w:color w:val="auto"/>
                <w:szCs w:val="24"/>
                <w:lang w:val="en-US" w:eastAsia="zh-CN"/>
              </w:rPr>
              <w:t>6</w:t>
            </w:r>
            <w:r>
              <w:rPr>
                <w:rFonts w:hint="eastAsia"/>
                <w:color w:val="auto"/>
                <w:szCs w:val="24"/>
              </w:rPr>
              <w:t>000t/a（</w:t>
            </w:r>
            <w:r>
              <w:rPr>
                <w:rFonts w:hint="eastAsia"/>
                <w:color w:val="auto"/>
                <w:szCs w:val="24"/>
                <w:lang w:val="en-US" w:eastAsia="zh-CN"/>
              </w:rPr>
              <w:t>20</w:t>
            </w:r>
            <w:r>
              <w:rPr>
                <w:rFonts w:hint="eastAsia"/>
                <w:color w:val="auto"/>
                <w:szCs w:val="24"/>
              </w:rPr>
              <w:t>t/d）。泡豆时黄豆吸收水量与自身重量之比为1：1，即</w:t>
            </w:r>
            <w:r>
              <w:rPr>
                <w:rFonts w:hint="eastAsia"/>
                <w:color w:val="auto"/>
                <w:szCs w:val="24"/>
                <w:lang w:val="en-US" w:eastAsia="zh-CN"/>
              </w:rPr>
              <w:t>2</w:t>
            </w:r>
            <w:r>
              <w:rPr>
                <w:rFonts w:hint="eastAsia"/>
                <w:color w:val="auto"/>
                <w:szCs w:val="24"/>
              </w:rPr>
              <w:t>000t/a（</w:t>
            </w:r>
            <w:r>
              <w:rPr>
                <w:rFonts w:hint="eastAsia"/>
                <w:color w:val="auto"/>
                <w:szCs w:val="24"/>
                <w:lang w:val="en-US" w:eastAsia="zh-CN"/>
              </w:rPr>
              <w:t>6.667</w:t>
            </w:r>
            <w:r>
              <w:rPr>
                <w:rFonts w:hint="eastAsia"/>
                <w:color w:val="auto"/>
                <w:szCs w:val="24"/>
              </w:rPr>
              <w:t>t/d）进入黄豆，泡豆废水产生量为</w:t>
            </w:r>
            <w:r>
              <w:rPr>
                <w:rFonts w:hint="eastAsia"/>
                <w:color w:val="auto"/>
                <w:szCs w:val="24"/>
                <w:lang w:val="en-US" w:eastAsia="zh-CN"/>
              </w:rPr>
              <w:t>4000</w:t>
            </w:r>
            <w:r>
              <w:rPr>
                <w:rFonts w:hint="eastAsia"/>
                <w:color w:val="auto"/>
                <w:szCs w:val="24"/>
              </w:rPr>
              <w:t>t/a（</w:t>
            </w:r>
            <w:r>
              <w:rPr>
                <w:rFonts w:hint="eastAsia"/>
                <w:color w:val="auto"/>
                <w:szCs w:val="24"/>
                <w:lang w:val="en-US" w:eastAsia="zh-CN"/>
              </w:rPr>
              <w:t>13.333</w:t>
            </w:r>
            <w:r>
              <w:rPr>
                <w:rFonts w:hint="eastAsia"/>
                <w:color w:val="auto"/>
                <w:szCs w:val="24"/>
              </w:rPr>
              <w:t>t/d）。</w:t>
            </w:r>
          </w:p>
          <w:p w14:paraId="0EBD394E">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4）</w:t>
            </w:r>
            <w:r>
              <w:rPr>
                <w:rFonts w:hint="eastAsia"/>
                <w:color w:val="auto"/>
                <w:szCs w:val="24"/>
              </w:rPr>
              <w:t>磨浆用水</w:t>
            </w:r>
          </w:p>
          <w:p w14:paraId="33612DEA">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磨浆工序需配合加入黄豆</w:t>
            </w:r>
            <w:r>
              <w:rPr>
                <w:rFonts w:hint="eastAsia"/>
                <w:color w:val="auto"/>
                <w:szCs w:val="24"/>
                <w:lang w:val="en-US" w:eastAsia="zh-CN"/>
              </w:rPr>
              <w:t>6</w:t>
            </w:r>
            <w:r>
              <w:rPr>
                <w:rFonts w:hint="eastAsia"/>
                <w:color w:val="auto"/>
                <w:szCs w:val="24"/>
              </w:rPr>
              <w:t>倍量的冷水，则磨浆用水量为</w:t>
            </w:r>
            <w:r>
              <w:rPr>
                <w:rFonts w:hint="eastAsia"/>
                <w:color w:val="auto"/>
                <w:szCs w:val="24"/>
                <w:lang w:val="en-US" w:eastAsia="zh-CN"/>
              </w:rPr>
              <w:t>12000</w:t>
            </w:r>
            <w:r>
              <w:rPr>
                <w:rFonts w:hint="eastAsia"/>
                <w:color w:val="auto"/>
                <w:szCs w:val="24"/>
              </w:rPr>
              <w:t>t/a（</w:t>
            </w:r>
            <w:r>
              <w:rPr>
                <w:rFonts w:hint="eastAsia"/>
                <w:color w:val="auto"/>
                <w:szCs w:val="24"/>
                <w:lang w:val="en-US" w:eastAsia="zh-CN"/>
              </w:rPr>
              <w:t>40</w:t>
            </w:r>
            <w:r>
              <w:rPr>
                <w:rFonts w:hint="eastAsia"/>
                <w:color w:val="auto"/>
                <w:szCs w:val="24"/>
              </w:rPr>
              <w:t>t/d）。磨浆时干豆渣产生量约为黄豆使用量的20%（</w:t>
            </w:r>
            <w:r>
              <w:rPr>
                <w:rFonts w:hint="eastAsia"/>
                <w:color w:val="auto"/>
                <w:szCs w:val="24"/>
                <w:lang w:val="en-US" w:eastAsia="zh-CN"/>
              </w:rPr>
              <w:t>4</w:t>
            </w:r>
            <w:r>
              <w:rPr>
                <w:rFonts w:hint="eastAsia"/>
                <w:color w:val="auto"/>
                <w:szCs w:val="24"/>
              </w:rPr>
              <w:t>00t/a，</w:t>
            </w:r>
            <w:r>
              <w:rPr>
                <w:rFonts w:hint="eastAsia"/>
                <w:color w:val="auto"/>
                <w:szCs w:val="24"/>
                <w:lang w:val="en-US" w:eastAsia="zh-CN"/>
              </w:rPr>
              <w:t>1.333</w:t>
            </w:r>
            <w:r>
              <w:rPr>
                <w:rFonts w:hint="eastAsia"/>
                <w:color w:val="auto"/>
                <w:szCs w:val="24"/>
              </w:rPr>
              <w:t>t/d），湿豆渣含水约为80%，则有</w:t>
            </w:r>
            <w:r>
              <w:rPr>
                <w:rFonts w:hint="eastAsia"/>
                <w:color w:val="auto"/>
                <w:szCs w:val="24"/>
                <w:lang w:val="en-US" w:eastAsia="zh-CN"/>
              </w:rPr>
              <w:t>100</w:t>
            </w:r>
            <w:r>
              <w:rPr>
                <w:rFonts w:hint="eastAsia"/>
                <w:color w:val="auto"/>
                <w:szCs w:val="24"/>
              </w:rPr>
              <w:t>t/a（</w:t>
            </w:r>
            <w:r>
              <w:rPr>
                <w:rFonts w:hint="eastAsia"/>
                <w:color w:val="auto"/>
                <w:szCs w:val="24"/>
                <w:lang w:val="en-US" w:eastAsia="zh-CN"/>
              </w:rPr>
              <w:t>0.333</w:t>
            </w:r>
            <w:r>
              <w:rPr>
                <w:rFonts w:hint="eastAsia"/>
                <w:color w:val="auto"/>
                <w:szCs w:val="24"/>
              </w:rPr>
              <w:t>t/d）磨浆用水随豆渣带出，其余</w:t>
            </w:r>
            <w:r>
              <w:rPr>
                <w:rFonts w:hint="eastAsia"/>
                <w:color w:val="auto"/>
                <w:szCs w:val="24"/>
                <w:lang w:val="en-US" w:eastAsia="zh-CN"/>
              </w:rPr>
              <w:t>11900</w:t>
            </w:r>
            <w:r>
              <w:rPr>
                <w:rFonts w:hint="eastAsia"/>
                <w:color w:val="auto"/>
                <w:szCs w:val="24"/>
              </w:rPr>
              <w:t>t/a（</w:t>
            </w:r>
            <w:r>
              <w:rPr>
                <w:rFonts w:hint="eastAsia"/>
                <w:color w:val="auto"/>
                <w:szCs w:val="24"/>
                <w:lang w:val="en-US" w:eastAsia="zh-CN"/>
              </w:rPr>
              <w:t>39.667</w:t>
            </w:r>
            <w:r>
              <w:rPr>
                <w:rFonts w:hint="eastAsia"/>
                <w:color w:val="auto"/>
                <w:szCs w:val="24"/>
              </w:rPr>
              <w:t>t/d）磨浆用水与</w:t>
            </w:r>
            <w:r>
              <w:rPr>
                <w:rFonts w:hint="eastAsia"/>
                <w:color w:val="auto"/>
                <w:szCs w:val="24"/>
                <w:lang w:val="en-US" w:eastAsia="zh-CN"/>
              </w:rPr>
              <w:t>1600</w:t>
            </w:r>
            <w:r>
              <w:rPr>
                <w:rFonts w:hint="eastAsia"/>
                <w:color w:val="auto"/>
                <w:szCs w:val="24"/>
              </w:rPr>
              <w:t>t/a（</w:t>
            </w:r>
            <w:r>
              <w:rPr>
                <w:rFonts w:hint="eastAsia"/>
                <w:color w:val="auto"/>
                <w:szCs w:val="24"/>
                <w:lang w:val="en-US" w:eastAsia="zh-CN"/>
              </w:rPr>
              <w:t>5.333</w:t>
            </w:r>
            <w:r>
              <w:rPr>
                <w:rFonts w:hint="eastAsia"/>
                <w:color w:val="auto"/>
                <w:szCs w:val="24"/>
              </w:rPr>
              <w:t>t/d）发泡大豆碾磨后进入煮浆工序。煮浆过程中，损耗约为总量的5%，则制得熟浆</w:t>
            </w:r>
            <w:r>
              <w:rPr>
                <w:rFonts w:hint="eastAsia"/>
                <w:color w:val="auto"/>
                <w:szCs w:val="24"/>
                <w:lang w:val="en-US" w:eastAsia="zh-CN"/>
              </w:rPr>
              <w:t>12825</w:t>
            </w:r>
            <w:r>
              <w:rPr>
                <w:rFonts w:hint="eastAsia"/>
                <w:color w:val="auto"/>
                <w:szCs w:val="24"/>
              </w:rPr>
              <w:t>t/a（</w:t>
            </w:r>
            <w:r>
              <w:rPr>
                <w:rFonts w:hint="eastAsia"/>
                <w:color w:val="auto"/>
                <w:szCs w:val="24"/>
                <w:lang w:val="en-US" w:eastAsia="zh-CN"/>
              </w:rPr>
              <w:t>42.75</w:t>
            </w:r>
            <w:r>
              <w:rPr>
                <w:rFonts w:hint="eastAsia"/>
                <w:color w:val="auto"/>
                <w:szCs w:val="24"/>
              </w:rPr>
              <w:t>t/d）（其中含水量为</w:t>
            </w:r>
            <w:r>
              <w:rPr>
                <w:rFonts w:hint="eastAsia"/>
                <w:color w:val="auto"/>
                <w:szCs w:val="24"/>
                <w:lang w:val="en-US" w:eastAsia="zh-CN"/>
              </w:rPr>
              <w:t>11225</w:t>
            </w:r>
            <w:r>
              <w:rPr>
                <w:rFonts w:hint="eastAsia"/>
                <w:color w:val="auto"/>
                <w:szCs w:val="24"/>
              </w:rPr>
              <w:t>t/a（</w:t>
            </w:r>
            <w:r>
              <w:rPr>
                <w:rFonts w:hint="eastAsia"/>
                <w:color w:val="auto"/>
                <w:szCs w:val="24"/>
                <w:lang w:val="en-US" w:eastAsia="zh-CN"/>
              </w:rPr>
              <w:t>37.417</w:t>
            </w:r>
            <w:r>
              <w:rPr>
                <w:rFonts w:hint="eastAsia"/>
                <w:color w:val="auto"/>
                <w:szCs w:val="24"/>
              </w:rPr>
              <w:t>t/d））。</w:t>
            </w:r>
          </w:p>
          <w:p w14:paraId="791EA240">
            <w:pPr>
              <w:pStyle w:val="12"/>
              <w:numPr>
                <w:ilvl w:val="0"/>
                <w:numId w:val="0"/>
              </w:numPr>
              <w:adjustRightInd w:val="0"/>
              <w:snapToGrid w:val="0"/>
              <w:spacing w:after="0" w:line="360" w:lineRule="auto"/>
              <w:ind w:firstLine="480" w:firstLineChars="200"/>
              <w:rPr>
                <w:rFonts w:hint="eastAsia"/>
                <w:color w:val="auto"/>
                <w:szCs w:val="24"/>
                <w:lang w:val="en-US" w:eastAsia="zh-CN"/>
              </w:rPr>
            </w:pPr>
            <w:r>
              <w:rPr>
                <w:rFonts w:hint="eastAsia"/>
                <w:color w:val="auto"/>
                <w:szCs w:val="24"/>
                <w:lang w:val="en-US" w:eastAsia="zh-CN"/>
              </w:rPr>
              <w:t>5）调配用水</w:t>
            </w:r>
          </w:p>
          <w:p w14:paraId="007E23CB">
            <w:pPr>
              <w:pStyle w:val="12"/>
              <w:numPr>
                <w:ilvl w:val="0"/>
                <w:numId w:val="0"/>
              </w:numPr>
              <w:adjustRightInd w:val="0"/>
              <w:snapToGrid w:val="0"/>
              <w:spacing w:after="0" w:line="360" w:lineRule="auto"/>
              <w:ind w:firstLine="480" w:firstLineChars="200"/>
              <w:rPr>
                <w:rFonts w:hint="eastAsia"/>
                <w:color w:val="auto"/>
                <w:szCs w:val="24"/>
                <w:lang w:val="en-US" w:eastAsia="zh-CN"/>
              </w:rPr>
            </w:pPr>
            <w:r>
              <w:rPr>
                <w:rFonts w:hint="eastAsia"/>
                <w:color w:val="auto"/>
                <w:szCs w:val="24"/>
                <w:lang w:val="en-US" w:eastAsia="zh-CN"/>
              </w:rPr>
              <w:t>点浆工序需加入调配好的凝固剂，凝固剂是由石膏粉、内酯（10:1）和水按照一定比例调配而成，调配比例均为1：5，两种凝固剂的年用量分别为16t/a、1.6t/a，计算可得凝固剂调配需用水量为88t/a（0.293t/d），不外排。点浆凝固后制得豆腐脑12930.6t/a（43.102t/d）（其中含水11313t/a（37.710t/d），固体份为1617.60t/a（5.392t/d）），在压制成型工序后豆制品平均含水率约为60%，则所得豆制品含水量约为2426.4t/a（8.088t/d），则黄浆水产生量为8886.6t/a（29.622t/d）。</w:t>
            </w:r>
          </w:p>
          <w:p w14:paraId="0B626284">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6）</w:t>
            </w:r>
            <w:r>
              <w:rPr>
                <w:rFonts w:hint="eastAsia"/>
                <w:color w:val="auto"/>
                <w:szCs w:val="24"/>
              </w:rPr>
              <w:t>设备清洗用水</w:t>
            </w:r>
          </w:p>
          <w:p w14:paraId="096A02A4">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企业需每日对部分生产设备进行清洗，包括离心机、磨浆机和磨</w:t>
            </w:r>
            <w:r>
              <w:rPr>
                <w:rFonts w:hint="eastAsia"/>
                <w:color w:val="auto"/>
                <w:szCs w:val="24"/>
                <w:lang w:val="en-US" w:eastAsia="zh-CN"/>
              </w:rPr>
              <w:t>糊</w:t>
            </w:r>
            <w:r>
              <w:rPr>
                <w:rFonts w:hint="eastAsia"/>
                <w:color w:val="auto"/>
                <w:szCs w:val="24"/>
              </w:rPr>
              <w:t>器，每次设备清洗用水量约为1</w:t>
            </w:r>
            <w:r>
              <w:rPr>
                <w:rFonts w:hint="eastAsia"/>
                <w:color w:val="auto"/>
                <w:szCs w:val="24"/>
                <w:lang w:val="en-US" w:eastAsia="zh-CN"/>
              </w:rPr>
              <w:t>0</w:t>
            </w:r>
            <w:r>
              <w:rPr>
                <w:rFonts w:hint="eastAsia"/>
                <w:color w:val="auto"/>
                <w:szCs w:val="24"/>
                <w:lang w:eastAsia="zh-CN"/>
              </w:rPr>
              <w:t>t</w:t>
            </w:r>
            <w:r>
              <w:rPr>
                <w:rFonts w:hint="eastAsia"/>
                <w:color w:val="auto"/>
                <w:szCs w:val="24"/>
              </w:rPr>
              <w:t>/次，每日需清洗一次，排水量按90%计，经计算得，设备清洗总</w:t>
            </w:r>
            <w:r>
              <w:rPr>
                <w:rFonts w:hint="eastAsia"/>
                <w:color w:val="auto"/>
                <w:szCs w:val="24"/>
                <w:lang w:eastAsia="zh-CN"/>
              </w:rPr>
              <w:t>排水</w:t>
            </w:r>
            <w:r>
              <w:rPr>
                <w:rFonts w:hint="eastAsia"/>
                <w:color w:val="auto"/>
                <w:szCs w:val="24"/>
              </w:rPr>
              <w:t>量为9.</w:t>
            </w:r>
            <w:r>
              <w:rPr>
                <w:rFonts w:hint="eastAsia"/>
                <w:color w:val="auto"/>
                <w:szCs w:val="24"/>
                <w:lang w:val="en-US" w:eastAsia="zh-CN"/>
              </w:rPr>
              <w:t>0</w:t>
            </w:r>
            <w:r>
              <w:rPr>
                <w:rFonts w:hint="eastAsia"/>
                <w:color w:val="auto"/>
                <w:szCs w:val="24"/>
                <w:lang w:eastAsia="zh-CN"/>
              </w:rPr>
              <w:t>t</w:t>
            </w:r>
            <w:r>
              <w:rPr>
                <w:rFonts w:hint="eastAsia"/>
                <w:color w:val="auto"/>
                <w:szCs w:val="24"/>
              </w:rPr>
              <w:t>/d。</w:t>
            </w:r>
          </w:p>
          <w:p w14:paraId="087DF8EE">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7）</w:t>
            </w:r>
            <w:r>
              <w:rPr>
                <w:rFonts w:hint="eastAsia"/>
                <w:color w:val="auto"/>
                <w:szCs w:val="24"/>
              </w:rPr>
              <w:t>地坪保洁用水</w:t>
            </w:r>
          </w:p>
          <w:p w14:paraId="71A7FCC3">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项目</w:t>
            </w:r>
            <w:r>
              <w:rPr>
                <w:rFonts w:hint="eastAsia"/>
                <w:color w:val="auto"/>
                <w:szCs w:val="24"/>
                <w:lang w:val="en-US" w:eastAsia="zh-CN"/>
              </w:rPr>
              <w:t>1#生产厂房和2#生产厂房</w:t>
            </w:r>
            <w:r>
              <w:rPr>
                <w:rFonts w:hint="eastAsia"/>
                <w:color w:val="auto"/>
                <w:szCs w:val="24"/>
              </w:rPr>
              <w:t>作为</w:t>
            </w:r>
            <w:r>
              <w:rPr>
                <w:rFonts w:hint="eastAsia"/>
                <w:color w:val="auto"/>
                <w:szCs w:val="24"/>
                <w:lang w:val="en-US" w:eastAsia="zh-CN"/>
              </w:rPr>
              <w:t>主要</w:t>
            </w:r>
            <w:r>
              <w:rPr>
                <w:rFonts w:hint="eastAsia"/>
                <w:color w:val="auto"/>
                <w:szCs w:val="24"/>
              </w:rPr>
              <w:t>生产车间使用，生产车间地坪需定期保洁，总建筑面积约为</w:t>
            </w:r>
            <w:r>
              <w:rPr>
                <w:rFonts w:hint="eastAsia"/>
                <w:color w:val="auto"/>
                <w:szCs w:val="24"/>
                <w:lang w:val="en-US" w:eastAsia="zh-CN"/>
              </w:rPr>
              <w:t>3600</w:t>
            </w:r>
            <w:r>
              <w:rPr>
                <w:rFonts w:hint="eastAsia"/>
                <w:color w:val="auto"/>
                <w:szCs w:val="24"/>
              </w:rPr>
              <w:t>m</w:t>
            </w:r>
            <w:r>
              <w:rPr>
                <w:rFonts w:hint="eastAsia"/>
                <w:color w:val="auto"/>
                <w:szCs w:val="24"/>
                <w:vertAlign w:val="superscript"/>
              </w:rPr>
              <w:t>2</w:t>
            </w:r>
            <w:r>
              <w:rPr>
                <w:rFonts w:hint="eastAsia"/>
                <w:color w:val="auto"/>
                <w:szCs w:val="24"/>
              </w:rPr>
              <w:t>，地坪保洁用水使用量标准为0.2L/m</w:t>
            </w:r>
            <w:r>
              <w:rPr>
                <w:rFonts w:hint="eastAsia"/>
                <w:color w:val="auto"/>
                <w:szCs w:val="24"/>
                <w:vertAlign w:val="superscript"/>
              </w:rPr>
              <w:t>2</w:t>
            </w:r>
            <w:r>
              <w:rPr>
                <w:rFonts w:hint="eastAsia"/>
                <w:color w:val="auto"/>
                <w:szCs w:val="24"/>
              </w:rPr>
              <w:t>·d，年工作日以300d计算，则保洁用水量为</w:t>
            </w:r>
            <w:r>
              <w:rPr>
                <w:rFonts w:hint="eastAsia"/>
                <w:color w:val="auto"/>
                <w:szCs w:val="24"/>
                <w:lang w:val="en-US" w:eastAsia="zh-CN"/>
              </w:rPr>
              <w:t>0.720</w:t>
            </w:r>
            <w:r>
              <w:rPr>
                <w:rFonts w:hint="eastAsia"/>
                <w:color w:val="auto"/>
                <w:szCs w:val="24"/>
                <w:lang w:eastAsia="zh-CN"/>
              </w:rPr>
              <w:t>t</w:t>
            </w:r>
            <w:r>
              <w:rPr>
                <w:rFonts w:hint="eastAsia"/>
                <w:color w:val="auto"/>
                <w:szCs w:val="24"/>
              </w:rPr>
              <w:t>/d。保洁废水排放系数以0.8计，则保洁废水产生量为</w:t>
            </w:r>
            <w:r>
              <w:rPr>
                <w:rFonts w:hint="eastAsia"/>
                <w:color w:val="auto"/>
                <w:szCs w:val="24"/>
                <w:lang w:val="en-US" w:eastAsia="zh-CN"/>
              </w:rPr>
              <w:t>0.576</w:t>
            </w:r>
            <w:r>
              <w:rPr>
                <w:rFonts w:hint="eastAsia"/>
                <w:color w:val="auto"/>
                <w:szCs w:val="24"/>
                <w:lang w:eastAsia="zh-CN"/>
              </w:rPr>
              <w:t>t</w:t>
            </w:r>
            <w:r>
              <w:rPr>
                <w:rFonts w:hint="eastAsia"/>
                <w:color w:val="auto"/>
                <w:szCs w:val="24"/>
              </w:rPr>
              <w:t>/d。</w:t>
            </w:r>
          </w:p>
          <w:p w14:paraId="28B24B1F">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8）</w:t>
            </w:r>
            <w:r>
              <w:rPr>
                <w:rFonts w:hint="eastAsia"/>
                <w:color w:val="auto"/>
                <w:szCs w:val="24"/>
              </w:rPr>
              <w:t>软水制备用水</w:t>
            </w:r>
          </w:p>
          <w:p w14:paraId="680C217E">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本项目设置</w:t>
            </w:r>
            <w:r>
              <w:rPr>
                <w:rFonts w:hint="eastAsia"/>
                <w:color w:val="auto"/>
                <w:szCs w:val="24"/>
                <w:lang w:val="en-US" w:eastAsia="zh-CN"/>
              </w:rPr>
              <w:t>1</w:t>
            </w:r>
            <w:r>
              <w:rPr>
                <w:rFonts w:hint="eastAsia"/>
                <w:color w:val="auto"/>
                <w:szCs w:val="24"/>
              </w:rPr>
              <w:t>台2t/h的锅炉，用水为</w:t>
            </w:r>
            <w:r>
              <w:rPr>
                <w:rFonts w:hint="eastAsia"/>
                <w:color w:val="auto"/>
                <w:szCs w:val="24"/>
                <w:lang w:val="en-US" w:eastAsia="zh-CN"/>
              </w:rPr>
              <w:t>软水</w:t>
            </w:r>
            <w:r>
              <w:rPr>
                <w:rFonts w:hint="eastAsia"/>
                <w:color w:val="auto"/>
                <w:szCs w:val="24"/>
              </w:rPr>
              <w:t>；</w:t>
            </w:r>
            <w:r>
              <w:rPr>
                <w:rFonts w:hint="eastAsia"/>
                <w:color w:val="auto"/>
                <w:szCs w:val="24"/>
                <w:lang w:val="en-US" w:eastAsia="zh-CN"/>
              </w:rPr>
              <w:t>2</w:t>
            </w:r>
            <w:r>
              <w:rPr>
                <w:rFonts w:hint="eastAsia"/>
                <w:color w:val="auto"/>
                <w:szCs w:val="24"/>
              </w:rPr>
              <w:t>t/h锅炉年运行时间</w:t>
            </w:r>
            <w:r>
              <w:rPr>
                <w:rFonts w:hint="eastAsia"/>
                <w:color w:val="auto"/>
                <w:szCs w:val="24"/>
                <w:lang w:val="en-US" w:eastAsia="zh-CN"/>
              </w:rPr>
              <w:t>约30</w:t>
            </w:r>
            <w:r>
              <w:rPr>
                <w:rFonts w:hint="eastAsia"/>
                <w:color w:val="auto"/>
                <w:szCs w:val="24"/>
              </w:rPr>
              <w:t>00h</w:t>
            </w:r>
            <w:r>
              <w:rPr>
                <w:rFonts w:hint="eastAsia"/>
                <w:color w:val="auto"/>
                <w:szCs w:val="24"/>
                <w:lang w:eastAsia="zh-CN"/>
              </w:rPr>
              <w:t>（</w:t>
            </w:r>
            <w:r>
              <w:rPr>
                <w:rFonts w:hint="eastAsia"/>
                <w:color w:val="auto"/>
                <w:szCs w:val="24"/>
                <w:lang w:val="en-US" w:eastAsia="zh-CN"/>
              </w:rPr>
              <w:t>锅炉热源来源于项目区沼气发电系统产生的沼气</w:t>
            </w:r>
            <w:r>
              <w:rPr>
                <w:rFonts w:hint="eastAsia"/>
                <w:color w:val="auto"/>
                <w:szCs w:val="24"/>
                <w:lang w:eastAsia="zh-CN"/>
              </w:rPr>
              <w:t>）</w:t>
            </w:r>
            <w:r>
              <w:rPr>
                <w:rFonts w:hint="eastAsia"/>
                <w:color w:val="auto"/>
                <w:szCs w:val="24"/>
              </w:rPr>
              <w:t>，蒸汽锅炉的综合热负荷为60%；则产生蒸汽量为</w:t>
            </w:r>
            <w:r>
              <w:rPr>
                <w:rFonts w:hint="eastAsia"/>
                <w:color w:val="auto"/>
                <w:szCs w:val="24"/>
                <w:lang w:val="en-US" w:eastAsia="zh-CN"/>
              </w:rPr>
              <w:t>3600</w:t>
            </w:r>
            <w:r>
              <w:rPr>
                <w:rFonts w:hint="eastAsia"/>
                <w:color w:val="auto"/>
                <w:szCs w:val="24"/>
              </w:rPr>
              <w:t>t/a（1</w:t>
            </w:r>
            <w:r>
              <w:rPr>
                <w:rFonts w:hint="eastAsia"/>
                <w:color w:val="auto"/>
                <w:szCs w:val="24"/>
                <w:lang w:val="en-US" w:eastAsia="zh-CN"/>
              </w:rPr>
              <w:t>2</w:t>
            </w:r>
            <w:r>
              <w:rPr>
                <w:rFonts w:hint="eastAsia"/>
                <w:color w:val="auto"/>
                <w:szCs w:val="24"/>
              </w:rPr>
              <w:t>t/d）。蒸汽锅炉需定期排污，根据《锅炉房设计规范》中规定“当蒸汽压力小于等于2.5Mpa蒸汽锅炉的排污率不大于10%，蒸汽压力大于2.5Mpa蒸汽锅炉的排污率不大于5%”。本次排污率按10%考虑，则锅炉定期排污水约为3</w:t>
            </w:r>
            <w:r>
              <w:rPr>
                <w:rFonts w:hint="eastAsia"/>
                <w:color w:val="auto"/>
                <w:szCs w:val="24"/>
                <w:lang w:val="en-US" w:eastAsia="zh-CN"/>
              </w:rPr>
              <w:t>6</w:t>
            </w:r>
            <w:r>
              <w:rPr>
                <w:rFonts w:hint="eastAsia"/>
                <w:color w:val="auto"/>
                <w:szCs w:val="24"/>
              </w:rPr>
              <w:t>0t/a（1.</w:t>
            </w:r>
            <w:r>
              <w:rPr>
                <w:rFonts w:hint="eastAsia"/>
                <w:color w:val="auto"/>
                <w:szCs w:val="24"/>
                <w:lang w:val="en-US" w:eastAsia="zh-CN"/>
              </w:rPr>
              <w:t>20</w:t>
            </w:r>
            <w:r>
              <w:rPr>
                <w:rFonts w:hint="eastAsia"/>
                <w:color w:val="auto"/>
                <w:szCs w:val="24"/>
              </w:rPr>
              <w:t>t/d），软水用量为</w:t>
            </w:r>
            <w:r>
              <w:rPr>
                <w:rFonts w:hint="eastAsia"/>
                <w:color w:val="auto"/>
                <w:szCs w:val="24"/>
                <w:lang w:val="en-US" w:eastAsia="zh-CN"/>
              </w:rPr>
              <w:t>3240</w:t>
            </w:r>
            <w:r>
              <w:rPr>
                <w:rFonts w:hint="eastAsia"/>
                <w:color w:val="auto"/>
                <w:szCs w:val="24"/>
              </w:rPr>
              <w:t>t/a（</w:t>
            </w:r>
            <w:r>
              <w:rPr>
                <w:rFonts w:hint="eastAsia"/>
                <w:color w:val="auto"/>
                <w:szCs w:val="24"/>
                <w:lang w:val="en-US" w:eastAsia="zh-CN"/>
              </w:rPr>
              <w:t>10.80</w:t>
            </w:r>
            <w:r>
              <w:rPr>
                <w:rFonts w:hint="eastAsia"/>
                <w:color w:val="auto"/>
                <w:szCs w:val="24"/>
              </w:rPr>
              <w:t>t/d）。</w:t>
            </w:r>
          </w:p>
          <w:p w14:paraId="44A7F543">
            <w:pPr>
              <w:pStyle w:val="12"/>
              <w:numPr>
                <w:ilvl w:val="0"/>
                <w:numId w:val="0"/>
              </w:numPr>
              <w:adjustRightInd w:val="0"/>
              <w:snapToGrid w:val="0"/>
              <w:spacing w:after="0" w:line="360" w:lineRule="auto"/>
              <w:ind w:firstLine="480" w:firstLineChars="200"/>
              <w:rPr>
                <w:color w:val="auto"/>
                <w:sz w:val="24"/>
              </w:rPr>
            </w:pPr>
            <w:r>
              <w:rPr>
                <w:rFonts w:hint="eastAsia"/>
                <w:color w:val="auto"/>
                <w:szCs w:val="24"/>
              </w:rPr>
              <w:t>项目设置</w:t>
            </w:r>
            <w:r>
              <w:rPr>
                <w:rFonts w:hint="eastAsia"/>
                <w:color w:val="auto"/>
                <w:szCs w:val="24"/>
                <w:lang w:val="en-US" w:eastAsia="zh-CN"/>
              </w:rPr>
              <w:t>1</w:t>
            </w:r>
            <w:r>
              <w:rPr>
                <w:rFonts w:hint="eastAsia"/>
                <w:color w:val="auto"/>
                <w:szCs w:val="24"/>
              </w:rPr>
              <w:t>台2t/h的软水制备装置用于锅炉用软水，排水系数按照25%计算，则软水制备用水量约为</w:t>
            </w:r>
            <w:r>
              <w:rPr>
                <w:rFonts w:hint="eastAsia"/>
                <w:color w:val="auto"/>
                <w:szCs w:val="24"/>
                <w:lang w:val="en-US" w:eastAsia="zh-CN"/>
              </w:rPr>
              <w:t>4320</w:t>
            </w:r>
            <w:r>
              <w:rPr>
                <w:rFonts w:hint="eastAsia"/>
                <w:color w:val="auto"/>
                <w:szCs w:val="24"/>
              </w:rPr>
              <w:t>t/a（</w:t>
            </w:r>
            <w:r>
              <w:rPr>
                <w:rFonts w:hint="eastAsia"/>
                <w:color w:val="auto"/>
                <w:szCs w:val="24"/>
                <w:lang w:val="en-US" w:eastAsia="zh-CN"/>
              </w:rPr>
              <w:t>14.4t</w:t>
            </w:r>
            <w:r>
              <w:rPr>
                <w:rFonts w:hint="eastAsia"/>
                <w:color w:val="auto"/>
                <w:szCs w:val="24"/>
              </w:rPr>
              <w:t>/d），软水制备浓水产生量约为</w:t>
            </w:r>
            <w:r>
              <w:rPr>
                <w:rFonts w:hint="eastAsia"/>
                <w:color w:val="auto"/>
                <w:szCs w:val="24"/>
                <w:lang w:val="en-US" w:eastAsia="zh-CN"/>
              </w:rPr>
              <w:t>1080</w:t>
            </w:r>
            <w:r>
              <w:rPr>
                <w:rFonts w:hint="eastAsia"/>
                <w:color w:val="auto"/>
                <w:szCs w:val="24"/>
              </w:rPr>
              <w:t>t/a（</w:t>
            </w:r>
            <w:r>
              <w:rPr>
                <w:rFonts w:hint="eastAsia"/>
                <w:color w:val="auto"/>
                <w:szCs w:val="24"/>
                <w:lang w:val="en-US" w:eastAsia="zh-CN"/>
              </w:rPr>
              <w:t>3.6</w:t>
            </w:r>
            <w:r>
              <w:rPr>
                <w:rFonts w:hint="eastAsia"/>
                <w:color w:val="auto"/>
                <w:szCs w:val="24"/>
              </w:rPr>
              <w:t>t/d）</w:t>
            </w:r>
            <w:r>
              <w:rPr>
                <w:color w:val="auto"/>
                <w:sz w:val="24"/>
              </w:rPr>
              <w:t>。</w:t>
            </w:r>
          </w:p>
          <w:p w14:paraId="75FB1C92">
            <w:pPr>
              <w:spacing w:line="360" w:lineRule="auto"/>
              <w:ind w:firstLine="480" w:firstLineChars="200"/>
              <w:rPr>
                <w:bCs/>
                <w:color w:val="auto"/>
                <w:sz w:val="24"/>
                <w:lang w:eastAsia="en-US"/>
              </w:rPr>
            </w:pPr>
            <w:r>
              <w:rPr>
                <w:rFonts w:hint="eastAsia"/>
                <w:bCs/>
                <w:color w:val="auto"/>
                <w:sz w:val="24"/>
                <w:lang w:eastAsia="en-US"/>
              </w:rPr>
              <w:t>（</w:t>
            </w:r>
            <w:r>
              <w:rPr>
                <w:rFonts w:hint="eastAsia"/>
                <w:bCs/>
                <w:color w:val="auto"/>
                <w:sz w:val="24"/>
              </w:rPr>
              <w:t>2</w:t>
            </w:r>
            <w:r>
              <w:rPr>
                <w:rFonts w:hint="eastAsia"/>
                <w:bCs/>
                <w:color w:val="auto"/>
                <w:sz w:val="24"/>
                <w:lang w:eastAsia="en-US"/>
              </w:rPr>
              <w:t>）供电</w:t>
            </w:r>
          </w:p>
          <w:p w14:paraId="17083467">
            <w:pPr>
              <w:spacing w:line="360" w:lineRule="auto"/>
              <w:ind w:firstLine="480" w:firstLineChars="200"/>
              <w:rPr>
                <w:bCs/>
                <w:color w:val="auto"/>
                <w:sz w:val="24"/>
                <w:lang w:eastAsia="en-US"/>
              </w:rPr>
            </w:pPr>
            <w:r>
              <w:rPr>
                <w:rFonts w:hint="eastAsia"/>
                <w:bCs/>
                <w:color w:val="auto"/>
                <w:sz w:val="24"/>
                <w:lang w:eastAsia="en-US"/>
              </w:rPr>
              <w:t>本项目用电来自市政供电以及项目区太阳能发电和沼气发电，可满足项目正常生产、生活的需要。</w:t>
            </w:r>
          </w:p>
          <w:p w14:paraId="60EE7FBB">
            <w:pPr>
              <w:spacing w:line="360" w:lineRule="auto"/>
              <w:ind w:firstLine="480" w:firstLineChars="200"/>
              <w:rPr>
                <w:bCs/>
                <w:color w:val="auto"/>
                <w:sz w:val="24"/>
                <w:lang w:eastAsia="en-US"/>
              </w:rPr>
            </w:pPr>
            <w:r>
              <w:rPr>
                <w:rFonts w:hint="eastAsia"/>
                <w:bCs/>
                <w:color w:val="auto"/>
                <w:sz w:val="24"/>
                <w:lang w:eastAsia="en-US"/>
              </w:rPr>
              <w:t>（</w:t>
            </w:r>
            <w:r>
              <w:rPr>
                <w:rFonts w:hint="eastAsia"/>
                <w:bCs/>
                <w:color w:val="auto"/>
                <w:sz w:val="24"/>
              </w:rPr>
              <w:t>3</w:t>
            </w:r>
            <w:r>
              <w:rPr>
                <w:rFonts w:hint="eastAsia"/>
                <w:bCs/>
                <w:color w:val="auto"/>
                <w:sz w:val="24"/>
                <w:lang w:eastAsia="en-US"/>
              </w:rPr>
              <w:t>）消防工程</w:t>
            </w:r>
          </w:p>
          <w:p w14:paraId="7F3D0EA8">
            <w:pPr>
              <w:spacing w:line="360" w:lineRule="auto"/>
              <w:ind w:firstLine="480" w:firstLineChars="200"/>
              <w:rPr>
                <w:rFonts w:hint="eastAsia"/>
                <w:bCs/>
                <w:color w:val="auto"/>
                <w:sz w:val="24"/>
                <w:lang w:eastAsia="zh-CN"/>
              </w:rPr>
            </w:pPr>
            <w:r>
              <w:rPr>
                <w:rFonts w:hint="eastAsia"/>
                <w:bCs/>
                <w:color w:val="auto"/>
                <w:sz w:val="24"/>
                <w:lang w:eastAsia="en-US"/>
              </w:rPr>
              <w:t>根据《建筑设计防火规范》（GB50016-2014）要求，厂区配备了消防栓、灭火器等</w:t>
            </w:r>
            <w:r>
              <w:rPr>
                <w:rFonts w:hint="eastAsia"/>
                <w:bCs/>
                <w:color w:val="auto"/>
                <w:sz w:val="24"/>
                <w:lang w:eastAsia="zh-CN"/>
              </w:rPr>
              <w:t>。</w:t>
            </w:r>
          </w:p>
          <w:p w14:paraId="1DB5571F">
            <w:pPr>
              <w:spacing w:line="360" w:lineRule="auto"/>
              <w:ind w:firstLine="480" w:firstLineChars="200"/>
              <w:rPr>
                <w:rFonts w:hint="eastAsia"/>
                <w:bCs/>
                <w:color w:val="auto"/>
                <w:sz w:val="24"/>
                <w:lang w:eastAsia="en-US"/>
              </w:rPr>
            </w:pPr>
            <w:r>
              <w:rPr>
                <w:rFonts w:hint="eastAsia"/>
                <w:bCs/>
                <w:color w:val="auto"/>
                <w:sz w:val="24"/>
                <w:lang w:eastAsia="en-US"/>
              </w:rPr>
              <w:t>（</w:t>
            </w:r>
            <w:r>
              <w:rPr>
                <w:rFonts w:hint="eastAsia"/>
                <w:bCs/>
                <w:color w:val="auto"/>
                <w:sz w:val="24"/>
                <w:lang w:val="en-US" w:eastAsia="zh-CN"/>
              </w:rPr>
              <w:t>4</w:t>
            </w:r>
            <w:r>
              <w:rPr>
                <w:rFonts w:hint="eastAsia"/>
                <w:bCs/>
                <w:color w:val="auto"/>
                <w:sz w:val="24"/>
                <w:lang w:eastAsia="en-US"/>
              </w:rPr>
              <w:t>）制冷</w:t>
            </w:r>
          </w:p>
          <w:p w14:paraId="0F7BF9AA">
            <w:pPr>
              <w:spacing w:line="360" w:lineRule="auto"/>
              <w:ind w:firstLine="480" w:firstLineChars="200"/>
              <w:rPr>
                <w:bCs/>
                <w:color w:val="auto"/>
                <w:sz w:val="24"/>
                <w:lang w:eastAsia="en-US"/>
              </w:rPr>
            </w:pPr>
            <w:r>
              <w:rPr>
                <w:rFonts w:hint="eastAsia"/>
                <w:bCs/>
                <w:color w:val="auto"/>
                <w:sz w:val="24"/>
                <w:lang w:eastAsia="en-US"/>
              </w:rPr>
              <w:t>本项目部分产品须冷藏，项目于</w:t>
            </w:r>
            <w:r>
              <w:rPr>
                <w:rFonts w:hint="eastAsia"/>
                <w:bCs/>
                <w:color w:val="auto"/>
                <w:sz w:val="24"/>
                <w:lang w:val="en-US" w:eastAsia="zh-CN"/>
              </w:rPr>
              <w:t>2#生产厂房内建设</w:t>
            </w:r>
            <w:r>
              <w:rPr>
                <w:rFonts w:hint="eastAsia"/>
                <w:bCs/>
                <w:color w:val="auto"/>
                <w:sz w:val="24"/>
                <w:lang w:eastAsia="en-US"/>
              </w:rPr>
              <w:t>冷库进行冷藏，冷藏温度为2℃~8℃。所用制冷剂R-507是一种不含氯的共氟混合制冷剂，常温常压下为无色气体，具有清洁、低毒、不燃、制冷效果好等特点。主要用于替代R22和R502，大量用于中低温冷冻系统。由于R-507属于HFC型共氟制冷机（完全不含破坏臭氧层的CFC、HCFC），得到目前世界绝大数国家的认可并推进的主流低温环保制冷剂，广泛用于新冷冻设备上的初装和维修过程中的再添加。本项目制冷剂属于HFC类，不属于《蒙特利尔公约》中规定的CFC、HCFC淘汰工质。</w:t>
            </w:r>
          </w:p>
          <w:p w14:paraId="14F2832A">
            <w:pPr>
              <w:spacing w:line="360" w:lineRule="auto"/>
              <w:ind w:firstLine="482" w:firstLineChars="200"/>
              <w:rPr>
                <w:b/>
                <w:color w:val="auto"/>
                <w:sz w:val="24"/>
                <w:lang w:eastAsia="en-US"/>
              </w:rPr>
            </w:pPr>
            <w:r>
              <w:rPr>
                <w:rFonts w:hint="eastAsia"/>
                <w:b/>
                <w:color w:val="auto"/>
                <w:sz w:val="24"/>
              </w:rPr>
              <w:t>7</w:t>
            </w:r>
            <w:r>
              <w:rPr>
                <w:rFonts w:hint="eastAsia"/>
                <w:b/>
                <w:color w:val="auto"/>
                <w:sz w:val="24"/>
                <w:lang w:eastAsia="en-US"/>
              </w:rPr>
              <w:t>、水平衡分析</w:t>
            </w:r>
          </w:p>
          <w:p w14:paraId="46A9CF77">
            <w:pPr>
              <w:spacing w:line="360" w:lineRule="auto"/>
              <w:ind w:firstLine="480" w:firstLineChars="200"/>
              <w:rPr>
                <w:color w:val="auto"/>
                <w:sz w:val="24"/>
              </w:rPr>
            </w:pPr>
            <w:r>
              <w:rPr>
                <w:rFonts w:hint="eastAsia"/>
                <w:color w:val="auto"/>
                <w:sz w:val="24"/>
              </w:rPr>
              <w:t>建设项目用水主要为生产用水和生活用水，生产用水具体包括：洗豆用水、泡豆用水、磨浆用水、调配用水、设备清洗用水、软水制备用水和地坪保洁用水，</w:t>
            </w:r>
            <w:r>
              <w:rPr>
                <w:color w:val="auto"/>
                <w:sz w:val="24"/>
              </w:rPr>
              <w:t>由当地市政给水管网直接供给</w:t>
            </w:r>
            <w:r>
              <w:rPr>
                <w:rFonts w:hint="eastAsia"/>
                <w:color w:val="auto"/>
                <w:sz w:val="24"/>
              </w:rPr>
              <w:t>；本项目排水主要为生活废水和生产废水，其中生产废水包括洗豆废水、泡豆废水、压制废水（黄浆水）、设备清洗废水、软水制备废水、锅炉排污水和地坪保洁废水，项目生活废水经化粪池处理后和生产废水一并进入</w:t>
            </w:r>
            <w:r>
              <w:rPr>
                <w:rFonts w:hint="eastAsia"/>
                <w:color w:val="auto"/>
                <w:sz w:val="24"/>
                <w:lang w:eastAsia="zh-CN"/>
              </w:rPr>
              <w:t>项目区沼气发电系统的预处理池</w:t>
            </w:r>
            <w:r>
              <w:rPr>
                <w:rFonts w:hint="eastAsia"/>
                <w:color w:val="auto"/>
                <w:sz w:val="24"/>
              </w:rPr>
              <w:t>，无废水外排。</w:t>
            </w:r>
          </w:p>
          <w:p w14:paraId="17C0D3D3">
            <w:pPr>
              <w:pStyle w:val="39"/>
              <w:spacing w:beforeLines="0" w:afterLines="0" w:line="360" w:lineRule="auto"/>
              <w:ind w:firstLine="480"/>
              <w:rPr>
                <w:rFonts w:cs="宋体"/>
                <w:color w:val="auto"/>
              </w:rPr>
            </w:pPr>
            <w:r>
              <w:rPr>
                <w:rFonts w:hint="eastAsia" w:cs="宋体"/>
                <w:color w:val="auto"/>
              </w:rPr>
              <w:t>项目用水、排水情况见下表。</w:t>
            </w:r>
          </w:p>
          <w:p w14:paraId="12CDC03B">
            <w:pPr>
              <w:pStyle w:val="39"/>
              <w:spacing w:beforeLines="0" w:afterLines="0" w:line="240" w:lineRule="auto"/>
              <w:ind w:firstLine="0" w:firstLineChars="0"/>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表2-7本项目用水、排水一览表</w:t>
            </w:r>
            <w:r>
              <w:rPr>
                <w:rFonts w:hint="default" w:ascii="Times New Roman" w:hAnsi="Times New Roman" w:cs="Times New Roman"/>
                <w:b/>
                <w:bCs/>
                <w:color w:val="auto"/>
                <w:sz w:val="18"/>
                <w:szCs w:val="18"/>
                <w:lang w:val="en-US" w:eastAsia="zh-CN"/>
              </w:rPr>
              <w:t xml:space="preserve">  单位：</w:t>
            </w:r>
            <w:r>
              <w:rPr>
                <w:rFonts w:hint="default" w:ascii="Times New Roman" w:hAnsi="Times New Roman" w:cs="Times New Roman"/>
                <w:b/>
                <w:bCs/>
                <w:color w:val="auto"/>
                <w:sz w:val="18"/>
                <w:szCs w:val="18"/>
              </w:rPr>
              <w:t>m</w:t>
            </w:r>
            <w:r>
              <w:rPr>
                <w:rFonts w:hint="default" w:ascii="Times New Roman" w:hAnsi="Times New Roman" w:cs="Times New Roman"/>
                <w:b/>
                <w:bCs/>
                <w:color w:val="auto"/>
                <w:sz w:val="18"/>
                <w:szCs w:val="18"/>
                <w:vertAlign w:val="superscript"/>
              </w:rPr>
              <w:t>3</w:t>
            </w:r>
            <w:r>
              <w:rPr>
                <w:rFonts w:hint="default" w:ascii="Times New Roman" w:hAnsi="Times New Roman" w:cs="Times New Roman"/>
                <w:b/>
                <w:bCs/>
                <w:color w:val="auto"/>
                <w:sz w:val="18"/>
                <w:szCs w:val="18"/>
              </w:rPr>
              <w:t>/d</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498"/>
              <w:gridCol w:w="1051"/>
              <w:gridCol w:w="965"/>
              <w:gridCol w:w="844"/>
              <w:gridCol w:w="3201"/>
            </w:tblGrid>
            <w:tr w14:paraId="75B9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0" w:type="pct"/>
                  <w:tcBorders>
                    <w:tl2br w:val="nil"/>
                    <w:tr2bl w:val="nil"/>
                  </w:tcBorders>
                  <w:noWrap/>
                  <w:vAlign w:val="center"/>
                </w:tcPr>
                <w:p w14:paraId="0F5DC97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b/>
                      <w:bCs/>
                      <w:color w:val="auto"/>
                      <w:szCs w:val="21"/>
                    </w:rPr>
                  </w:pPr>
                  <w:r>
                    <w:rPr>
                      <w:b/>
                      <w:bCs/>
                      <w:color w:val="auto"/>
                      <w:szCs w:val="21"/>
                    </w:rPr>
                    <w:t>序号</w:t>
                  </w:r>
                </w:p>
              </w:tc>
              <w:tc>
                <w:tcPr>
                  <w:tcW w:w="903" w:type="pct"/>
                  <w:tcBorders>
                    <w:tl2br w:val="nil"/>
                    <w:tr2bl w:val="nil"/>
                  </w:tcBorders>
                  <w:noWrap/>
                  <w:vAlign w:val="center"/>
                </w:tcPr>
                <w:p w14:paraId="3F9FE51B">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b/>
                      <w:bCs/>
                      <w:color w:val="auto"/>
                      <w:szCs w:val="21"/>
                    </w:rPr>
                  </w:pPr>
                  <w:r>
                    <w:rPr>
                      <w:b/>
                      <w:bCs/>
                      <w:color w:val="auto"/>
                      <w:szCs w:val="21"/>
                    </w:rPr>
                    <w:t>用水项目</w:t>
                  </w:r>
                </w:p>
              </w:tc>
              <w:tc>
                <w:tcPr>
                  <w:tcW w:w="634" w:type="pct"/>
                  <w:tcBorders>
                    <w:tl2br w:val="nil"/>
                    <w:tr2bl w:val="nil"/>
                  </w:tcBorders>
                  <w:noWrap/>
                  <w:vAlign w:val="center"/>
                </w:tcPr>
                <w:p w14:paraId="2DDD26C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b/>
                      <w:bCs/>
                      <w:color w:val="auto"/>
                      <w:szCs w:val="21"/>
                    </w:rPr>
                  </w:pPr>
                  <w:r>
                    <w:rPr>
                      <w:b/>
                      <w:bCs/>
                      <w:color w:val="auto"/>
                      <w:szCs w:val="21"/>
                    </w:rPr>
                    <w:t>用水量</w:t>
                  </w:r>
                </w:p>
              </w:tc>
              <w:tc>
                <w:tcPr>
                  <w:tcW w:w="582" w:type="pct"/>
                  <w:tcBorders>
                    <w:tl2br w:val="nil"/>
                    <w:tr2bl w:val="nil"/>
                  </w:tcBorders>
                  <w:noWrap/>
                  <w:vAlign w:val="center"/>
                </w:tcPr>
                <w:p w14:paraId="04E32E7E">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b/>
                      <w:bCs/>
                      <w:color w:val="auto"/>
                      <w:kern w:val="2"/>
                      <w:sz w:val="21"/>
                      <w:szCs w:val="21"/>
                      <w:lang w:val="en-US" w:eastAsia="zh-CN" w:bidi="ar-SA"/>
                    </w:rPr>
                  </w:pPr>
                  <w:r>
                    <w:rPr>
                      <w:b/>
                      <w:bCs/>
                      <w:color w:val="auto"/>
                      <w:szCs w:val="21"/>
                    </w:rPr>
                    <w:t>废水量</w:t>
                  </w:r>
                </w:p>
              </w:tc>
              <w:tc>
                <w:tcPr>
                  <w:tcW w:w="509" w:type="pct"/>
                  <w:tcBorders>
                    <w:tl2br w:val="nil"/>
                    <w:tr2bl w:val="nil"/>
                  </w:tcBorders>
                  <w:noWrap/>
                  <w:vAlign w:val="center"/>
                </w:tcPr>
                <w:p w14:paraId="739516E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b/>
                      <w:bCs/>
                      <w:color w:val="auto"/>
                      <w:kern w:val="2"/>
                      <w:sz w:val="21"/>
                      <w:szCs w:val="21"/>
                      <w:lang w:val="en-US" w:eastAsia="zh-CN" w:bidi="ar-SA"/>
                    </w:rPr>
                  </w:pPr>
                  <w:r>
                    <w:rPr>
                      <w:rFonts w:hint="eastAsia"/>
                      <w:b/>
                      <w:bCs/>
                      <w:color w:val="auto"/>
                      <w:szCs w:val="21"/>
                      <w:lang w:eastAsia="zh-CN"/>
                    </w:rPr>
                    <w:t>损耗</w:t>
                  </w:r>
                </w:p>
              </w:tc>
              <w:tc>
                <w:tcPr>
                  <w:tcW w:w="1930" w:type="pct"/>
                  <w:tcBorders>
                    <w:tl2br w:val="nil"/>
                    <w:tr2bl w:val="nil"/>
                  </w:tcBorders>
                  <w:noWrap/>
                  <w:vAlign w:val="center"/>
                </w:tcPr>
                <w:p w14:paraId="1675B0C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b/>
                      <w:bCs/>
                      <w:color w:val="auto"/>
                      <w:kern w:val="2"/>
                      <w:sz w:val="21"/>
                      <w:szCs w:val="21"/>
                      <w:lang w:val="en-US" w:eastAsia="zh-CN" w:bidi="ar-SA"/>
                    </w:rPr>
                  </w:pPr>
                  <w:r>
                    <w:rPr>
                      <w:rFonts w:hint="eastAsia" w:cs="Times New Roman"/>
                      <w:b/>
                      <w:bCs/>
                      <w:color w:val="auto"/>
                      <w:kern w:val="2"/>
                      <w:sz w:val="21"/>
                      <w:szCs w:val="21"/>
                      <w:lang w:val="en-US" w:eastAsia="zh-CN" w:bidi="ar-SA"/>
                    </w:rPr>
                    <w:t>备注</w:t>
                  </w:r>
                </w:p>
              </w:tc>
            </w:tr>
            <w:tr w14:paraId="3CA7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19888DAC">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1</w:t>
                  </w:r>
                </w:p>
              </w:tc>
              <w:tc>
                <w:tcPr>
                  <w:tcW w:w="903" w:type="pct"/>
                  <w:tcBorders>
                    <w:tl2br w:val="nil"/>
                    <w:tr2bl w:val="nil"/>
                  </w:tcBorders>
                  <w:noWrap/>
                  <w:vAlign w:val="center"/>
                </w:tcPr>
                <w:p w14:paraId="5EA45811">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生活污水</w:t>
                  </w:r>
                </w:p>
              </w:tc>
              <w:tc>
                <w:tcPr>
                  <w:tcW w:w="634" w:type="pct"/>
                  <w:tcBorders>
                    <w:tl2br w:val="nil"/>
                    <w:tr2bl w:val="nil"/>
                  </w:tcBorders>
                  <w:noWrap/>
                  <w:vAlign w:val="center"/>
                </w:tcPr>
                <w:p w14:paraId="786322D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2.00</w:t>
                  </w:r>
                </w:p>
              </w:tc>
              <w:tc>
                <w:tcPr>
                  <w:tcW w:w="582" w:type="pct"/>
                  <w:tcBorders>
                    <w:tl2br w:val="nil"/>
                    <w:tr2bl w:val="nil"/>
                  </w:tcBorders>
                  <w:noWrap/>
                  <w:vAlign w:val="center"/>
                </w:tcPr>
                <w:p w14:paraId="6A55DC3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1.60</w:t>
                  </w:r>
                </w:p>
              </w:tc>
              <w:tc>
                <w:tcPr>
                  <w:tcW w:w="509" w:type="pct"/>
                  <w:tcBorders>
                    <w:tl2br w:val="nil"/>
                    <w:tr2bl w:val="nil"/>
                  </w:tcBorders>
                  <w:noWrap/>
                  <w:vAlign w:val="center"/>
                </w:tcPr>
                <w:p w14:paraId="1F71306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rPr>
                    <w:t>0</w:t>
                  </w:r>
                  <w:r>
                    <w:rPr>
                      <w:rFonts w:hint="eastAsia"/>
                      <w:color w:val="auto"/>
                      <w:szCs w:val="21"/>
                      <w:lang w:val="en-US" w:eastAsia="zh-CN"/>
                    </w:rPr>
                    <w:t>.40</w:t>
                  </w:r>
                </w:p>
              </w:tc>
              <w:tc>
                <w:tcPr>
                  <w:tcW w:w="1930" w:type="pct"/>
                  <w:tcBorders>
                    <w:tl2br w:val="nil"/>
                    <w:tr2bl w:val="nil"/>
                  </w:tcBorders>
                  <w:noWrap/>
                  <w:vAlign w:val="center"/>
                </w:tcPr>
                <w:p w14:paraId="2E5F37D3">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cs="Times New Roman"/>
                      <w:color w:val="auto"/>
                      <w:kern w:val="2"/>
                      <w:sz w:val="21"/>
                      <w:szCs w:val="21"/>
                      <w:lang w:val="en-US" w:eastAsia="zh-CN" w:bidi="ar-SA"/>
                    </w:rPr>
                  </w:pPr>
                  <w:r>
                    <w:rPr>
                      <w:rFonts w:hint="eastAsia"/>
                      <w:color w:val="auto"/>
                      <w:szCs w:val="21"/>
                    </w:rPr>
                    <w:t>损耗按20%</w:t>
                  </w:r>
                </w:p>
              </w:tc>
            </w:tr>
            <w:tr w14:paraId="66AD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49D9E82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2</w:t>
                  </w:r>
                </w:p>
              </w:tc>
              <w:tc>
                <w:tcPr>
                  <w:tcW w:w="903" w:type="pct"/>
                  <w:tcBorders>
                    <w:tl2br w:val="nil"/>
                    <w:tr2bl w:val="nil"/>
                  </w:tcBorders>
                  <w:noWrap/>
                  <w:vAlign w:val="center"/>
                </w:tcPr>
                <w:p w14:paraId="294B79C9">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洗豆用水</w:t>
                  </w:r>
                </w:p>
              </w:tc>
              <w:tc>
                <w:tcPr>
                  <w:tcW w:w="634" w:type="pct"/>
                  <w:tcBorders>
                    <w:tl2br w:val="nil"/>
                    <w:tr2bl w:val="nil"/>
                  </w:tcBorders>
                  <w:noWrap/>
                  <w:vAlign w:val="center"/>
                </w:tcPr>
                <w:p w14:paraId="656651B7">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20.00</w:t>
                  </w:r>
                </w:p>
              </w:tc>
              <w:tc>
                <w:tcPr>
                  <w:tcW w:w="582" w:type="pct"/>
                  <w:tcBorders>
                    <w:tl2br w:val="nil"/>
                    <w:tr2bl w:val="nil"/>
                  </w:tcBorders>
                  <w:noWrap/>
                  <w:vAlign w:val="center"/>
                </w:tcPr>
                <w:p w14:paraId="19714987">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18.00</w:t>
                  </w:r>
                </w:p>
              </w:tc>
              <w:tc>
                <w:tcPr>
                  <w:tcW w:w="509" w:type="pct"/>
                  <w:tcBorders>
                    <w:tl2br w:val="nil"/>
                    <w:tr2bl w:val="nil"/>
                  </w:tcBorders>
                  <w:noWrap/>
                  <w:vAlign w:val="center"/>
                </w:tcPr>
                <w:p w14:paraId="6727BBF9">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2.00</w:t>
                  </w:r>
                </w:p>
              </w:tc>
              <w:tc>
                <w:tcPr>
                  <w:tcW w:w="1930" w:type="pct"/>
                  <w:tcBorders>
                    <w:tl2br w:val="nil"/>
                    <w:tr2bl w:val="nil"/>
                  </w:tcBorders>
                  <w:noWrap/>
                  <w:vAlign w:val="center"/>
                </w:tcPr>
                <w:p w14:paraId="6940326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豆与水的比例1:2</w:t>
                  </w:r>
                </w:p>
              </w:tc>
            </w:tr>
            <w:tr w14:paraId="07AB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689E7050">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3</w:t>
                  </w:r>
                </w:p>
              </w:tc>
              <w:tc>
                <w:tcPr>
                  <w:tcW w:w="903" w:type="pct"/>
                  <w:tcBorders>
                    <w:tl2br w:val="nil"/>
                    <w:tr2bl w:val="nil"/>
                  </w:tcBorders>
                  <w:noWrap/>
                  <w:vAlign w:val="center"/>
                </w:tcPr>
                <w:p w14:paraId="53DAB64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泡豆用水</w:t>
                  </w:r>
                </w:p>
              </w:tc>
              <w:tc>
                <w:tcPr>
                  <w:tcW w:w="634" w:type="pct"/>
                  <w:tcBorders>
                    <w:tl2br w:val="nil"/>
                    <w:tr2bl w:val="nil"/>
                  </w:tcBorders>
                  <w:noWrap/>
                  <w:vAlign w:val="center"/>
                </w:tcPr>
                <w:p w14:paraId="19028CCF">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20.00</w:t>
                  </w:r>
                </w:p>
              </w:tc>
              <w:tc>
                <w:tcPr>
                  <w:tcW w:w="582" w:type="pct"/>
                  <w:tcBorders>
                    <w:tl2br w:val="nil"/>
                    <w:tr2bl w:val="nil"/>
                  </w:tcBorders>
                  <w:noWrap/>
                  <w:vAlign w:val="center"/>
                </w:tcPr>
                <w:p w14:paraId="61C3865E">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13.333</w:t>
                  </w:r>
                </w:p>
              </w:tc>
              <w:tc>
                <w:tcPr>
                  <w:tcW w:w="509" w:type="pct"/>
                  <w:tcBorders>
                    <w:tl2br w:val="nil"/>
                    <w:tr2bl w:val="nil"/>
                  </w:tcBorders>
                  <w:noWrap/>
                  <w:vAlign w:val="center"/>
                </w:tcPr>
                <w:p w14:paraId="083A1250">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6.667</w:t>
                  </w:r>
                </w:p>
              </w:tc>
              <w:tc>
                <w:tcPr>
                  <w:tcW w:w="1930" w:type="pct"/>
                  <w:tcBorders>
                    <w:tl2br w:val="nil"/>
                    <w:tr2bl w:val="nil"/>
                  </w:tcBorders>
                  <w:noWrap/>
                  <w:vAlign w:val="center"/>
                </w:tcPr>
                <w:p w14:paraId="1B1FC46F">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豆与水的比例1:3</w:t>
                  </w:r>
                </w:p>
              </w:tc>
            </w:tr>
            <w:tr w14:paraId="35D2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6DCE1390">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4</w:t>
                  </w:r>
                </w:p>
              </w:tc>
              <w:tc>
                <w:tcPr>
                  <w:tcW w:w="903" w:type="pct"/>
                  <w:tcBorders>
                    <w:tl2br w:val="nil"/>
                    <w:tr2bl w:val="nil"/>
                  </w:tcBorders>
                  <w:noWrap/>
                  <w:vAlign w:val="center"/>
                </w:tcPr>
                <w:p w14:paraId="496865CC">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磨浆用水</w:t>
                  </w:r>
                </w:p>
              </w:tc>
              <w:tc>
                <w:tcPr>
                  <w:tcW w:w="634" w:type="pct"/>
                  <w:tcBorders>
                    <w:tl2br w:val="nil"/>
                    <w:tr2bl w:val="nil"/>
                  </w:tcBorders>
                  <w:noWrap/>
                  <w:vAlign w:val="center"/>
                </w:tcPr>
                <w:p w14:paraId="714EB1CA">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40.00</w:t>
                  </w:r>
                </w:p>
              </w:tc>
              <w:tc>
                <w:tcPr>
                  <w:tcW w:w="582" w:type="pct"/>
                  <w:tcBorders>
                    <w:tl2br w:val="nil"/>
                    <w:tr2bl w:val="nil"/>
                  </w:tcBorders>
                  <w:noWrap/>
                  <w:vAlign w:val="center"/>
                </w:tcPr>
                <w:p w14:paraId="5E5C29AA">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509" w:type="pct"/>
                  <w:tcBorders>
                    <w:tl2br w:val="nil"/>
                    <w:tr2bl w:val="nil"/>
                  </w:tcBorders>
                  <w:noWrap/>
                  <w:vAlign w:val="center"/>
                </w:tcPr>
                <w:p w14:paraId="4E608FFE">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1930" w:type="pct"/>
                  <w:tcBorders>
                    <w:tl2br w:val="nil"/>
                    <w:tr2bl w:val="nil"/>
                  </w:tcBorders>
                  <w:noWrap/>
                  <w:vAlign w:val="center"/>
                </w:tcPr>
                <w:p w14:paraId="05EE57FC">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cs="Times New Roman"/>
                      <w:color w:val="auto"/>
                      <w:kern w:val="2"/>
                      <w:sz w:val="21"/>
                      <w:szCs w:val="21"/>
                      <w:lang w:val="en-US" w:eastAsia="zh-CN" w:bidi="ar-SA"/>
                    </w:rPr>
                  </w:pPr>
                  <w:r>
                    <w:rPr>
                      <w:rFonts w:hint="eastAsia" w:cs="Times New Roman"/>
                      <w:color w:val="auto"/>
                      <w:kern w:val="2"/>
                      <w:sz w:val="21"/>
                      <w:szCs w:val="21"/>
                      <w:lang w:val="en-US" w:eastAsia="zh-CN" w:bidi="ar-SA"/>
                    </w:rPr>
                    <w:t>进入煮浆工序</w:t>
                  </w:r>
                </w:p>
              </w:tc>
            </w:tr>
            <w:tr w14:paraId="537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17143C07">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5</w:t>
                  </w:r>
                </w:p>
              </w:tc>
              <w:tc>
                <w:tcPr>
                  <w:tcW w:w="903" w:type="pct"/>
                  <w:tcBorders>
                    <w:tl2br w:val="nil"/>
                    <w:tr2bl w:val="nil"/>
                  </w:tcBorders>
                  <w:noWrap/>
                  <w:vAlign w:val="center"/>
                </w:tcPr>
                <w:p w14:paraId="340F1B8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调配用水</w:t>
                  </w:r>
                </w:p>
              </w:tc>
              <w:tc>
                <w:tcPr>
                  <w:tcW w:w="634" w:type="pct"/>
                  <w:tcBorders>
                    <w:tl2br w:val="nil"/>
                    <w:tr2bl w:val="nil"/>
                  </w:tcBorders>
                  <w:noWrap/>
                  <w:vAlign w:val="center"/>
                </w:tcPr>
                <w:p w14:paraId="3DDACD6A">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0.293</w:t>
                  </w:r>
                </w:p>
              </w:tc>
              <w:tc>
                <w:tcPr>
                  <w:tcW w:w="582" w:type="pct"/>
                  <w:tcBorders>
                    <w:tl2br w:val="nil"/>
                    <w:tr2bl w:val="nil"/>
                  </w:tcBorders>
                  <w:noWrap/>
                  <w:vAlign w:val="center"/>
                </w:tcPr>
                <w:p w14:paraId="1FC57AF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ascii="Times New Roman" w:hAnsi="Times New Roman" w:eastAsia="宋体" w:cs="Times New Roman"/>
                      <w:color w:val="auto"/>
                      <w:kern w:val="2"/>
                      <w:sz w:val="21"/>
                      <w:szCs w:val="21"/>
                      <w:lang w:val="en-US" w:eastAsia="zh-CN" w:bidi="ar-SA"/>
                    </w:rPr>
                  </w:pPr>
                  <w:r>
                    <w:rPr>
                      <w:rFonts w:hint="eastAsia"/>
                      <w:color w:val="auto"/>
                      <w:szCs w:val="21"/>
                    </w:rPr>
                    <w:t>/</w:t>
                  </w:r>
                </w:p>
              </w:tc>
              <w:tc>
                <w:tcPr>
                  <w:tcW w:w="509" w:type="pct"/>
                  <w:tcBorders>
                    <w:tl2br w:val="nil"/>
                    <w:tr2bl w:val="nil"/>
                  </w:tcBorders>
                  <w:noWrap/>
                  <w:vAlign w:val="center"/>
                </w:tcPr>
                <w:p w14:paraId="3AD53320">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w:t>
                  </w:r>
                </w:p>
              </w:tc>
              <w:tc>
                <w:tcPr>
                  <w:tcW w:w="1930" w:type="pct"/>
                  <w:tcBorders>
                    <w:tl2br w:val="nil"/>
                    <w:tr2bl w:val="nil"/>
                  </w:tcBorders>
                  <w:noWrap/>
                  <w:vAlign w:val="center"/>
                </w:tcPr>
                <w:p w14:paraId="4B65AFE7">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进入点浆工序</w:t>
                  </w:r>
                </w:p>
              </w:tc>
            </w:tr>
            <w:tr w14:paraId="5D16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1BD8802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6</w:t>
                  </w:r>
                </w:p>
              </w:tc>
              <w:tc>
                <w:tcPr>
                  <w:tcW w:w="903" w:type="pct"/>
                  <w:tcBorders>
                    <w:tl2br w:val="nil"/>
                    <w:tr2bl w:val="nil"/>
                  </w:tcBorders>
                  <w:shd w:val="clear" w:color="auto" w:fill="auto"/>
                  <w:noWrap/>
                  <w:vAlign w:val="center"/>
                </w:tcPr>
                <w:p w14:paraId="38B6E627">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设备清洗用水</w:t>
                  </w:r>
                </w:p>
              </w:tc>
              <w:tc>
                <w:tcPr>
                  <w:tcW w:w="634" w:type="pct"/>
                  <w:tcBorders>
                    <w:tl2br w:val="nil"/>
                    <w:tr2bl w:val="nil"/>
                  </w:tcBorders>
                  <w:shd w:val="clear" w:color="auto" w:fill="auto"/>
                  <w:noWrap/>
                  <w:vAlign w:val="center"/>
                </w:tcPr>
                <w:p w14:paraId="0EA43852">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10.00</w:t>
                  </w:r>
                </w:p>
              </w:tc>
              <w:tc>
                <w:tcPr>
                  <w:tcW w:w="582" w:type="pct"/>
                  <w:tcBorders>
                    <w:tl2br w:val="nil"/>
                    <w:tr2bl w:val="nil"/>
                  </w:tcBorders>
                  <w:shd w:val="clear" w:color="auto" w:fill="auto"/>
                  <w:noWrap/>
                  <w:vAlign w:val="center"/>
                </w:tcPr>
                <w:p w14:paraId="34AE9198">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9.00</w:t>
                  </w:r>
                </w:p>
              </w:tc>
              <w:tc>
                <w:tcPr>
                  <w:tcW w:w="509" w:type="pct"/>
                  <w:tcBorders>
                    <w:tl2br w:val="nil"/>
                    <w:tr2bl w:val="nil"/>
                  </w:tcBorders>
                  <w:shd w:val="clear" w:color="auto" w:fill="auto"/>
                  <w:noWrap/>
                  <w:vAlign w:val="center"/>
                </w:tcPr>
                <w:p w14:paraId="7172BDD5">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1.00</w:t>
                  </w:r>
                </w:p>
              </w:tc>
              <w:tc>
                <w:tcPr>
                  <w:tcW w:w="1930" w:type="pct"/>
                  <w:tcBorders>
                    <w:tl2br w:val="nil"/>
                    <w:tr2bl w:val="nil"/>
                  </w:tcBorders>
                  <w:shd w:val="clear" w:color="auto" w:fill="auto"/>
                  <w:noWrap/>
                  <w:vAlign w:val="center"/>
                </w:tcPr>
                <w:p w14:paraId="1EE6C82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损耗按10%</w:t>
                  </w:r>
                </w:p>
              </w:tc>
            </w:tr>
            <w:tr w14:paraId="360B9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45CF6622">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eastAsia="宋体"/>
                      <w:color w:val="auto"/>
                      <w:szCs w:val="21"/>
                      <w:lang w:val="en-US" w:eastAsia="zh-CN"/>
                    </w:rPr>
                  </w:pPr>
                  <w:r>
                    <w:rPr>
                      <w:rFonts w:hint="eastAsia"/>
                      <w:color w:val="auto"/>
                      <w:szCs w:val="21"/>
                      <w:lang w:val="en-US" w:eastAsia="zh-CN"/>
                    </w:rPr>
                    <w:t>7</w:t>
                  </w:r>
                </w:p>
              </w:tc>
              <w:tc>
                <w:tcPr>
                  <w:tcW w:w="903" w:type="pct"/>
                  <w:tcBorders>
                    <w:tl2br w:val="nil"/>
                    <w:tr2bl w:val="nil"/>
                  </w:tcBorders>
                  <w:shd w:val="clear" w:color="auto" w:fill="auto"/>
                  <w:noWrap/>
                  <w:vAlign w:val="center"/>
                </w:tcPr>
                <w:p w14:paraId="539AFC78">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地坪保洁用水</w:t>
                  </w:r>
                </w:p>
              </w:tc>
              <w:tc>
                <w:tcPr>
                  <w:tcW w:w="634" w:type="pct"/>
                  <w:tcBorders>
                    <w:tl2br w:val="nil"/>
                    <w:tr2bl w:val="nil"/>
                  </w:tcBorders>
                  <w:shd w:val="clear" w:color="auto" w:fill="auto"/>
                  <w:noWrap/>
                  <w:vAlign w:val="center"/>
                </w:tcPr>
                <w:p w14:paraId="5741BA0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0.720</w:t>
                  </w:r>
                </w:p>
              </w:tc>
              <w:tc>
                <w:tcPr>
                  <w:tcW w:w="582" w:type="pct"/>
                  <w:tcBorders>
                    <w:tl2br w:val="nil"/>
                    <w:tr2bl w:val="nil"/>
                  </w:tcBorders>
                  <w:shd w:val="clear" w:color="auto" w:fill="auto"/>
                  <w:noWrap/>
                  <w:vAlign w:val="center"/>
                </w:tcPr>
                <w:p w14:paraId="3A8F303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0.576</w:t>
                  </w:r>
                </w:p>
              </w:tc>
              <w:tc>
                <w:tcPr>
                  <w:tcW w:w="509" w:type="pct"/>
                  <w:tcBorders>
                    <w:tl2br w:val="nil"/>
                    <w:tr2bl w:val="nil"/>
                  </w:tcBorders>
                  <w:shd w:val="clear" w:color="auto" w:fill="auto"/>
                  <w:noWrap/>
                  <w:vAlign w:val="center"/>
                </w:tcPr>
                <w:p w14:paraId="4159F47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0.144</w:t>
                  </w:r>
                </w:p>
              </w:tc>
              <w:tc>
                <w:tcPr>
                  <w:tcW w:w="1930" w:type="pct"/>
                  <w:tcBorders>
                    <w:tl2br w:val="nil"/>
                    <w:tr2bl w:val="nil"/>
                  </w:tcBorders>
                  <w:shd w:val="clear" w:color="auto" w:fill="auto"/>
                  <w:noWrap/>
                  <w:vAlign w:val="center"/>
                </w:tcPr>
                <w:p w14:paraId="51D88E9B">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损耗按20%</w:t>
                  </w:r>
                </w:p>
              </w:tc>
            </w:tr>
            <w:tr w14:paraId="2E54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l2br w:val="nil"/>
                    <w:tr2bl w:val="nil"/>
                  </w:tcBorders>
                  <w:noWrap/>
                  <w:vAlign w:val="center"/>
                </w:tcPr>
                <w:p w14:paraId="6C9D49D5">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eastAsia="宋体"/>
                      <w:color w:val="auto"/>
                      <w:szCs w:val="21"/>
                      <w:lang w:val="en-US" w:eastAsia="zh-CN"/>
                    </w:rPr>
                  </w:pPr>
                  <w:r>
                    <w:rPr>
                      <w:rFonts w:hint="eastAsia"/>
                      <w:color w:val="auto"/>
                      <w:szCs w:val="21"/>
                      <w:lang w:val="en-US" w:eastAsia="zh-CN"/>
                    </w:rPr>
                    <w:t>8</w:t>
                  </w:r>
                </w:p>
              </w:tc>
              <w:tc>
                <w:tcPr>
                  <w:tcW w:w="903" w:type="pct"/>
                  <w:tcBorders>
                    <w:tl2br w:val="nil"/>
                    <w:tr2bl w:val="nil"/>
                  </w:tcBorders>
                  <w:shd w:val="clear" w:color="auto" w:fill="auto"/>
                  <w:noWrap/>
                  <w:vAlign w:val="center"/>
                </w:tcPr>
                <w:p w14:paraId="1BE2E95B">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rPr>
                    <w:t>软水制备用水</w:t>
                  </w:r>
                </w:p>
              </w:tc>
              <w:tc>
                <w:tcPr>
                  <w:tcW w:w="634" w:type="pct"/>
                  <w:tcBorders>
                    <w:tl2br w:val="nil"/>
                    <w:tr2bl w:val="nil"/>
                  </w:tcBorders>
                  <w:shd w:val="clear" w:color="auto" w:fill="auto"/>
                  <w:noWrap/>
                  <w:vAlign w:val="center"/>
                </w:tcPr>
                <w:p w14:paraId="797AD90A">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14.40</w:t>
                  </w:r>
                </w:p>
              </w:tc>
              <w:tc>
                <w:tcPr>
                  <w:tcW w:w="582" w:type="pct"/>
                  <w:tcBorders>
                    <w:tl2br w:val="nil"/>
                    <w:tr2bl w:val="nil"/>
                  </w:tcBorders>
                  <w:shd w:val="clear" w:color="auto" w:fill="auto"/>
                  <w:noWrap/>
                  <w:vAlign w:val="center"/>
                </w:tcPr>
                <w:p w14:paraId="113619A8">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3.600</w:t>
                  </w:r>
                </w:p>
              </w:tc>
              <w:tc>
                <w:tcPr>
                  <w:tcW w:w="509" w:type="pct"/>
                  <w:tcBorders>
                    <w:tl2br w:val="nil"/>
                    <w:tr2bl w:val="nil"/>
                  </w:tcBorders>
                  <w:shd w:val="clear" w:color="auto" w:fill="auto"/>
                  <w:noWrap/>
                  <w:vAlign w:val="center"/>
                </w:tcPr>
                <w:p w14:paraId="7C621EC3">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w:t>
                  </w:r>
                </w:p>
              </w:tc>
              <w:tc>
                <w:tcPr>
                  <w:tcW w:w="1930" w:type="pct"/>
                  <w:tcBorders>
                    <w:tl2br w:val="nil"/>
                    <w:tr2bl w:val="nil"/>
                  </w:tcBorders>
                  <w:shd w:val="clear" w:color="auto" w:fill="auto"/>
                  <w:noWrap/>
                  <w:vAlign w:val="center"/>
                </w:tcPr>
                <w:p w14:paraId="1ECEBDB5">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软水进入锅炉蒸汽和锅炉排污水</w:t>
                  </w:r>
                </w:p>
              </w:tc>
            </w:tr>
            <w:tr w14:paraId="1D23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pct"/>
                  <w:gridSpan w:val="2"/>
                  <w:tcBorders>
                    <w:tl2br w:val="nil"/>
                    <w:tr2bl w:val="nil"/>
                  </w:tcBorders>
                  <w:noWrap/>
                  <w:vAlign w:val="center"/>
                </w:tcPr>
                <w:p w14:paraId="77B0E73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color w:val="auto"/>
                      <w:szCs w:val="21"/>
                    </w:rPr>
                    <w:t>合计</w:t>
                  </w:r>
                </w:p>
              </w:tc>
              <w:tc>
                <w:tcPr>
                  <w:tcW w:w="634" w:type="pct"/>
                  <w:tcBorders>
                    <w:tl2br w:val="nil"/>
                    <w:tr2bl w:val="nil"/>
                  </w:tcBorders>
                  <w:noWrap/>
                  <w:vAlign w:val="center"/>
                </w:tcPr>
                <w:p w14:paraId="3609B5E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107.413</w:t>
                  </w:r>
                </w:p>
              </w:tc>
              <w:tc>
                <w:tcPr>
                  <w:tcW w:w="582" w:type="pct"/>
                  <w:tcBorders>
                    <w:tl2br w:val="nil"/>
                    <w:tr2bl w:val="nil"/>
                  </w:tcBorders>
                  <w:noWrap/>
                  <w:vAlign w:val="center"/>
                </w:tcPr>
                <w:p w14:paraId="11F0DF33">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w:t>
                  </w:r>
                </w:p>
              </w:tc>
              <w:tc>
                <w:tcPr>
                  <w:tcW w:w="509" w:type="pct"/>
                  <w:tcBorders>
                    <w:tl2br w:val="nil"/>
                    <w:tr2bl w:val="nil"/>
                  </w:tcBorders>
                  <w:noWrap/>
                  <w:vAlign w:val="center"/>
                </w:tcPr>
                <w:p w14:paraId="703CE4F1">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w:t>
                  </w:r>
                </w:p>
              </w:tc>
              <w:tc>
                <w:tcPr>
                  <w:tcW w:w="1930" w:type="pct"/>
                  <w:tcBorders>
                    <w:tl2br w:val="nil"/>
                    <w:tr2bl w:val="nil"/>
                  </w:tcBorders>
                  <w:noWrap/>
                  <w:vAlign w:val="center"/>
                </w:tcPr>
                <w:p w14:paraId="08A2B24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eastAsia="宋体"/>
                      <w:color w:val="auto"/>
                      <w:szCs w:val="21"/>
                      <w:lang w:val="en-US" w:eastAsia="zh-CN"/>
                    </w:rPr>
                  </w:pPr>
                  <w:r>
                    <w:rPr>
                      <w:rFonts w:hint="eastAsia"/>
                      <w:color w:val="auto"/>
                      <w:szCs w:val="21"/>
                      <w:lang w:val="en-US" w:eastAsia="zh-CN"/>
                    </w:rPr>
                    <w:t>/</w:t>
                  </w:r>
                </w:p>
              </w:tc>
            </w:tr>
          </w:tbl>
          <w:p w14:paraId="65683D80">
            <w:pPr>
              <w:tabs>
                <w:tab w:val="left" w:pos="1180"/>
              </w:tabs>
              <w:adjustRightInd w:val="0"/>
              <w:snapToGrid w:val="0"/>
              <w:spacing w:beforeLines="50" w:line="360" w:lineRule="auto"/>
              <w:ind w:firstLine="480" w:firstLineChars="200"/>
              <w:rPr>
                <w:color w:val="auto"/>
                <w:sz w:val="24"/>
              </w:rPr>
            </w:pPr>
            <w:r>
              <w:rPr>
                <w:rFonts w:hint="eastAsia"/>
                <w:color w:val="auto"/>
                <w:sz w:val="24"/>
              </w:rPr>
              <w:t>本项目生产过程水平衡见下图。</w:t>
            </w:r>
          </w:p>
          <w:p w14:paraId="5B03436E">
            <w:pPr>
              <w:adjustRightInd w:val="0"/>
              <w:snapToGrid w:val="0"/>
              <w:jc w:val="center"/>
              <w:rPr>
                <w:rFonts w:hint="eastAsia" w:hAnsi="宋体" w:eastAsia="宋体"/>
                <w:color w:val="auto"/>
                <w:sz w:val="24"/>
                <w:lang w:eastAsia="zh-CN"/>
              </w:rPr>
            </w:pPr>
            <w:r>
              <w:rPr>
                <w:rFonts w:hint="eastAsia" w:hAnsi="宋体" w:eastAsia="宋体"/>
                <w:color w:val="auto"/>
                <w:sz w:val="24"/>
                <w:lang w:eastAsia="zh-CN"/>
              </w:rPr>
              <w:drawing>
                <wp:inline distT="0" distB="0" distL="114300" distR="114300">
                  <wp:extent cx="4481830" cy="4158615"/>
                  <wp:effectExtent l="0" t="0" r="13970" b="1333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
                          <pic:cNvPicPr>
                            <a:picLocks noChangeAspect="1"/>
                          </pic:cNvPicPr>
                        </pic:nvPicPr>
                        <pic:blipFill>
                          <a:blip r:embed="rId9"/>
                          <a:stretch>
                            <a:fillRect/>
                          </a:stretch>
                        </pic:blipFill>
                        <pic:spPr>
                          <a:xfrm>
                            <a:off x="0" y="0"/>
                            <a:ext cx="4481830" cy="4158615"/>
                          </a:xfrm>
                          <a:prstGeom prst="rect">
                            <a:avLst/>
                          </a:prstGeom>
                        </pic:spPr>
                      </pic:pic>
                    </a:graphicData>
                  </a:graphic>
                </wp:inline>
              </w:drawing>
            </w:r>
          </w:p>
          <w:p w14:paraId="49ACCF5D">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b/>
                <w:bCs/>
                <w:color w:val="auto"/>
                <w:szCs w:val="21"/>
              </w:rPr>
            </w:pPr>
            <w:r>
              <w:rPr>
                <w:b/>
                <w:bCs/>
                <w:color w:val="auto"/>
                <w:szCs w:val="21"/>
              </w:rPr>
              <w:t>图2-1</w:t>
            </w:r>
            <w:r>
              <w:rPr>
                <w:rFonts w:hint="eastAsia"/>
                <w:b/>
                <w:bCs/>
                <w:color w:val="auto"/>
                <w:szCs w:val="21"/>
                <w:lang w:val="en-US" w:eastAsia="zh-CN"/>
              </w:rPr>
              <w:t xml:space="preserve">  </w:t>
            </w:r>
            <w:r>
              <w:rPr>
                <w:b/>
                <w:bCs/>
                <w:color w:val="auto"/>
                <w:szCs w:val="21"/>
              </w:rPr>
              <w:t>本项目水平衡图单位：m</w:t>
            </w:r>
            <w:r>
              <w:rPr>
                <w:b/>
                <w:bCs/>
                <w:color w:val="auto"/>
                <w:szCs w:val="21"/>
                <w:vertAlign w:val="superscript"/>
              </w:rPr>
              <w:t>3</w:t>
            </w:r>
            <w:r>
              <w:rPr>
                <w:b/>
                <w:bCs/>
                <w:color w:val="auto"/>
                <w:szCs w:val="21"/>
              </w:rPr>
              <w:t>/d</w:t>
            </w:r>
          </w:p>
          <w:p w14:paraId="0969F369">
            <w:pPr>
              <w:adjustRightInd w:val="0"/>
              <w:snapToGrid w:val="0"/>
              <w:spacing w:beforeLines="50" w:line="360" w:lineRule="auto"/>
              <w:ind w:firstLine="482" w:firstLineChars="200"/>
              <w:rPr>
                <w:b/>
                <w:color w:val="auto"/>
                <w:sz w:val="24"/>
              </w:rPr>
            </w:pPr>
            <w:r>
              <w:rPr>
                <w:rFonts w:hint="eastAsia"/>
                <w:b/>
                <w:color w:val="auto"/>
                <w:sz w:val="24"/>
              </w:rPr>
              <w:t>8、平面布置</w:t>
            </w:r>
          </w:p>
          <w:p w14:paraId="61335F3A">
            <w:pPr>
              <w:spacing w:line="360" w:lineRule="auto"/>
              <w:ind w:firstLine="480" w:firstLineChars="200"/>
              <w:rPr>
                <w:color w:val="auto"/>
                <w:sz w:val="24"/>
              </w:rPr>
            </w:pPr>
            <w:r>
              <w:rPr>
                <w:rFonts w:hint="eastAsia"/>
                <w:bCs/>
                <w:color w:val="auto"/>
                <w:sz w:val="24"/>
              </w:rPr>
              <w:t>本项目平面布置</w:t>
            </w:r>
            <w:r>
              <w:rPr>
                <w:rFonts w:hint="eastAsia"/>
                <w:bCs/>
                <w:color w:val="auto"/>
                <w:sz w:val="24"/>
                <w:lang w:val="en-US" w:eastAsia="zh-CN"/>
              </w:rPr>
              <w:t>2栋生产厂房，1#生产厂房位于项目区南侧，2#生产厂房位于项目区北侧，其中1#生产厂房为预处理车间，车间内部布置泡豆区、磨浆区和煮浆区等，主要用于豆制品的前段加工；2#生产厂房为豆制品加工车间，内部布置了10条千张生产线、5条豆干生产线以及2条内脂豆腐生产线；</w:t>
            </w:r>
            <w:r>
              <w:rPr>
                <w:rFonts w:hint="eastAsia"/>
                <w:bCs/>
                <w:color w:val="auto"/>
                <w:sz w:val="24"/>
              </w:rPr>
              <w:t>设备布局严格工艺要求布局，工艺流畅，总平面布置遵循统一规划、安全生产、经济适用、便于施工、节约用地的原则。</w:t>
            </w:r>
            <w:r>
              <w:rPr>
                <w:rFonts w:hint="eastAsia"/>
                <w:color w:val="auto"/>
                <w:sz w:val="24"/>
              </w:rPr>
              <w:t>项目平面布置图见附图。</w:t>
            </w:r>
          </w:p>
          <w:p w14:paraId="08015D14">
            <w:pPr>
              <w:spacing w:line="360" w:lineRule="auto"/>
              <w:ind w:firstLine="482" w:firstLineChars="200"/>
              <w:rPr>
                <w:b/>
                <w:color w:val="auto"/>
                <w:sz w:val="24"/>
              </w:rPr>
            </w:pPr>
            <w:r>
              <w:rPr>
                <w:rFonts w:hint="eastAsia"/>
                <w:b/>
                <w:color w:val="auto"/>
                <w:sz w:val="24"/>
              </w:rPr>
              <w:t>9 、劳动定员及工作制度</w:t>
            </w:r>
          </w:p>
          <w:p w14:paraId="0C945FA6">
            <w:pPr>
              <w:pStyle w:val="5"/>
              <w:spacing w:before="0" w:after="0" w:line="360" w:lineRule="auto"/>
              <w:ind w:firstLine="421"/>
              <w:rPr>
                <w:color w:val="auto"/>
              </w:rPr>
            </w:pPr>
            <w:r>
              <w:rPr>
                <w:rFonts w:ascii="Times New Roman" w:hAnsi="Times New Roman" w:eastAsia="宋体"/>
                <w:b w:val="0"/>
                <w:color w:val="auto"/>
                <w:sz w:val="24"/>
                <w:szCs w:val="24"/>
              </w:rPr>
              <w:t>本项目劳动定员</w:t>
            </w:r>
            <w:r>
              <w:rPr>
                <w:rFonts w:hint="eastAsia" w:ascii="Times New Roman" w:hAnsi="Times New Roman" w:eastAsia="宋体"/>
                <w:b w:val="0"/>
                <w:color w:val="auto"/>
                <w:sz w:val="24"/>
                <w:szCs w:val="24"/>
              </w:rPr>
              <w:t>4</w:t>
            </w:r>
            <w:r>
              <w:rPr>
                <w:rFonts w:hint="eastAsia" w:ascii="Times New Roman" w:hAnsi="Times New Roman" w:eastAsia="宋体"/>
                <w:b w:val="0"/>
                <w:color w:val="auto"/>
                <w:sz w:val="24"/>
                <w:szCs w:val="24"/>
                <w:lang w:val="en-US" w:eastAsia="zh-CN"/>
              </w:rPr>
              <w:t>0</w:t>
            </w:r>
            <w:r>
              <w:rPr>
                <w:rFonts w:ascii="Times New Roman" w:hAnsi="Times New Roman" w:eastAsia="宋体"/>
                <w:b w:val="0"/>
                <w:color w:val="auto"/>
                <w:sz w:val="24"/>
                <w:szCs w:val="24"/>
              </w:rPr>
              <w:t>人，</w:t>
            </w:r>
            <w:r>
              <w:rPr>
                <w:rFonts w:hint="eastAsia" w:ascii="Times New Roman" w:hAnsi="Times New Roman" w:eastAsia="宋体"/>
                <w:b w:val="0"/>
                <w:color w:val="auto"/>
                <w:sz w:val="24"/>
                <w:szCs w:val="24"/>
              </w:rPr>
              <w:t>均不在项目区食宿</w:t>
            </w:r>
            <w:r>
              <w:rPr>
                <w:rFonts w:hint="eastAsia" w:ascii="Times New Roman" w:hAnsi="Times New Roman" w:eastAsia="宋体"/>
                <w:b w:val="0"/>
                <w:color w:val="auto"/>
                <w:sz w:val="24"/>
                <w:szCs w:val="24"/>
                <w:lang w:eastAsia="zh-CN"/>
              </w:rPr>
              <w:t>，</w:t>
            </w:r>
            <w:r>
              <w:rPr>
                <w:rFonts w:hint="eastAsia" w:ascii="Times New Roman" w:hAnsi="Times New Roman" w:eastAsia="宋体"/>
                <w:b w:val="0"/>
                <w:color w:val="auto"/>
                <w:sz w:val="24"/>
                <w:szCs w:val="24"/>
                <w:lang w:val="en-US" w:eastAsia="zh-CN"/>
              </w:rPr>
              <w:t>一班制（均为昼间作业，无夜间作业），每班8小时</w:t>
            </w:r>
            <w:r>
              <w:rPr>
                <w:rFonts w:hint="eastAsia" w:ascii="Times New Roman" w:hAnsi="Times New Roman" w:eastAsia="宋体"/>
                <w:b w:val="0"/>
                <w:color w:val="auto"/>
                <w:sz w:val="24"/>
                <w:szCs w:val="24"/>
                <w:lang w:eastAsia="zh-CN"/>
              </w:rPr>
              <w:t>，</w:t>
            </w:r>
            <w:r>
              <w:rPr>
                <w:rFonts w:ascii="Times New Roman" w:hAnsi="Times New Roman" w:eastAsia="宋体"/>
                <w:b w:val="0"/>
                <w:color w:val="auto"/>
                <w:sz w:val="24"/>
                <w:szCs w:val="24"/>
              </w:rPr>
              <w:t>年工作日</w:t>
            </w:r>
            <w:r>
              <w:rPr>
                <w:rFonts w:hint="eastAsia" w:ascii="Times New Roman" w:hAnsi="Times New Roman" w:eastAsia="宋体"/>
                <w:b w:val="0"/>
                <w:color w:val="auto"/>
                <w:sz w:val="24"/>
                <w:szCs w:val="24"/>
                <w:lang w:val="en-US" w:eastAsia="zh-CN"/>
              </w:rPr>
              <w:t>300</w:t>
            </w:r>
            <w:r>
              <w:rPr>
                <w:rFonts w:ascii="Times New Roman" w:hAnsi="Times New Roman" w:eastAsia="宋体"/>
                <w:b w:val="0"/>
                <w:color w:val="auto"/>
                <w:sz w:val="24"/>
                <w:szCs w:val="24"/>
              </w:rPr>
              <w:t>天</w:t>
            </w:r>
            <w:r>
              <w:rPr>
                <w:rFonts w:hint="eastAsia" w:ascii="Times New Roman" w:hAnsi="Times New Roman" w:eastAsia="宋体"/>
                <w:b w:val="0"/>
                <w:color w:val="auto"/>
                <w:sz w:val="24"/>
                <w:szCs w:val="24"/>
                <w:lang w:eastAsia="zh-CN"/>
              </w:rPr>
              <w:t>。</w:t>
            </w:r>
          </w:p>
        </w:tc>
      </w:tr>
      <w:tr w14:paraId="03A1A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3DFA0D09">
            <w:pPr>
              <w:pStyle w:val="25"/>
              <w:adjustRightInd w:val="0"/>
              <w:snapToGrid w:val="0"/>
              <w:spacing w:before="0" w:beforeAutospacing="0" w:after="0" w:afterAutospacing="0"/>
              <w:jc w:val="center"/>
              <w:rPr>
                <w:rFonts w:ascii="Times New Roman" w:hAnsi="Times New Roman"/>
                <w:color w:val="auto"/>
                <w:kern w:val="21"/>
                <w:sz w:val="21"/>
                <w:szCs w:val="21"/>
              </w:rPr>
            </w:pPr>
            <w:r>
              <w:rPr>
                <w:rFonts w:ascii="Times New Roman" w:hAnsi="Times New Roman"/>
                <w:b/>
                <w:bCs/>
                <w:color w:val="auto"/>
                <w:kern w:val="21"/>
                <w:szCs w:val="24"/>
              </w:rPr>
              <w:t>工艺流程和产排污环节</w:t>
            </w:r>
          </w:p>
        </w:tc>
        <w:tc>
          <w:tcPr>
            <w:tcW w:w="8493" w:type="dxa"/>
            <w:vAlign w:val="center"/>
          </w:tcPr>
          <w:p w14:paraId="5B1CAB4E">
            <w:pPr>
              <w:widowControl/>
              <w:adjustRightInd w:val="0"/>
              <w:snapToGrid w:val="0"/>
              <w:spacing w:beforeLines="50" w:line="360" w:lineRule="auto"/>
              <w:ind w:firstLine="480" w:firstLineChars="200"/>
              <w:rPr>
                <w:color w:val="auto"/>
                <w:kern w:val="0"/>
                <w:sz w:val="24"/>
              </w:rPr>
            </w:pPr>
            <w:r>
              <w:rPr>
                <w:rFonts w:hint="eastAsia"/>
                <w:color w:val="auto"/>
                <w:kern w:val="0"/>
                <w:sz w:val="24"/>
              </w:rPr>
              <w:t>本项目环境影响评价包括工程施工期和营运期。工程施工期间的基础工程、主体工程、装饰工程、设备安装等建设工序将产生噪声、扬尘、固体废物、少量污水和废气等污染物；营运期间产生的污染物包括废气、噪声、固废等。从污染角度分析，施工期和营运期的工艺流程及产污环节如下：</w:t>
            </w:r>
          </w:p>
          <w:p w14:paraId="51900B75">
            <w:pPr>
              <w:spacing w:line="360" w:lineRule="auto"/>
              <w:rPr>
                <w:b/>
                <w:bCs/>
                <w:color w:val="auto"/>
                <w:sz w:val="24"/>
              </w:rPr>
            </w:pPr>
            <w:r>
              <w:rPr>
                <w:rFonts w:hint="eastAsia"/>
                <w:b/>
                <w:bCs/>
                <w:color w:val="auto"/>
                <w:sz w:val="24"/>
              </w:rPr>
              <w:t>一、施工期工艺流程及产污环节</w:t>
            </w:r>
          </w:p>
          <w:p w14:paraId="7F3E5687">
            <w:pPr>
              <w:widowControl/>
              <w:spacing w:line="360" w:lineRule="auto"/>
              <w:ind w:firstLine="480" w:firstLineChars="200"/>
              <w:jc w:val="left"/>
              <w:rPr>
                <w:color w:val="auto"/>
                <w:kern w:val="0"/>
                <w:sz w:val="24"/>
              </w:rPr>
            </w:pPr>
            <w:r>
              <w:rPr>
                <w:rFonts w:hint="eastAsia"/>
                <w:color w:val="auto"/>
                <w:kern w:val="0"/>
                <w:sz w:val="24"/>
              </w:rPr>
              <w:t>施工期施工工艺流程及产污环节如下：</w:t>
            </w:r>
          </w:p>
          <w:p w14:paraId="4AA45E5C">
            <w:pPr>
              <w:pStyle w:val="7"/>
              <w:ind w:firstLine="0" w:firstLineChars="0"/>
              <w:jc w:val="center"/>
              <w:rPr>
                <w:color w:val="auto"/>
              </w:rPr>
            </w:pPr>
            <w:r>
              <w:rPr>
                <w:color w:val="auto"/>
              </w:rPr>
              <w:drawing>
                <wp:inline distT="0" distB="0" distL="0" distR="0">
                  <wp:extent cx="4375785" cy="1259840"/>
                  <wp:effectExtent l="0" t="0" r="5715"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375785" cy="1259840"/>
                          </a:xfrm>
                          <a:prstGeom prst="rect">
                            <a:avLst/>
                          </a:prstGeom>
                          <a:noFill/>
                          <a:ln>
                            <a:noFill/>
                          </a:ln>
                        </pic:spPr>
                      </pic:pic>
                    </a:graphicData>
                  </a:graphic>
                </wp:inline>
              </w:drawing>
            </w:r>
          </w:p>
          <w:p w14:paraId="0EF9F156">
            <w:pPr>
              <w:pStyle w:val="5"/>
              <w:spacing w:before="0" w:after="0"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 xml:space="preserve">图2-2 </w:t>
            </w:r>
            <w:r>
              <w:rPr>
                <w:rFonts w:hint="eastAsia" w:ascii="Times New Roman" w:hAnsi="Times New Roman" w:eastAsia="宋体"/>
                <w:color w:val="auto"/>
                <w:sz w:val="21"/>
                <w:szCs w:val="21"/>
                <w:lang w:val="en-US" w:eastAsia="zh-CN"/>
              </w:rPr>
              <w:t xml:space="preserve"> </w:t>
            </w:r>
            <w:r>
              <w:rPr>
                <w:rFonts w:hint="eastAsia" w:ascii="Times New Roman" w:hAnsi="Times New Roman" w:eastAsia="宋体"/>
                <w:color w:val="auto"/>
                <w:sz w:val="21"/>
                <w:szCs w:val="21"/>
              </w:rPr>
              <w:t>施工工艺流程及产污环节</w:t>
            </w:r>
          </w:p>
          <w:p w14:paraId="02CCBC1C">
            <w:pPr>
              <w:widowControl/>
              <w:spacing w:line="360" w:lineRule="auto"/>
              <w:ind w:firstLine="480" w:firstLineChars="200"/>
              <w:jc w:val="left"/>
              <w:rPr>
                <w:color w:val="auto"/>
                <w:kern w:val="0"/>
                <w:sz w:val="24"/>
              </w:rPr>
            </w:pPr>
            <w:r>
              <w:rPr>
                <w:rFonts w:hint="eastAsia"/>
                <w:color w:val="auto"/>
                <w:kern w:val="0"/>
                <w:sz w:val="24"/>
              </w:rPr>
              <w:t>工艺流程说明：</w:t>
            </w:r>
          </w:p>
          <w:p w14:paraId="78D401E7">
            <w:pPr>
              <w:widowControl/>
              <w:spacing w:line="360" w:lineRule="auto"/>
              <w:ind w:firstLine="480" w:firstLineChars="200"/>
              <w:jc w:val="left"/>
              <w:rPr>
                <w:color w:val="auto"/>
                <w:kern w:val="0"/>
                <w:sz w:val="24"/>
              </w:rPr>
            </w:pPr>
            <w:r>
              <w:rPr>
                <w:rFonts w:hint="eastAsia"/>
                <w:color w:val="auto"/>
                <w:kern w:val="0"/>
                <w:sz w:val="24"/>
              </w:rPr>
              <w:t>（1）基础工程施工</w:t>
            </w:r>
          </w:p>
          <w:p w14:paraId="6F043783">
            <w:pPr>
              <w:widowControl/>
              <w:spacing w:line="360" w:lineRule="auto"/>
              <w:ind w:firstLine="480" w:firstLineChars="200"/>
              <w:jc w:val="left"/>
              <w:rPr>
                <w:color w:val="auto"/>
                <w:kern w:val="0"/>
                <w:sz w:val="24"/>
              </w:rPr>
            </w:pPr>
            <w:r>
              <w:rPr>
                <w:rFonts w:hint="eastAsia"/>
                <w:color w:val="auto"/>
                <w:kern w:val="0"/>
                <w:sz w:val="24"/>
              </w:rPr>
              <w:t>包括土方（挖方、填方）、地基处理（岩土工程）与基础工程施工。基础工程挖土方量约等于回填方量，在施工阶段不会有弃土产生；挖掘机、打夯机、装载机等运行时将主要产生噪声，同时产生扬尘。</w:t>
            </w:r>
          </w:p>
          <w:p w14:paraId="099F1ACA">
            <w:pPr>
              <w:widowControl/>
              <w:spacing w:line="360" w:lineRule="auto"/>
              <w:ind w:firstLine="480" w:firstLineChars="200"/>
              <w:jc w:val="left"/>
              <w:rPr>
                <w:color w:val="auto"/>
                <w:kern w:val="0"/>
                <w:sz w:val="24"/>
              </w:rPr>
            </w:pPr>
            <w:r>
              <w:rPr>
                <w:rFonts w:hint="eastAsia"/>
                <w:color w:val="auto"/>
                <w:kern w:val="0"/>
                <w:sz w:val="24"/>
              </w:rPr>
              <w:t>（2）主体工程及附属工程施工</w:t>
            </w:r>
          </w:p>
          <w:p w14:paraId="0B846C46">
            <w:pPr>
              <w:widowControl/>
              <w:spacing w:line="360" w:lineRule="auto"/>
              <w:ind w:firstLine="480" w:firstLineChars="200"/>
              <w:jc w:val="left"/>
              <w:rPr>
                <w:color w:val="auto"/>
                <w:kern w:val="0"/>
                <w:sz w:val="24"/>
              </w:rPr>
            </w:pPr>
            <w:r>
              <w:rPr>
                <w:rFonts w:hint="eastAsia"/>
                <w:color w:val="auto"/>
                <w:kern w:val="0"/>
                <w:sz w:val="24"/>
              </w:rPr>
              <w:t>将产生混凝土输送泵、混凝土振捣棒、卷扬机、钢筋切割机等施工机械的运行噪声；在挖土、堆场、建材搬运和汽车运输过程中会产生扬尘等环境问题。</w:t>
            </w:r>
          </w:p>
          <w:p w14:paraId="5F7B7BFC">
            <w:pPr>
              <w:widowControl/>
              <w:spacing w:line="360" w:lineRule="auto"/>
              <w:ind w:firstLine="480" w:firstLineChars="200"/>
              <w:jc w:val="left"/>
              <w:rPr>
                <w:color w:val="auto"/>
                <w:kern w:val="0"/>
                <w:sz w:val="24"/>
              </w:rPr>
            </w:pPr>
            <w:r>
              <w:rPr>
                <w:rFonts w:hint="eastAsia"/>
                <w:color w:val="auto"/>
                <w:kern w:val="0"/>
                <w:sz w:val="24"/>
              </w:rPr>
              <w:t>（3）装饰工程施工</w:t>
            </w:r>
          </w:p>
          <w:p w14:paraId="4C9CEF04">
            <w:pPr>
              <w:widowControl/>
              <w:spacing w:line="360" w:lineRule="auto"/>
              <w:ind w:firstLine="480" w:firstLineChars="200"/>
              <w:jc w:val="left"/>
              <w:rPr>
                <w:color w:val="auto"/>
                <w:kern w:val="0"/>
                <w:sz w:val="24"/>
              </w:rPr>
            </w:pPr>
            <w:r>
              <w:rPr>
                <w:rFonts w:hint="eastAsia"/>
                <w:color w:val="auto"/>
                <w:kern w:val="0"/>
                <w:sz w:val="24"/>
              </w:rPr>
              <w:t>在对构筑物的室内外进行装修时（如表面粉刷、油漆、喷涂、裱糊、镶贴装饰等），钻机、电锤、切割机等产生噪声；油漆、喷涂、建筑及装饰材料等产生废气、废弃物料及极少量的洗涤污水。</w:t>
            </w:r>
          </w:p>
          <w:p w14:paraId="732202DE">
            <w:pPr>
              <w:widowControl/>
              <w:spacing w:line="360" w:lineRule="auto"/>
              <w:ind w:firstLine="480" w:firstLineChars="200"/>
              <w:jc w:val="left"/>
              <w:rPr>
                <w:rFonts w:hint="eastAsia"/>
                <w:color w:val="auto"/>
                <w:kern w:val="0"/>
                <w:sz w:val="24"/>
                <w:lang w:eastAsia="zh-CN"/>
              </w:rPr>
            </w:pPr>
            <w:r>
              <w:rPr>
                <w:rFonts w:hint="eastAsia"/>
                <w:color w:val="auto"/>
                <w:kern w:val="0"/>
                <w:sz w:val="24"/>
              </w:rPr>
              <w:t>从上述污染工序说明可知，施工期环境污染问题主要是：建筑扬尘、施工弃土、施工期噪声、施工期民工生活污水和混凝土搅拌废水、施工期生活垃圾、建筑垃圾等</w:t>
            </w:r>
            <w:r>
              <w:rPr>
                <w:rFonts w:hint="eastAsia"/>
                <w:color w:val="auto"/>
                <w:kern w:val="0"/>
                <w:sz w:val="24"/>
                <w:lang w:eastAsia="zh-CN"/>
              </w:rPr>
              <w:t>。</w:t>
            </w:r>
          </w:p>
          <w:p w14:paraId="7ADBB93A">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 w:val="24"/>
              </w:rPr>
            </w:pPr>
            <w:r>
              <w:rPr>
                <w:rFonts w:hint="eastAsia"/>
                <w:b/>
                <w:bCs/>
                <w:color w:val="auto"/>
                <w:sz w:val="24"/>
              </w:rPr>
              <w:t>二、运营期工艺流程及产污环节</w:t>
            </w:r>
          </w:p>
          <w:p w14:paraId="69828874">
            <w:pPr>
              <w:spacing w:line="360" w:lineRule="auto"/>
              <w:ind w:firstLine="480" w:firstLineChars="200"/>
              <w:rPr>
                <w:rFonts w:hint="eastAsia"/>
                <w:color w:val="auto"/>
                <w:sz w:val="24"/>
              </w:rPr>
            </w:pPr>
            <w:r>
              <w:rPr>
                <w:rFonts w:hint="eastAsia"/>
                <w:color w:val="auto"/>
                <w:sz w:val="24"/>
              </w:rPr>
              <w:t>本项目主要生产豆制品，产品类型包括豆腐类、千张和豆干，其中豆腐类有板式豆腐</w:t>
            </w:r>
            <w:r>
              <w:rPr>
                <w:rFonts w:hint="eastAsia"/>
                <w:color w:val="auto"/>
                <w:sz w:val="24"/>
                <w:lang w:eastAsia="zh-CN"/>
              </w:rPr>
              <w:t>、</w:t>
            </w:r>
            <w:r>
              <w:rPr>
                <w:rFonts w:hint="eastAsia"/>
                <w:color w:val="auto"/>
                <w:sz w:val="24"/>
              </w:rPr>
              <w:t>内酯豆腐</w:t>
            </w:r>
            <w:r>
              <w:rPr>
                <w:rFonts w:hint="eastAsia"/>
                <w:color w:val="auto"/>
                <w:sz w:val="24"/>
                <w:lang w:eastAsia="zh-CN"/>
              </w:rPr>
              <w:t>和鸡蛋豆腐</w:t>
            </w:r>
            <w:r>
              <w:rPr>
                <w:rFonts w:hint="eastAsia"/>
                <w:color w:val="auto"/>
                <w:sz w:val="24"/>
              </w:rPr>
              <w:t>。项目生产工艺主要分为制浆工艺和豆制品生产工艺，工艺流程及产污节点详见下图。</w:t>
            </w:r>
          </w:p>
          <w:p w14:paraId="3D7C1958">
            <w:pPr>
              <w:spacing w:line="360" w:lineRule="auto"/>
              <w:rPr>
                <w:b/>
                <w:bCs/>
                <w:color w:val="auto"/>
                <w:szCs w:val="21"/>
              </w:rPr>
            </w:pPr>
            <w:r>
              <w:rPr>
                <w:rFonts w:hint="eastAsia"/>
                <w:b/>
                <w:bCs/>
                <w:color w:val="auto"/>
                <w:sz w:val="24"/>
                <w:lang w:eastAsia="zh-CN"/>
              </w:rPr>
              <w:t>（一）</w:t>
            </w:r>
            <w:r>
              <w:rPr>
                <w:rFonts w:hint="eastAsia"/>
                <w:b/>
                <w:bCs/>
                <w:color w:val="auto"/>
                <w:sz w:val="24"/>
              </w:rPr>
              <w:t>制浆工艺流程及产污环节：</w:t>
            </w:r>
          </w:p>
          <w:p w14:paraId="33A7CD06">
            <w:pPr>
              <w:spacing w:line="360" w:lineRule="auto"/>
              <w:jc w:val="center"/>
              <w:rPr>
                <w:color w:val="auto"/>
                <w:szCs w:val="21"/>
              </w:rPr>
            </w:pPr>
            <w:r>
              <w:rPr>
                <w:color w:val="auto"/>
              </w:rPr>
              <w:drawing>
                <wp:inline distT="0" distB="0" distL="114300" distR="114300">
                  <wp:extent cx="4197985" cy="4243705"/>
                  <wp:effectExtent l="0" t="0" r="12065"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4197985" cy="4243705"/>
                          </a:xfrm>
                          <a:prstGeom prst="rect">
                            <a:avLst/>
                          </a:prstGeom>
                          <a:noFill/>
                          <a:ln>
                            <a:noFill/>
                          </a:ln>
                        </pic:spPr>
                      </pic:pic>
                    </a:graphicData>
                  </a:graphic>
                </wp:inline>
              </w:drawing>
            </w:r>
          </w:p>
          <w:p w14:paraId="0E705137">
            <w:pPr>
              <w:spacing w:line="360" w:lineRule="auto"/>
              <w:jc w:val="center"/>
              <w:rPr>
                <w:b/>
                <w:bCs/>
                <w:color w:val="auto"/>
                <w:sz w:val="21"/>
                <w:szCs w:val="21"/>
              </w:rPr>
            </w:pPr>
            <w:r>
              <w:rPr>
                <w:rFonts w:hint="eastAsia"/>
                <w:b/>
                <w:bCs/>
                <w:color w:val="auto"/>
                <w:sz w:val="21"/>
                <w:szCs w:val="21"/>
              </w:rPr>
              <w:t>图2-3</w:t>
            </w:r>
            <w:r>
              <w:rPr>
                <w:rFonts w:hint="eastAsia"/>
                <w:b/>
                <w:bCs/>
                <w:color w:val="auto"/>
                <w:sz w:val="21"/>
                <w:szCs w:val="21"/>
                <w:lang w:val="en-US" w:eastAsia="zh-CN"/>
              </w:rPr>
              <w:t xml:space="preserve"> </w:t>
            </w:r>
            <w:r>
              <w:rPr>
                <w:rFonts w:hint="eastAsia"/>
                <w:b/>
                <w:bCs/>
                <w:color w:val="auto"/>
                <w:sz w:val="21"/>
                <w:szCs w:val="21"/>
              </w:rPr>
              <w:t>制浆</w:t>
            </w:r>
            <w:r>
              <w:rPr>
                <w:b/>
                <w:bCs/>
                <w:color w:val="auto"/>
                <w:sz w:val="21"/>
                <w:szCs w:val="21"/>
              </w:rPr>
              <w:t>工艺流程</w:t>
            </w:r>
            <w:r>
              <w:rPr>
                <w:rFonts w:hint="eastAsia"/>
                <w:b/>
                <w:bCs/>
                <w:color w:val="auto"/>
                <w:sz w:val="21"/>
                <w:szCs w:val="21"/>
              </w:rPr>
              <w:t>图及产污环节图</w:t>
            </w:r>
          </w:p>
          <w:p w14:paraId="4D9D7DC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4"/>
              </w:rPr>
            </w:pPr>
            <w:r>
              <w:rPr>
                <w:rFonts w:hint="eastAsia"/>
                <w:color w:val="auto"/>
                <w:sz w:val="24"/>
              </w:rPr>
              <w:t>工艺流程说明：</w:t>
            </w:r>
          </w:p>
          <w:p w14:paraId="2D032ED4">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（1）投料、清洗、浸泡</w:t>
            </w:r>
          </w:p>
          <w:p w14:paraId="368F0B2B">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人工将外购的黄豆投入干豆转送车中，再分别卸入泡豆机中进行浸泡。遵循“一泡三洗”的原则，黄豆进入自动浸泡系统后，首先在泡豆桶内进行清洗，豆与水的比例为1：1，系统定时打开气动阀使大豆在水中翻动，每次清洗约10分钟。完成两次洗豆后，用冷水浸泡，豆与水的比例为1：</w:t>
            </w: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，浸泡时间约6~8h，浸泡后对豆子进行最后一次清洗，具体操作同上。此工序产生洗豆废水W1-1和泡豆废水W1-2。</w:t>
            </w:r>
          </w:p>
          <w:p w14:paraId="6BDBBCE0">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（2）磨浆、分离</w:t>
            </w:r>
          </w:p>
          <w:p w14:paraId="120BD88F">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磨浆工序主要是将浸泡清洗好的大豆倒入磨浆机，并加入适量冷水（加水量为发泡黄豆的</w:t>
            </w:r>
            <w:r>
              <w:rPr>
                <w:rFonts w:hint="eastAsia" w:ascii="Times New Roman" w:hAnsi="Times New Roman" w:cs="Times New Roman"/>
                <w:color w:val="auto"/>
                <w:kern w:val="2"/>
                <w:sz w:val="24"/>
                <w:szCs w:val="24"/>
                <w:lang w:val="en-US" w:eastAsia="zh-CN" w:bidi="ar-SA"/>
              </w:rPr>
              <w:t>6</w:t>
            </w:r>
            <w:r>
              <w:rPr>
                <w:rFonts w:hint="eastAsia" w:ascii="Times New Roman" w:hAnsi="Times New Roman" w:eastAsia="宋体" w:cs="Times New Roman"/>
                <w:color w:val="auto"/>
                <w:kern w:val="2"/>
                <w:sz w:val="24"/>
                <w:szCs w:val="24"/>
                <w:lang w:val="en-US" w:eastAsia="zh-CN" w:bidi="ar-SA"/>
              </w:rPr>
              <w:t>倍），制作出生豆浆，生豆浆送入浆渣分离机，分离机通过高速旋转分离开生浆和豆渣，生浆在生浆桶内储存，后由吸泵机抽往煮浆桶，产生的豆渣暂存在浆渣桶。分离工序产生豆渣S1-1和噪声N。</w:t>
            </w:r>
          </w:p>
          <w:p w14:paraId="74F21680">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（3）煮浆</w:t>
            </w:r>
          </w:p>
          <w:p w14:paraId="45FA571A">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煮浆工序使用全自动微压煮浆系统，主要包括煮浆桶、电脑控制板、蒸汽减压装置等。生浆通过吸泵机抽往煮浆桶，通过蒸汽蒸煮生浆，蒸煮温度达到145℃</w:t>
            </w:r>
            <w:r>
              <w:rPr>
                <w:rFonts w:hint="default"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使豆浆中的蛋白质发生变性，一方面是为点浆工序</w:t>
            </w:r>
            <w:r>
              <w:rPr>
                <w:rFonts w:hint="eastAsia" w:ascii="Times New Roman" w:hAnsi="Times New Roman" w:eastAsia="宋体" w:cs="Times New Roman"/>
                <w:color w:val="auto"/>
                <w:kern w:val="2"/>
                <w:sz w:val="24"/>
                <w:szCs w:val="24"/>
                <w:lang w:val="en-US" w:eastAsia="zh-CN" w:bidi="ar-SA"/>
              </w:rPr>
              <w:t>创造必要的条件，另一方面可以减轻异味，提高大豆蛋白的营养价值，延长产品的保鲜期。通过电脑控制板控制蒸汽减压装置，从而控制蒸煮温度的升高和各阶段温度达到后的保温时间，煮浆过程采用蒸汽间接加热。煮浆过程中会产生大量泡沫，需加入消泡剂进行消泡，而后进入各条生产线。煮浆工序是对豆浆进行加热煮沸，不涉及发酵工艺。此工序蒸汽锅炉产生燃烧废气G1-1</w:t>
            </w:r>
            <w:r>
              <w:rPr>
                <w:rFonts w:hint="eastAsia" w:ascii="Times New Roman" w:hAnsi="Times New Roman" w:cs="Times New Roman"/>
                <w:color w:val="auto"/>
                <w:kern w:val="2"/>
                <w:sz w:val="24"/>
                <w:szCs w:val="24"/>
                <w:lang w:val="en-US" w:eastAsia="zh-CN" w:bidi="ar-SA"/>
              </w:rPr>
              <w:t>。</w:t>
            </w:r>
          </w:p>
          <w:p w14:paraId="1A9931D6">
            <w:pPr>
              <w:keepNext w:val="0"/>
              <w:keepLines w:val="0"/>
              <w:pageBreakBefore w:val="0"/>
              <w:widowControl w:val="0"/>
              <w:numPr>
                <w:ilvl w:val="0"/>
                <w:numId w:val="7"/>
              </w:numPr>
              <w:kinsoku/>
              <w:wordWrap/>
              <w:overflowPunct/>
              <w:topLinePunct w:val="0"/>
              <w:autoSpaceDE/>
              <w:autoSpaceDN/>
              <w:bidi w:val="0"/>
              <w:adjustRightInd/>
              <w:snapToGrid/>
              <w:spacing w:before="157" w:beforeLines="50" w:line="360" w:lineRule="auto"/>
              <w:textAlignment w:val="auto"/>
              <w:rPr>
                <w:rFonts w:hint="eastAsia"/>
                <w:b/>
                <w:bCs/>
                <w:color w:val="auto"/>
                <w:sz w:val="24"/>
              </w:rPr>
            </w:pPr>
            <w:r>
              <w:rPr>
                <w:rFonts w:hint="eastAsia"/>
                <w:b/>
                <w:bCs/>
                <w:color w:val="auto"/>
                <w:sz w:val="24"/>
                <w:lang w:eastAsia="zh-CN"/>
              </w:rPr>
              <w:t>千张</w:t>
            </w:r>
            <w:r>
              <w:rPr>
                <w:rFonts w:hint="eastAsia"/>
                <w:b/>
                <w:bCs/>
                <w:color w:val="auto"/>
                <w:sz w:val="24"/>
              </w:rPr>
              <w:t>工艺流程及产污环节：</w:t>
            </w:r>
          </w:p>
          <w:p w14:paraId="14394D3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color w:val="auto"/>
                <w:szCs w:val="21"/>
              </w:rPr>
            </w:pPr>
            <w:r>
              <w:rPr>
                <w:rFonts w:hint="eastAsia"/>
                <w:b/>
                <w:bCs/>
                <w:color w:val="auto"/>
                <w:sz w:val="24"/>
                <w:lang w:eastAsia="zh-CN"/>
              </w:rPr>
              <w:drawing>
                <wp:inline distT="0" distB="0" distL="114300" distR="114300">
                  <wp:extent cx="3170555" cy="4307205"/>
                  <wp:effectExtent l="0" t="0" r="0" b="0"/>
                  <wp:docPr id="17" name="图片 1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2"/>
                          <pic:cNvPicPr>
                            <a:picLocks noChangeAspect="1"/>
                          </pic:cNvPicPr>
                        </pic:nvPicPr>
                        <pic:blipFill>
                          <a:blip r:embed="rId12"/>
                          <a:srcRect r="10247"/>
                          <a:stretch>
                            <a:fillRect/>
                          </a:stretch>
                        </pic:blipFill>
                        <pic:spPr>
                          <a:xfrm>
                            <a:off x="0" y="0"/>
                            <a:ext cx="3170555" cy="4307205"/>
                          </a:xfrm>
                          <a:prstGeom prst="rect">
                            <a:avLst/>
                          </a:prstGeom>
                        </pic:spPr>
                      </pic:pic>
                    </a:graphicData>
                  </a:graphic>
                </wp:inline>
              </w:drawing>
            </w:r>
          </w:p>
          <w:p w14:paraId="1640AA89">
            <w:pPr>
              <w:spacing w:line="360" w:lineRule="auto"/>
              <w:jc w:val="center"/>
              <w:rPr>
                <w:rFonts w:hint="eastAsia"/>
                <w:b/>
                <w:bCs/>
                <w:color w:val="auto"/>
                <w:sz w:val="21"/>
                <w:szCs w:val="21"/>
              </w:rPr>
            </w:pPr>
            <w:r>
              <w:rPr>
                <w:rFonts w:hint="eastAsia"/>
                <w:b/>
                <w:bCs/>
                <w:color w:val="auto"/>
                <w:sz w:val="21"/>
                <w:szCs w:val="21"/>
              </w:rPr>
              <w:t>图2-</w:t>
            </w:r>
            <w:r>
              <w:rPr>
                <w:rFonts w:hint="eastAsia"/>
                <w:b/>
                <w:bCs/>
                <w:color w:val="auto"/>
                <w:sz w:val="21"/>
                <w:szCs w:val="21"/>
                <w:lang w:val="en-US" w:eastAsia="zh-CN"/>
              </w:rPr>
              <w:t xml:space="preserve">4 </w:t>
            </w:r>
            <w:r>
              <w:rPr>
                <w:rFonts w:hint="eastAsia"/>
                <w:b/>
                <w:bCs/>
                <w:color w:val="auto"/>
                <w:sz w:val="21"/>
                <w:szCs w:val="21"/>
                <w:lang w:eastAsia="zh-CN"/>
              </w:rPr>
              <w:t>千张</w:t>
            </w:r>
            <w:r>
              <w:rPr>
                <w:rFonts w:hint="eastAsia"/>
                <w:b/>
                <w:bCs/>
                <w:color w:val="auto"/>
                <w:sz w:val="21"/>
                <w:szCs w:val="21"/>
              </w:rPr>
              <w:t>工艺流程图及产污环节图</w:t>
            </w:r>
          </w:p>
          <w:p w14:paraId="2334A3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4"/>
              </w:rPr>
            </w:pPr>
            <w:r>
              <w:rPr>
                <w:rFonts w:hint="eastAsia"/>
                <w:color w:val="auto"/>
                <w:sz w:val="24"/>
              </w:rPr>
              <w:t>工艺流程说明：</w:t>
            </w:r>
          </w:p>
          <w:p w14:paraId="049F324C">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（1）点浆</w:t>
            </w:r>
          </w:p>
          <w:p w14:paraId="7AA39D19">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点浆前先将石膏粉与水按</w:t>
            </w:r>
            <w:r>
              <w:rPr>
                <w:rFonts w:hint="eastAsia" w:ascii="Times New Roman" w:hAnsi="Times New Roman" w:cs="Times New Roman"/>
                <w:color w:val="auto"/>
                <w:kern w:val="2"/>
                <w:sz w:val="24"/>
                <w:szCs w:val="24"/>
                <w:lang w:val="en-US" w:eastAsia="zh-CN" w:bidi="ar-SA"/>
              </w:rPr>
              <w:t>一定</w:t>
            </w:r>
            <w:r>
              <w:rPr>
                <w:rFonts w:hint="eastAsia" w:ascii="Times New Roman" w:hAnsi="Times New Roman" w:eastAsia="宋体" w:cs="Times New Roman"/>
                <w:color w:val="auto"/>
                <w:kern w:val="2"/>
                <w:sz w:val="24"/>
                <w:szCs w:val="24"/>
                <w:lang w:val="en-US" w:eastAsia="zh-CN" w:bidi="ar-SA"/>
              </w:rPr>
              <w:t>比例调配出凝固剂，点浆过程就是把凝固剂按需加入到熟豆浆中，使大豆蛋白质溶胶体变成凝胶。再经过一段时间的静止，使其凝固，结构组织才能稳固。经过煮浆工序产生的熟浆通过自动点浆凝固机，完成点浆工序，制出凝固的豆腐脑。</w:t>
            </w:r>
          </w:p>
          <w:p w14:paraId="579FF75E">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（2）浇注</w:t>
            </w:r>
          </w:p>
          <w:p w14:paraId="5110A4C0">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用白布套上自动浇注机，然后把豆腐脑勺舀起缸，打花搅碎均匀浇在浇注机的布上，把布四角折起，盖在豆腐花上，制成千张胚。</w:t>
            </w:r>
          </w:p>
          <w:p w14:paraId="6DF80958">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（2）压制摊晾</w:t>
            </w:r>
          </w:p>
          <w:p w14:paraId="1DE5D8F2">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将浇制好的千张移到千张压机，过滤出黄浆水，将盖皮四周揭开，用剥布机使薄千张与布松开，再将千张移至千张快速冷却机风干，得到千张成品。此工序产生黄浆水W</w:t>
            </w:r>
            <w:r>
              <w:rPr>
                <w:rFonts w:hint="eastAsia" w:ascii="Times New Roman" w:hAnsi="Times New Roman"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-1。</w:t>
            </w:r>
          </w:p>
          <w:p w14:paraId="3911A76D">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3</w:t>
            </w:r>
            <w:r>
              <w:rPr>
                <w:rFonts w:hint="eastAsia" w:ascii="Times New Roman" w:hAnsi="Times New Roman" w:eastAsia="宋体" w:cs="Times New Roman"/>
                <w:color w:val="auto"/>
                <w:kern w:val="2"/>
                <w:sz w:val="24"/>
                <w:szCs w:val="24"/>
                <w:lang w:val="en-US" w:eastAsia="zh-CN" w:bidi="ar-SA"/>
              </w:rPr>
              <w:t>）计量包装</w:t>
            </w:r>
          </w:p>
          <w:p w14:paraId="3640C9DB">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b/>
                <w:bCs/>
                <w:color w:val="auto"/>
                <w:sz w:val="24"/>
                <w:lang w:eastAsia="zh-CN"/>
              </w:rPr>
            </w:pPr>
            <w:r>
              <w:rPr>
                <w:rFonts w:hint="eastAsia" w:ascii="Times New Roman" w:hAnsi="Times New Roman" w:eastAsia="宋体" w:cs="Times New Roman"/>
                <w:color w:val="auto"/>
                <w:kern w:val="2"/>
                <w:sz w:val="24"/>
                <w:szCs w:val="24"/>
                <w:lang w:val="en-US" w:eastAsia="zh-CN" w:bidi="ar-SA"/>
              </w:rPr>
              <w:t>采用外购已杀菌消毒后的包材对上述千张和素鸡进行包装，包装完成后批量入库，转入成品库中冷藏保存待售。此工序产生不合格产品S</w:t>
            </w:r>
            <w:r>
              <w:rPr>
                <w:rFonts w:hint="eastAsia" w:ascii="Times New Roman" w:hAnsi="Times New Roman"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-1。</w:t>
            </w:r>
          </w:p>
          <w:p w14:paraId="55E6C3C7">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auto"/>
                <w:szCs w:val="21"/>
              </w:rPr>
            </w:pPr>
            <w:r>
              <w:rPr>
                <w:rFonts w:hint="eastAsia"/>
                <w:b/>
                <w:bCs/>
                <w:color w:val="auto"/>
                <w:sz w:val="24"/>
                <w:lang w:eastAsia="zh-CN"/>
              </w:rPr>
              <w:t>（三）豆干</w:t>
            </w:r>
            <w:r>
              <w:rPr>
                <w:rFonts w:hint="eastAsia"/>
                <w:b/>
                <w:bCs/>
                <w:color w:val="auto"/>
                <w:sz w:val="24"/>
              </w:rPr>
              <w:t>工艺流程及产污环节：</w:t>
            </w:r>
          </w:p>
          <w:p w14:paraId="28A964D4">
            <w:pPr>
              <w:spacing w:line="240" w:lineRule="auto"/>
              <w:jc w:val="center"/>
              <w:rPr>
                <w:rFonts w:hint="eastAsia" w:eastAsia="宋体"/>
                <w:color w:val="auto"/>
                <w:szCs w:val="21"/>
                <w:lang w:eastAsia="zh-CN"/>
              </w:rPr>
            </w:pPr>
            <w:r>
              <w:rPr>
                <w:color w:val="auto"/>
              </w:rPr>
              <w:drawing>
                <wp:inline distT="0" distB="0" distL="114300" distR="114300">
                  <wp:extent cx="3301365" cy="3194685"/>
                  <wp:effectExtent l="0" t="0" r="13335" b="571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rcRect l="4688" t="5202" r="4482" b="7629"/>
                          <a:stretch>
                            <a:fillRect/>
                          </a:stretch>
                        </pic:blipFill>
                        <pic:spPr>
                          <a:xfrm>
                            <a:off x="0" y="0"/>
                            <a:ext cx="3301365" cy="3194685"/>
                          </a:xfrm>
                          <a:prstGeom prst="rect">
                            <a:avLst/>
                          </a:prstGeom>
                          <a:noFill/>
                          <a:ln>
                            <a:noFill/>
                          </a:ln>
                        </pic:spPr>
                      </pic:pic>
                    </a:graphicData>
                  </a:graphic>
                </wp:inline>
              </w:drawing>
            </w:r>
          </w:p>
          <w:p w14:paraId="1625209B">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b/>
                <w:bCs/>
                <w:color w:val="auto"/>
                <w:sz w:val="21"/>
                <w:szCs w:val="21"/>
              </w:rPr>
            </w:pPr>
            <w:r>
              <w:rPr>
                <w:rFonts w:hint="eastAsia"/>
                <w:b/>
                <w:bCs/>
                <w:color w:val="auto"/>
                <w:sz w:val="21"/>
                <w:szCs w:val="21"/>
              </w:rPr>
              <w:t>图2-</w:t>
            </w:r>
            <w:r>
              <w:rPr>
                <w:rFonts w:hint="eastAsia"/>
                <w:b/>
                <w:bCs/>
                <w:color w:val="auto"/>
                <w:sz w:val="21"/>
                <w:szCs w:val="21"/>
                <w:lang w:val="en-US" w:eastAsia="zh-CN"/>
              </w:rPr>
              <w:t xml:space="preserve">5 </w:t>
            </w:r>
            <w:r>
              <w:rPr>
                <w:rFonts w:hint="eastAsia"/>
                <w:b/>
                <w:bCs/>
                <w:color w:val="auto"/>
                <w:sz w:val="21"/>
                <w:szCs w:val="21"/>
                <w:lang w:eastAsia="zh-CN"/>
              </w:rPr>
              <w:t>豆干</w:t>
            </w:r>
            <w:r>
              <w:rPr>
                <w:rFonts w:hint="eastAsia"/>
                <w:b/>
                <w:bCs/>
                <w:color w:val="auto"/>
                <w:sz w:val="21"/>
                <w:szCs w:val="21"/>
              </w:rPr>
              <w:t>工艺流程图及产污环节图</w:t>
            </w:r>
          </w:p>
          <w:p w14:paraId="49A050BE">
            <w:pPr>
              <w:pStyle w:val="40"/>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2"/>
              <w:rPr>
                <w:color w:val="auto"/>
                <w:sz w:val="24"/>
              </w:rPr>
            </w:pPr>
            <w:r>
              <w:rPr>
                <w:color w:val="auto"/>
                <w:sz w:val="24"/>
              </w:rPr>
              <w:t>工艺流程说明</w:t>
            </w:r>
            <w:r>
              <w:rPr>
                <w:rFonts w:hint="eastAsia"/>
                <w:color w:val="auto"/>
                <w:sz w:val="24"/>
              </w:rPr>
              <w:t>：</w:t>
            </w:r>
          </w:p>
          <w:p w14:paraId="6928C0E5">
            <w:pPr>
              <w:keepNext w:val="0"/>
              <w:keepLines w:val="0"/>
              <w:pageBreakBefore w:val="0"/>
              <w:widowControl w:val="0"/>
              <w:kinsoku/>
              <w:wordWrap/>
              <w:overflowPunct/>
              <w:topLinePunct w:val="0"/>
              <w:autoSpaceDE/>
              <w:autoSpaceDN/>
              <w:bidi w:val="0"/>
              <w:snapToGrid w:val="0"/>
              <w:spacing w:line="360" w:lineRule="auto"/>
              <w:ind w:firstLine="570"/>
              <w:textAlignment w:val="auto"/>
              <w:rPr>
                <w:rFonts w:hint="default" w:ascii="Times New Roman" w:hAnsi="Times New Roman" w:cs="Times New Roman"/>
                <w:color w:val="auto"/>
                <w:sz w:val="24"/>
              </w:rPr>
            </w:pPr>
            <w:r>
              <w:rPr>
                <w:rFonts w:hint="default" w:ascii="Times New Roman" w:hAnsi="Times New Roman" w:cs="Times New Roman"/>
                <w:color w:val="auto"/>
                <w:sz w:val="24"/>
              </w:rPr>
              <w:t>（1）点浆</w:t>
            </w:r>
          </w:p>
          <w:p w14:paraId="2E675FA3">
            <w:pPr>
              <w:keepNext w:val="0"/>
              <w:keepLines w:val="0"/>
              <w:pageBreakBefore w:val="0"/>
              <w:widowControl w:val="0"/>
              <w:kinsoku/>
              <w:wordWrap/>
              <w:overflowPunct/>
              <w:topLinePunct w:val="0"/>
              <w:autoSpaceDE/>
              <w:autoSpaceDN/>
              <w:bidi w:val="0"/>
              <w:snapToGrid w:val="0"/>
              <w:spacing w:line="360" w:lineRule="auto"/>
              <w:ind w:firstLine="570"/>
              <w:textAlignment w:val="auto"/>
              <w:rPr>
                <w:rFonts w:hint="default" w:ascii="Times New Roman" w:hAnsi="Times New Roman" w:cs="Times New Roman"/>
                <w:color w:val="auto"/>
                <w:sz w:val="24"/>
              </w:rPr>
            </w:pPr>
            <w:r>
              <w:rPr>
                <w:rFonts w:hint="default" w:ascii="Times New Roman" w:hAnsi="Times New Roman" w:cs="Times New Roman"/>
                <w:color w:val="auto"/>
                <w:sz w:val="24"/>
              </w:rPr>
              <w:t>点浆前先将石膏粉与水按2：5的比例调配出凝固剂，点浆过程就是把凝固剂按需加入到熟豆浆中，使大豆蛋白质溶胶体变成凝胶。再经过一段时间的静止，使其凝固，结构组织才能稳固。经过煮浆工序产生的熟浆通过自动点浆凝固机，完成点浆工序，制出凝固的豆腐脑。</w:t>
            </w:r>
          </w:p>
          <w:p w14:paraId="5157220E">
            <w:pPr>
              <w:keepNext w:val="0"/>
              <w:keepLines w:val="0"/>
              <w:pageBreakBefore w:val="0"/>
              <w:widowControl w:val="0"/>
              <w:kinsoku/>
              <w:wordWrap/>
              <w:overflowPunct/>
              <w:topLinePunct w:val="0"/>
              <w:autoSpaceDE/>
              <w:autoSpaceDN/>
              <w:bidi w:val="0"/>
              <w:snapToGrid w:val="0"/>
              <w:spacing w:line="360" w:lineRule="auto"/>
              <w:ind w:firstLine="570"/>
              <w:textAlignment w:val="auto"/>
              <w:rPr>
                <w:rFonts w:hint="default" w:ascii="Times New Roman" w:hAnsi="Times New Roman" w:cs="Times New Roman"/>
                <w:color w:val="auto"/>
                <w:sz w:val="24"/>
              </w:rPr>
            </w:pPr>
            <w:r>
              <w:rPr>
                <w:rFonts w:hint="default" w:ascii="Times New Roman" w:hAnsi="Times New Roman" w:cs="Times New Roman"/>
                <w:color w:val="auto"/>
                <w:sz w:val="24"/>
              </w:rPr>
              <w:t>（2）压制成型、分切</w:t>
            </w:r>
          </w:p>
          <w:p w14:paraId="168809FD">
            <w:pPr>
              <w:keepNext w:val="0"/>
              <w:keepLines w:val="0"/>
              <w:pageBreakBefore w:val="0"/>
              <w:widowControl w:val="0"/>
              <w:kinsoku/>
              <w:wordWrap/>
              <w:overflowPunct/>
              <w:topLinePunct w:val="0"/>
              <w:autoSpaceDE/>
              <w:autoSpaceDN/>
              <w:bidi w:val="0"/>
              <w:snapToGrid w:val="0"/>
              <w:spacing w:line="360" w:lineRule="auto"/>
              <w:ind w:firstLine="570"/>
              <w:textAlignment w:val="auto"/>
              <w:rPr>
                <w:rFonts w:hint="default" w:ascii="Times New Roman" w:hAnsi="Times New Roman" w:cs="Times New Roman"/>
                <w:color w:val="auto"/>
                <w:sz w:val="24"/>
              </w:rPr>
            </w:pPr>
            <w:r>
              <w:rPr>
                <w:rFonts w:hint="default" w:ascii="Times New Roman" w:hAnsi="Times New Roman" w:cs="Times New Roman"/>
                <w:color w:val="auto"/>
                <w:sz w:val="24"/>
              </w:rPr>
              <w:t>将点浆完毕的豆腐脑倒入豆干压机压制成型，使用自重压榨机对豆腐脑进行压制成型，将压制好的豆干白胚按不同的规格要求进行切分。压制成型工序产生黄浆水W4-1。</w:t>
            </w:r>
          </w:p>
          <w:p w14:paraId="403841F5">
            <w:pPr>
              <w:keepNext w:val="0"/>
              <w:keepLines w:val="0"/>
              <w:pageBreakBefore w:val="0"/>
              <w:widowControl w:val="0"/>
              <w:kinsoku/>
              <w:wordWrap/>
              <w:overflowPunct/>
              <w:topLinePunct w:val="0"/>
              <w:autoSpaceDE/>
              <w:autoSpaceDN/>
              <w:bidi w:val="0"/>
              <w:snapToGrid w:val="0"/>
              <w:spacing w:line="360" w:lineRule="auto"/>
              <w:ind w:firstLine="570"/>
              <w:textAlignment w:val="auto"/>
              <w:rPr>
                <w:rFonts w:hint="default" w:ascii="Times New Roman" w:hAnsi="Times New Roman" w:cs="Times New Roman"/>
                <w:color w:val="auto"/>
                <w:sz w:val="24"/>
              </w:rPr>
            </w:pPr>
            <w:r>
              <w:rPr>
                <w:rFonts w:hint="default" w:ascii="Times New Roman" w:hAnsi="Times New Roman" w:cs="Times New Roman"/>
                <w:color w:val="auto"/>
                <w:sz w:val="24"/>
              </w:rPr>
              <w:t>（3）计量包装</w:t>
            </w:r>
          </w:p>
          <w:p w14:paraId="57F2B6F2">
            <w:pPr>
              <w:keepNext w:val="0"/>
              <w:keepLines w:val="0"/>
              <w:pageBreakBefore w:val="0"/>
              <w:widowControl w:val="0"/>
              <w:kinsoku/>
              <w:wordWrap/>
              <w:overflowPunct/>
              <w:topLinePunct w:val="0"/>
              <w:autoSpaceDE/>
              <w:autoSpaceDN/>
              <w:bidi w:val="0"/>
              <w:snapToGrid w:val="0"/>
              <w:spacing w:line="360" w:lineRule="auto"/>
              <w:ind w:firstLine="570"/>
              <w:textAlignment w:val="auto"/>
              <w:rPr>
                <w:rFonts w:hint="default" w:ascii="Times New Roman" w:hAnsi="Times New Roman" w:cs="Times New Roman"/>
                <w:color w:val="auto"/>
                <w:sz w:val="24"/>
              </w:rPr>
            </w:pPr>
            <w:r>
              <w:rPr>
                <w:rFonts w:hint="default" w:ascii="Times New Roman" w:hAnsi="Times New Roman" w:cs="Times New Roman"/>
                <w:color w:val="auto"/>
                <w:sz w:val="24"/>
              </w:rPr>
              <w:t>采用外购已杀菌消毒后的包材对上述豆干进行包装，包装完成后批量入库，转入成品库中冷藏保存待售。此工序产生不合格产品S4-1。</w:t>
            </w:r>
          </w:p>
          <w:p w14:paraId="1B7CA305">
            <w:pPr>
              <w:spacing w:line="360" w:lineRule="auto"/>
              <w:jc w:val="both"/>
              <w:rPr>
                <w:b/>
                <w:bCs/>
                <w:color w:val="auto"/>
                <w:szCs w:val="21"/>
              </w:rPr>
            </w:pPr>
            <w:r>
              <w:rPr>
                <w:rFonts w:hint="eastAsia"/>
                <w:b/>
                <w:bCs/>
                <w:color w:val="auto"/>
                <w:sz w:val="24"/>
                <w:lang w:eastAsia="zh-CN"/>
              </w:rPr>
              <w:t>（四）内脂豆腐</w:t>
            </w:r>
            <w:r>
              <w:rPr>
                <w:rFonts w:hint="eastAsia"/>
                <w:b/>
                <w:bCs/>
                <w:color w:val="auto"/>
                <w:sz w:val="24"/>
              </w:rPr>
              <w:t>工艺流程及产污环节：</w:t>
            </w:r>
          </w:p>
          <w:p w14:paraId="237DC5B2">
            <w:pPr>
              <w:pStyle w:val="40"/>
              <w:spacing w:line="360" w:lineRule="auto"/>
              <w:ind w:firstLine="0" w:firstLineChars="0"/>
              <w:jc w:val="center"/>
              <w:outlineLvl w:val="2"/>
              <w:rPr>
                <w:rFonts w:hint="eastAsia" w:eastAsia="宋体"/>
                <w:color w:val="auto"/>
                <w:sz w:val="24"/>
                <w:lang w:eastAsia="zh-CN"/>
              </w:rPr>
            </w:pPr>
            <w:r>
              <w:rPr>
                <w:rFonts w:hint="eastAsia" w:eastAsia="宋体"/>
                <w:color w:val="auto"/>
                <w:sz w:val="24"/>
                <w:lang w:eastAsia="zh-CN"/>
              </w:rPr>
              <w:drawing>
                <wp:inline distT="0" distB="0" distL="114300" distR="114300">
                  <wp:extent cx="3668395" cy="3429635"/>
                  <wp:effectExtent l="0" t="0" r="0" b="0"/>
                  <wp:docPr id="20" name="图片 2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4"/>
                          <pic:cNvPicPr>
                            <a:picLocks noChangeAspect="1"/>
                          </pic:cNvPicPr>
                        </pic:nvPicPr>
                        <pic:blipFill>
                          <a:blip r:embed="rId14"/>
                          <a:stretch>
                            <a:fillRect/>
                          </a:stretch>
                        </pic:blipFill>
                        <pic:spPr>
                          <a:xfrm>
                            <a:off x="0" y="0"/>
                            <a:ext cx="3668395" cy="3429635"/>
                          </a:xfrm>
                          <a:prstGeom prst="rect">
                            <a:avLst/>
                          </a:prstGeom>
                        </pic:spPr>
                      </pic:pic>
                    </a:graphicData>
                  </a:graphic>
                </wp:inline>
              </w:drawing>
            </w:r>
          </w:p>
          <w:p w14:paraId="79DBD407">
            <w:pPr>
              <w:spacing w:line="360" w:lineRule="auto"/>
              <w:jc w:val="center"/>
              <w:rPr>
                <w:rFonts w:hint="eastAsia"/>
                <w:b/>
                <w:bCs/>
                <w:color w:val="auto"/>
                <w:sz w:val="21"/>
                <w:szCs w:val="21"/>
              </w:rPr>
            </w:pPr>
            <w:r>
              <w:rPr>
                <w:rFonts w:hint="eastAsia"/>
                <w:b/>
                <w:bCs/>
                <w:color w:val="auto"/>
                <w:sz w:val="21"/>
                <w:szCs w:val="21"/>
              </w:rPr>
              <w:t>图2-</w:t>
            </w:r>
            <w:r>
              <w:rPr>
                <w:rFonts w:hint="eastAsia"/>
                <w:b/>
                <w:bCs/>
                <w:color w:val="auto"/>
                <w:sz w:val="21"/>
                <w:szCs w:val="21"/>
                <w:lang w:val="en-US" w:eastAsia="zh-CN"/>
              </w:rPr>
              <w:t>6 内脂豆腐</w:t>
            </w:r>
            <w:r>
              <w:rPr>
                <w:rFonts w:hint="eastAsia"/>
                <w:b/>
                <w:bCs/>
                <w:color w:val="auto"/>
                <w:sz w:val="21"/>
                <w:szCs w:val="21"/>
              </w:rPr>
              <w:t>工艺流程图及产污环节图</w:t>
            </w:r>
          </w:p>
          <w:p w14:paraId="70B79B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sz w:val="24"/>
              </w:rPr>
            </w:pPr>
            <w:r>
              <w:rPr>
                <w:rFonts w:hint="eastAsia"/>
                <w:color w:val="auto"/>
                <w:sz w:val="24"/>
              </w:rPr>
              <w:t>工艺流程说明：</w:t>
            </w:r>
          </w:p>
          <w:p w14:paraId="3BDF7253">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（1）点浆</w:t>
            </w:r>
          </w:p>
          <w:p w14:paraId="39D402A5">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点浆是豆制品生产中的关键工序，板式豆腐点浆前先将石膏粉与水按1：5的比例调配出凝固剂，点浆过程就是把凝固剂按需加入到熟豆浆中，使大豆蛋白质溶胶体变成凝胶。再经过一段时间的静止，使其凝固，结构组织才能稳固。经过煮浆工序产生的熟浆通过自动点浆凝固机，完成点浆工序，制出凝固的豆腐脑。内酯豆腐在点浆工序中凝固剂为内酯与水按1：5的比例调配。</w:t>
            </w:r>
          </w:p>
          <w:p w14:paraId="7A159C7A">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（2）压制成型、切块</w:t>
            </w:r>
          </w:p>
          <w:p w14:paraId="0BB1233E">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将点浆完毕的豆腐脑倒入豆腐屉中，使用自重压榨机对豆腐脑进行压制成型，压制成型好的豆腐切块后即得到板式豆腐。压制成型工序产生黄浆水W2-1和噪声N。</w:t>
            </w:r>
          </w:p>
          <w:p w14:paraId="64EB92D9">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（3）搅拌冷却</w:t>
            </w:r>
          </w:p>
          <w:p w14:paraId="3C682CA6">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内酯豆腐生产过程中，点浆工序后需搅拌均匀，冷却至常温后即得到成品。</w:t>
            </w:r>
          </w:p>
          <w:p w14:paraId="76497B09">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（4）计量包装</w:t>
            </w:r>
          </w:p>
          <w:p w14:paraId="7B04DDBF">
            <w:pPr>
              <w:pStyle w:val="59"/>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kern w:val="2"/>
                <w:sz w:val="24"/>
                <w:szCs w:val="24"/>
                <w:lang w:val="en-US" w:eastAsia="zh-CN" w:bidi="ar-SA"/>
              </w:rPr>
              <w:t>采用外购已杀菌消毒后的包材对上述豆腐进行包装，包装完成后批量入库，转入成品库中冷藏保存待售。此工序产生不合格产品S2-1。</w:t>
            </w:r>
          </w:p>
        </w:tc>
      </w:tr>
      <w:tr w14:paraId="6BAE1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567" w:type="dxa"/>
            <w:vAlign w:val="center"/>
          </w:tcPr>
          <w:p w14:paraId="3F986B56">
            <w:pPr>
              <w:pStyle w:val="25"/>
              <w:adjustRightInd w:val="0"/>
              <w:snapToGrid w:val="0"/>
              <w:spacing w:before="0" w:beforeAutospacing="0" w:after="0" w:afterAutospacing="0"/>
              <w:jc w:val="center"/>
              <w:rPr>
                <w:rFonts w:ascii="Times New Roman" w:hAnsi="Times New Roman"/>
                <w:color w:val="auto"/>
                <w:kern w:val="21"/>
                <w:sz w:val="21"/>
                <w:szCs w:val="21"/>
              </w:rPr>
            </w:pPr>
            <w:r>
              <w:rPr>
                <w:rFonts w:ascii="Times New Roman" w:hAnsi="Times New Roman"/>
                <w:b/>
                <w:color w:val="auto"/>
                <w:kern w:val="21"/>
                <w:szCs w:val="24"/>
              </w:rPr>
              <w:t>与项目有关的原有环境污染问题</w:t>
            </w:r>
          </w:p>
        </w:tc>
        <w:tc>
          <w:tcPr>
            <w:tcW w:w="8493" w:type="dxa"/>
            <w:vAlign w:val="center"/>
          </w:tcPr>
          <w:p w14:paraId="7B756AD1">
            <w:pPr>
              <w:keepNext w:val="0"/>
              <w:keepLines w:val="0"/>
              <w:pageBreakBefore w:val="0"/>
              <w:widowControl/>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bCs/>
                <w:color w:val="auto"/>
                <w:sz w:val="24"/>
              </w:rPr>
            </w:pPr>
            <w:r>
              <w:rPr>
                <w:rFonts w:hint="eastAsia"/>
                <w:bCs/>
                <w:color w:val="auto"/>
                <w:sz w:val="24"/>
                <w:lang w:eastAsia="en-US"/>
              </w:rPr>
              <w:t>安徽田福农业科技有限公司</w:t>
            </w:r>
            <w:r>
              <w:rPr>
                <w:rFonts w:hint="eastAsia"/>
                <w:bCs/>
                <w:color w:val="auto"/>
                <w:sz w:val="24"/>
              </w:rPr>
              <w:t>成立于2023年6月14日，主要从事于</w:t>
            </w:r>
            <w:r>
              <w:rPr>
                <w:rFonts w:hint="eastAsia"/>
                <w:bCs/>
                <w:color w:val="auto"/>
                <w:sz w:val="24"/>
                <w:lang w:eastAsia="en-US"/>
              </w:rPr>
              <w:t>农作物秸秆处理及加工利用服务</w:t>
            </w:r>
            <w:r>
              <w:rPr>
                <w:rFonts w:hint="eastAsia"/>
                <w:bCs/>
                <w:color w:val="auto"/>
                <w:sz w:val="24"/>
              </w:rPr>
              <w:t>、</w:t>
            </w:r>
            <w:r>
              <w:rPr>
                <w:rFonts w:hint="eastAsia"/>
                <w:bCs/>
                <w:color w:val="auto"/>
                <w:sz w:val="24"/>
                <w:lang w:eastAsia="en-US"/>
              </w:rPr>
              <w:t>农林牧渔业废弃物综合利用</w:t>
            </w:r>
            <w:r>
              <w:rPr>
                <w:rFonts w:hint="eastAsia"/>
                <w:bCs/>
                <w:color w:val="auto"/>
                <w:sz w:val="24"/>
              </w:rPr>
              <w:t>、</w:t>
            </w:r>
            <w:r>
              <w:rPr>
                <w:rFonts w:hint="eastAsia"/>
                <w:bCs/>
                <w:color w:val="auto"/>
                <w:sz w:val="24"/>
                <w:lang w:eastAsia="en-US"/>
              </w:rPr>
              <w:t>农林废物资源化无害化利用技术研发</w:t>
            </w:r>
            <w:r>
              <w:rPr>
                <w:rFonts w:hint="eastAsia"/>
                <w:bCs/>
                <w:color w:val="auto"/>
                <w:sz w:val="24"/>
              </w:rPr>
              <w:t>等，2023年</w:t>
            </w:r>
            <w:r>
              <w:rPr>
                <w:rFonts w:hint="eastAsia"/>
                <w:bCs/>
                <w:color w:val="auto"/>
                <w:sz w:val="24"/>
                <w:lang w:val="en-US" w:eastAsia="zh-CN"/>
              </w:rPr>
              <w:t>底</w:t>
            </w:r>
            <w:r>
              <w:rPr>
                <w:rFonts w:hint="eastAsia"/>
                <w:bCs/>
                <w:color w:val="auto"/>
                <w:sz w:val="24"/>
                <w:lang w:eastAsia="en-US"/>
              </w:rPr>
              <w:t>安徽田福农业科技有限公司</w:t>
            </w:r>
            <w:r>
              <w:rPr>
                <w:rFonts w:hint="eastAsia"/>
                <w:bCs/>
                <w:color w:val="auto"/>
                <w:sz w:val="24"/>
                <w:lang w:val="en-US" w:eastAsia="zh-CN"/>
              </w:rPr>
              <w:t>计划</w:t>
            </w:r>
            <w:r>
              <w:rPr>
                <w:rFonts w:hint="eastAsia"/>
                <w:bCs/>
                <w:color w:val="auto"/>
                <w:sz w:val="24"/>
              </w:rPr>
              <w:t>在架河循环产业园投资建设</w:t>
            </w:r>
            <w:r>
              <w:rPr>
                <w:rFonts w:hint="eastAsia"/>
                <w:bCs/>
                <w:color w:val="auto"/>
                <w:sz w:val="24"/>
                <w:lang w:val="en-US" w:eastAsia="zh-CN"/>
              </w:rPr>
              <w:t>了</w:t>
            </w:r>
            <w:r>
              <w:rPr>
                <w:rFonts w:hint="eastAsia"/>
                <w:bCs/>
                <w:color w:val="auto"/>
                <w:sz w:val="24"/>
              </w:rPr>
              <w:t>秸秆粪便资源化利用</w:t>
            </w:r>
            <w:r>
              <w:rPr>
                <w:rFonts w:hint="eastAsia"/>
                <w:bCs/>
                <w:color w:val="auto"/>
                <w:sz w:val="24"/>
                <w:lang w:eastAsia="zh-CN"/>
              </w:rPr>
              <w:t>（</w:t>
            </w:r>
            <w:r>
              <w:rPr>
                <w:rFonts w:hint="eastAsia"/>
                <w:bCs/>
                <w:color w:val="auto"/>
                <w:sz w:val="24"/>
                <w:lang w:val="en-US" w:eastAsia="zh-CN"/>
              </w:rPr>
              <w:t>一期</w:t>
            </w:r>
            <w:r>
              <w:rPr>
                <w:rFonts w:hint="eastAsia"/>
                <w:bCs/>
                <w:color w:val="auto"/>
                <w:sz w:val="24"/>
                <w:lang w:eastAsia="zh-CN"/>
              </w:rPr>
              <w:t>）</w:t>
            </w:r>
            <w:r>
              <w:rPr>
                <w:rFonts w:hint="eastAsia"/>
                <w:bCs/>
                <w:color w:val="auto"/>
                <w:sz w:val="24"/>
              </w:rPr>
              <w:t>项目，</w:t>
            </w:r>
            <w:r>
              <w:rPr>
                <w:rFonts w:hint="eastAsia"/>
                <w:bCs/>
                <w:color w:val="auto"/>
                <w:sz w:val="24"/>
                <w:lang w:val="en-US" w:eastAsia="zh-CN"/>
              </w:rPr>
              <w:t>该项目已于2024年3月6日经淮南市潘集区生态环境分局已于环评批复（审批文号：潘环审复〔2024〕5号），该项目主要建设内容为：</w:t>
            </w:r>
            <w:r>
              <w:rPr>
                <w:rFonts w:hint="eastAsia"/>
                <w:bCs/>
                <w:color w:val="auto"/>
                <w:sz w:val="24"/>
              </w:rPr>
              <w:t>建设3000立方米厌氧发酵罐2座（含2座1000立方米的贮气柜），20000立方米黑膜沼气池1座，8000立方米的好氧塘、500千瓦沼气发电机和200平方米的发电机房及沼气净化系统等，年产沼气219万方，年发电372万度</w:t>
            </w:r>
            <w:r>
              <w:rPr>
                <w:rFonts w:hint="eastAsia"/>
                <w:bCs/>
                <w:color w:val="auto"/>
                <w:sz w:val="24"/>
                <w:lang w:eastAsia="zh-CN"/>
              </w:rPr>
              <w:t>；</w:t>
            </w:r>
            <w:r>
              <w:rPr>
                <w:rFonts w:hint="eastAsia"/>
                <w:bCs/>
                <w:color w:val="auto"/>
                <w:sz w:val="24"/>
                <w:lang w:val="en-US" w:eastAsia="zh-CN"/>
              </w:rPr>
              <w:t>2025年3月该项目开展了阶段性竣工环境保护验收，2025年5月建设单位编制了《</w:t>
            </w:r>
            <w:r>
              <w:rPr>
                <w:rFonts w:hint="eastAsia"/>
                <w:bCs/>
                <w:color w:val="auto"/>
                <w:sz w:val="24"/>
                <w:lang w:eastAsia="en-US"/>
              </w:rPr>
              <w:t>安徽田福农业科技有限公司</w:t>
            </w:r>
            <w:r>
              <w:rPr>
                <w:rFonts w:hint="eastAsia"/>
                <w:bCs/>
                <w:color w:val="auto"/>
                <w:sz w:val="24"/>
                <w:lang w:val="en-US" w:eastAsia="zh-CN"/>
              </w:rPr>
              <w:t>突发环境事件应急预案》上报潘集区生态环境分局进行备案（备案编号：340406-2025-005-M），目前该项目处于正常生产经营状态。</w:t>
            </w:r>
          </w:p>
          <w:p w14:paraId="187FFDEF">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auto"/>
              <w:ind w:firstLine="482" w:firstLineChars="200"/>
              <w:textAlignment w:val="auto"/>
              <w:rPr>
                <w:rFonts w:hint="eastAsia" w:cs="Times New Roman"/>
                <w:b/>
                <w:bCs/>
                <w:color w:val="auto"/>
                <w:sz w:val="24"/>
                <w:szCs w:val="24"/>
                <w:lang w:val="en-US" w:eastAsia="zh-CN"/>
              </w:rPr>
            </w:pPr>
            <w:r>
              <w:rPr>
                <w:rFonts w:hint="eastAsia" w:cs="Times New Roman"/>
                <w:b/>
                <w:bCs/>
                <w:color w:val="auto"/>
                <w:sz w:val="24"/>
                <w:szCs w:val="24"/>
                <w:lang w:val="en-US" w:eastAsia="zh-CN"/>
              </w:rPr>
              <w:t>现有工程建设情况</w:t>
            </w:r>
          </w:p>
          <w:p w14:paraId="60C5F21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根据《架河循环产业园秸秆粪便资源化利用（一期）项目环境影响报告表》和《架河循环产业园秸秆粪便资源化利用（一期）项目竣工环境保护验收监测报告表（阶段性）》，结合现场实际勘察情况，现有项目实际建设情况如下：</w:t>
            </w:r>
          </w:p>
          <w:p w14:paraId="58DDF4A9">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表2-7</w:t>
            </w:r>
            <w:r>
              <w:rPr>
                <w:rFonts w:hint="eastAsia"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lang w:val="en-US" w:eastAsia="zh-CN"/>
              </w:rPr>
              <w:t>项目建设内容一览表</w:t>
            </w:r>
          </w:p>
          <w:tbl>
            <w:tblPr>
              <w:tblStyle w:val="29"/>
              <w:tblW w:w="49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25"/>
              <w:gridCol w:w="879"/>
              <w:gridCol w:w="3093"/>
              <w:gridCol w:w="2765"/>
              <w:gridCol w:w="821"/>
            </w:tblGrid>
            <w:tr w14:paraId="635EC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tcBorders>
                    <w:right w:val="single" w:color="auto" w:sz="4" w:space="0"/>
                  </w:tcBorders>
                  <w:vAlign w:val="center"/>
                </w:tcPr>
                <w:p w14:paraId="508837B7">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工程类别</w:t>
                  </w:r>
                </w:p>
              </w:tc>
              <w:tc>
                <w:tcPr>
                  <w:tcW w:w="530" w:type="pct"/>
                  <w:tcBorders>
                    <w:left w:val="single" w:color="auto" w:sz="4" w:space="0"/>
                  </w:tcBorders>
                  <w:vAlign w:val="center"/>
                </w:tcPr>
                <w:p w14:paraId="0C81B428">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工程名称</w:t>
                  </w:r>
                </w:p>
              </w:tc>
              <w:tc>
                <w:tcPr>
                  <w:tcW w:w="1866" w:type="pct"/>
                  <w:vAlign w:val="center"/>
                </w:tcPr>
                <w:p w14:paraId="1FBD5CED">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lang w:val="en-US" w:eastAsia="zh-CN"/>
                    </w:rPr>
                    <w:t>环境影响报告表</w:t>
                  </w:r>
                  <w:r>
                    <w:rPr>
                      <w:rFonts w:hint="default" w:ascii="Times New Roman" w:hAnsi="Times New Roman" w:eastAsia="宋体" w:cs="Times New Roman"/>
                      <w:b/>
                      <w:bCs/>
                      <w:color w:val="auto"/>
                      <w:sz w:val="21"/>
                      <w:szCs w:val="21"/>
                    </w:rPr>
                    <w:t>建设内容</w:t>
                  </w:r>
                </w:p>
              </w:tc>
              <w:tc>
                <w:tcPr>
                  <w:tcW w:w="1668" w:type="pct"/>
                  <w:vAlign w:val="center"/>
                </w:tcPr>
                <w:p w14:paraId="207AC5C8">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实际建设情况</w:t>
                  </w:r>
                </w:p>
              </w:tc>
              <w:tc>
                <w:tcPr>
                  <w:tcW w:w="495" w:type="pct"/>
                  <w:vAlign w:val="center"/>
                </w:tcPr>
                <w:p w14:paraId="20860C8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备注</w:t>
                  </w:r>
                </w:p>
              </w:tc>
            </w:tr>
            <w:tr w14:paraId="1A885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restart"/>
                  <w:vAlign w:val="center"/>
                </w:tcPr>
                <w:p w14:paraId="5BC1AC0F">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主体</w:t>
                  </w:r>
                </w:p>
                <w:p w14:paraId="0ED2DEA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工程</w:t>
                  </w:r>
                </w:p>
              </w:tc>
              <w:tc>
                <w:tcPr>
                  <w:tcW w:w="530" w:type="pct"/>
                  <w:tcBorders>
                    <w:bottom w:val="single" w:color="000000" w:sz="8" w:space="0"/>
                  </w:tcBorders>
                  <w:vAlign w:val="center"/>
                </w:tcPr>
                <w:p w14:paraId="26A39218">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预处理池</w:t>
                  </w:r>
                </w:p>
              </w:tc>
              <w:tc>
                <w:tcPr>
                  <w:tcW w:w="1866" w:type="pct"/>
                  <w:tcBorders>
                    <w:bottom w:val="single" w:color="000000" w:sz="8" w:space="0"/>
                  </w:tcBorders>
                  <w:vAlign w:val="center"/>
                </w:tcPr>
                <w:p w14:paraId="348B5D53">
                  <w:pPr>
                    <w:pStyle w:val="35"/>
                    <w:numPr>
                      <w:ilvl w:val="1"/>
                      <w:numId w:val="0"/>
                    </w:numPr>
                    <w:adjustRightInd w:val="0"/>
                    <w:snapToGrid w:val="0"/>
                    <w:spacing w:before="60" w:after="6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ascii="Times New Roman" w:hAnsi="Times New Roman"/>
                      <w:b w:val="0"/>
                      <w:bCs w:val="0"/>
                      <w:color w:val="auto"/>
                      <w:sz w:val="21"/>
                      <w:szCs w:val="21"/>
                    </w:rPr>
                    <w:t>预处理</w:t>
                  </w:r>
                  <w:r>
                    <w:rPr>
                      <w:rFonts w:hint="eastAsia" w:ascii="Times New Roman" w:hAnsi="Times New Roman"/>
                      <w:b w:val="0"/>
                      <w:bCs w:val="0"/>
                      <w:color w:val="auto"/>
                      <w:sz w:val="21"/>
                      <w:szCs w:val="21"/>
                    </w:rPr>
                    <w:t>池</w:t>
                  </w:r>
                  <w:r>
                    <w:rPr>
                      <w:rFonts w:ascii="Times New Roman" w:hAnsi="Times New Roman"/>
                      <w:b w:val="0"/>
                      <w:bCs w:val="0"/>
                      <w:color w:val="auto"/>
                      <w:sz w:val="21"/>
                      <w:szCs w:val="21"/>
                    </w:rPr>
                    <w:t>位于发酵罐西侧，建设容积为160m</w:t>
                  </w:r>
                  <w:r>
                    <w:rPr>
                      <w:rFonts w:ascii="Times New Roman" w:hAnsi="Times New Roman"/>
                      <w:b w:val="0"/>
                      <w:bCs w:val="0"/>
                      <w:color w:val="auto"/>
                      <w:sz w:val="21"/>
                      <w:szCs w:val="21"/>
                      <w:vertAlign w:val="superscript"/>
                    </w:rPr>
                    <w:t>3</w:t>
                  </w:r>
                  <w:r>
                    <w:rPr>
                      <w:rFonts w:hint="eastAsia" w:ascii="Times New Roman" w:hAnsi="Times New Roman"/>
                      <w:b w:val="0"/>
                      <w:bCs w:val="0"/>
                      <w:color w:val="auto"/>
                      <w:sz w:val="21"/>
                      <w:szCs w:val="21"/>
                    </w:rPr>
                    <w:t>的</w:t>
                  </w:r>
                  <w:r>
                    <w:rPr>
                      <w:rFonts w:ascii="Times New Roman" w:hAnsi="Times New Roman"/>
                      <w:b w:val="0"/>
                      <w:bCs w:val="0"/>
                      <w:color w:val="auto"/>
                      <w:sz w:val="21"/>
                      <w:szCs w:val="21"/>
                    </w:rPr>
                    <w:t>预处理池（2座，80m</w:t>
                  </w:r>
                  <w:r>
                    <w:rPr>
                      <w:rFonts w:ascii="Times New Roman" w:hAnsi="Times New Roman"/>
                      <w:b w:val="0"/>
                      <w:bCs w:val="0"/>
                      <w:color w:val="auto"/>
                      <w:sz w:val="21"/>
                      <w:szCs w:val="21"/>
                      <w:vertAlign w:val="superscript"/>
                    </w:rPr>
                    <w:t>3</w:t>
                  </w:r>
                  <w:r>
                    <w:rPr>
                      <w:rFonts w:ascii="Times New Roman" w:hAnsi="Times New Roman"/>
                      <w:b w:val="0"/>
                      <w:bCs w:val="0"/>
                      <w:color w:val="auto"/>
                      <w:sz w:val="21"/>
                      <w:szCs w:val="21"/>
                    </w:rPr>
                    <w:t>/座）</w:t>
                  </w:r>
                  <w:r>
                    <w:rPr>
                      <w:rFonts w:hint="eastAsia" w:ascii="Times New Roman" w:hAnsi="Times New Roman"/>
                      <w:b w:val="0"/>
                      <w:bCs w:val="0"/>
                      <w:color w:val="auto"/>
                      <w:sz w:val="21"/>
                      <w:szCs w:val="21"/>
                    </w:rPr>
                    <w:t>，收集的畜禽粪便和粉碎后的秸秆在预处理池内混合，池内安装搅拌器，通过搅拌使之均匀</w:t>
                  </w:r>
                </w:p>
              </w:tc>
              <w:tc>
                <w:tcPr>
                  <w:tcW w:w="1668" w:type="pct"/>
                  <w:tcBorders>
                    <w:bottom w:val="single" w:color="000000" w:sz="8" w:space="0"/>
                  </w:tcBorders>
                  <w:vAlign w:val="center"/>
                </w:tcPr>
                <w:p w14:paraId="11FE0360">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实际建设2座预处理池，容积为</w:t>
                  </w:r>
                  <w:r>
                    <w:rPr>
                      <w:rFonts w:hint="default" w:ascii="Times New Roman" w:hAnsi="Times New Roman" w:eastAsia="宋体" w:cs="Times New Roman"/>
                      <w:color w:val="auto"/>
                      <w:sz w:val="21"/>
                      <w:szCs w:val="21"/>
                    </w:rPr>
                    <w:t>160m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eastAsia="zh-CN"/>
                    </w:rPr>
                    <w:t>。</w:t>
                  </w:r>
                </w:p>
              </w:tc>
              <w:tc>
                <w:tcPr>
                  <w:tcW w:w="495" w:type="pct"/>
                  <w:tcBorders>
                    <w:bottom w:val="single" w:color="000000" w:sz="8" w:space="0"/>
                  </w:tcBorders>
                  <w:vAlign w:val="center"/>
                </w:tcPr>
                <w:p w14:paraId="66107764">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72A21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095C1F07">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top w:val="single" w:color="000000" w:sz="8" w:space="0"/>
                    <w:bottom w:val="single" w:color="000000" w:sz="8" w:space="0"/>
                  </w:tcBorders>
                  <w:vAlign w:val="center"/>
                </w:tcPr>
                <w:p w14:paraId="0CE8D902">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厌氧发酵区</w:t>
                  </w:r>
                </w:p>
              </w:tc>
              <w:tc>
                <w:tcPr>
                  <w:tcW w:w="1866" w:type="pct"/>
                  <w:tcBorders>
                    <w:top w:val="single" w:color="000000" w:sz="8" w:space="0"/>
                    <w:bottom w:val="single" w:color="000000" w:sz="8" w:space="0"/>
                  </w:tcBorders>
                  <w:vAlign w:val="center"/>
                </w:tcPr>
                <w:p w14:paraId="57FDEA31">
                  <w:pPr>
                    <w:pStyle w:val="35"/>
                    <w:numPr>
                      <w:ilvl w:val="1"/>
                      <w:numId w:val="0"/>
                    </w:numPr>
                    <w:adjustRightInd w:val="0"/>
                    <w:snapToGrid w:val="0"/>
                    <w:spacing w:before="60" w:after="6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ascii="Times New Roman" w:hAnsi="Times New Roman"/>
                      <w:b w:val="0"/>
                      <w:bCs w:val="0"/>
                      <w:color w:val="auto"/>
                      <w:sz w:val="21"/>
                      <w:szCs w:val="21"/>
                    </w:rPr>
                    <w:t>位于厂区中部</w:t>
                  </w:r>
                  <w:r>
                    <w:rPr>
                      <w:rFonts w:hint="eastAsia" w:ascii="Times New Roman" w:hAnsi="Times New Roman"/>
                      <w:b w:val="0"/>
                      <w:bCs w:val="0"/>
                      <w:color w:val="auto"/>
                      <w:sz w:val="21"/>
                      <w:szCs w:val="21"/>
                    </w:rPr>
                    <w:t>南侧</w:t>
                  </w:r>
                  <w:r>
                    <w:rPr>
                      <w:rFonts w:ascii="Times New Roman" w:hAnsi="Times New Roman"/>
                      <w:b w:val="0"/>
                      <w:bCs w:val="0"/>
                      <w:color w:val="auto"/>
                      <w:sz w:val="21"/>
                      <w:szCs w:val="21"/>
                    </w:rPr>
                    <w:t>，建设2座容积为3000m</w:t>
                  </w:r>
                  <w:r>
                    <w:rPr>
                      <w:rFonts w:ascii="Times New Roman" w:hAnsi="Times New Roman"/>
                      <w:b w:val="0"/>
                      <w:bCs w:val="0"/>
                      <w:color w:val="auto"/>
                      <w:sz w:val="21"/>
                      <w:szCs w:val="21"/>
                      <w:vertAlign w:val="superscript"/>
                    </w:rPr>
                    <w:t>3</w:t>
                  </w:r>
                  <w:r>
                    <w:rPr>
                      <w:rFonts w:ascii="Times New Roman" w:hAnsi="Times New Roman"/>
                      <w:b w:val="0"/>
                      <w:bCs w:val="0"/>
                      <w:color w:val="auto"/>
                      <w:sz w:val="21"/>
                      <w:szCs w:val="21"/>
                    </w:rPr>
                    <w:t>厌氧发酵罐（CSTR），规格</w:t>
                  </w:r>
                  <w:r>
                    <w:rPr>
                      <w:rFonts w:hint="eastAsia" w:ascii="Times New Roman" w:hAnsi="Times New Roman"/>
                      <w:b w:val="0"/>
                      <w:bCs w:val="0"/>
                      <w:color w:val="auto"/>
                      <w:sz w:val="21"/>
                      <w:szCs w:val="21"/>
                    </w:rPr>
                    <w:t>内径</w:t>
                  </w:r>
                  <w:r>
                    <w:rPr>
                      <w:rFonts w:ascii="Times New Roman" w:hAnsi="Times New Roman"/>
                      <w:b w:val="0"/>
                      <w:bCs w:val="0"/>
                      <w:color w:val="auto"/>
                      <w:sz w:val="21"/>
                      <w:szCs w:val="21"/>
                    </w:rPr>
                    <w:t>18</w:t>
                  </w:r>
                  <w:r>
                    <w:rPr>
                      <w:rFonts w:hint="eastAsia" w:ascii="Times New Roman" w:hAnsi="Times New Roman"/>
                      <w:b w:val="0"/>
                      <w:bCs w:val="0"/>
                      <w:color w:val="auto"/>
                      <w:sz w:val="21"/>
                      <w:szCs w:val="21"/>
                    </w:rPr>
                    <w:t>m</w:t>
                  </w:r>
                  <w:r>
                    <w:rPr>
                      <w:rFonts w:ascii="Times New Roman" w:hAnsi="Times New Roman"/>
                      <w:b w:val="0"/>
                      <w:bCs w:val="0"/>
                      <w:color w:val="auto"/>
                      <w:sz w:val="21"/>
                      <w:szCs w:val="21"/>
                    </w:rPr>
                    <w:t>×</w:t>
                  </w:r>
                  <w:r>
                    <w:rPr>
                      <w:rFonts w:hint="eastAsia" w:ascii="Times New Roman" w:hAnsi="Times New Roman"/>
                      <w:b w:val="0"/>
                      <w:bCs w:val="0"/>
                      <w:color w:val="auto"/>
                      <w:sz w:val="21"/>
                      <w:szCs w:val="21"/>
                    </w:rPr>
                    <w:t>高度</w:t>
                  </w:r>
                  <w:r>
                    <w:rPr>
                      <w:rFonts w:ascii="Times New Roman" w:hAnsi="Times New Roman"/>
                      <w:b w:val="0"/>
                      <w:bCs w:val="0"/>
                      <w:color w:val="auto"/>
                      <w:sz w:val="21"/>
                      <w:szCs w:val="21"/>
                    </w:rPr>
                    <w:t>12m，</w:t>
                  </w:r>
                  <w:r>
                    <w:rPr>
                      <w:rFonts w:hint="eastAsia" w:ascii="Times New Roman" w:hAnsi="Times New Roman"/>
                      <w:b w:val="0"/>
                      <w:bCs w:val="0"/>
                      <w:color w:val="auto"/>
                      <w:sz w:val="21"/>
                      <w:szCs w:val="21"/>
                    </w:rPr>
                    <w:t>材质316不锈钢材质，采用二</w:t>
                  </w:r>
                  <w:r>
                    <w:rPr>
                      <w:rFonts w:hint="eastAsia" w:ascii="Times New Roman" w:hAnsi="Times New Roman"/>
                      <w:b w:val="0"/>
                      <w:bCs w:val="0"/>
                      <w:color w:val="auto"/>
                      <w:sz w:val="21"/>
                      <w:szCs w:val="21"/>
                      <w:lang w:eastAsia="zh-CN"/>
                    </w:rPr>
                    <w:t>级</w:t>
                  </w:r>
                  <w:r>
                    <w:rPr>
                      <w:rFonts w:hint="eastAsia" w:ascii="Times New Roman" w:hAnsi="Times New Roman"/>
                      <w:b w:val="0"/>
                      <w:bCs w:val="0"/>
                      <w:color w:val="auto"/>
                      <w:sz w:val="21"/>
                      <w:szCs w:val="21"/>
                    </w:rPr>
                    <w:t>厌氧发酵处理，每座厌氧发酵罐上端设置1座贮气柜，单座贮气柜容量为1000</w:t>
                  </w:r>
                  <w:r>
                    <w:rPr>
                      <w:rFonts w:ascii="Times New Roman" w:hAnsi="Times New Roman"/>
                      <w:b w:val="0"/>
                      <w:bCs w:val="0"/>
                      <w:color w:val="auto"/>
                      <w:sz w:val="21"/>
                      <w:szCs w:val="21"/>
                    </w:rPr>
                    <w:t>m</w:t>
                  </w:r>
                  <w:r>
                    <w:rPr>
                      <w:rFonts w:ascii="Times New Roman" w:hAnsi="Times New Roman"/>
                      <w:b w:val="0"/>
                      <w:bCs w:val="0"/>
                      <w:color w:val="auto"/>
                      <w:sz w:val="21"/>
                      <w:szCs w:val="21"/>
                      <w:vertAlign w:val="superscript"/>
                    </w:rPr>
                    <w:t>3</w:t>
                  </w:r>
                  <w:r>
                    <w:rPr>
                      <w:rFonts w:hint="eastAsia" w:ascii="Times New Roman" w:hAnsi="Times New Roman"/>
                      <w:b w:val="0"/>
                      <w:bCs w:val="0"/>
                      <w:color w:val="auto"/>
                      <w:sz w:val="21"/>
                      <w:szCs w:val="21"/>
                    </w:rPr>
                    <w:t>，共2座，主要用于沼气的暂存，厌氧发酵</w:t>
                  </w:r>
                  <w:r>
                    <w:rPr>
                      <w:rFonts w:ascii="Times New Roman" w:hAnsi="Times New Roman"/>
                      <w:b w:val="0"/>
                      <w:bCs w:val="0"/>
                      <w:color w:val="auto"/>
                      <w:sz w:val="21"/>
                      <w:szCs w:val="21"/>
                    </w:rPr>
                    <w:t>罐</w:t>
                  </w:r>
                  <w:r>
                    <w:rPr>
                      <w:rFonts w:hint="eastAsia" w:ascii="Times New Roman" w:hAnsi="Times New Roman"/>
                      <w:b w:val="0"/>
                      <w:bCs w:val="0"/>
                      <w:color w:val="auto"/>
                      <w:sz w:val="21"/>
                      <w:szCs w:val="21"/>
                    </w:rPr>
                    <w:t>安装增温管，通过发电余热进行厌氧增温</w:t>
                  </w:r>
                </w:p>
              </w:tc>
              <w:tc>
                <w:tcPr>
                  <w:tcW w:w="1668" w:type="pct"/>
                  <w:tcBorders>
                    <w:top w:val="single" w:color="000000" w:sz="8" w:space="0"/>
                    <w:bottom w:val="single" w:color="000000" w:sz="8" w:space="0"/>
                  </w:tcBorders>
                  <w:vAlign w:val="center"/>
                </w:tcPr>
                <w:p w14:paraId="6B6D733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w:t>
                  </w:r>
                  <w:r>
                    <w:rPr>
                      <w:rFonts w:hint="default" w:ascii="Times New Roman" w:hAnsi="Times New Roman" w:eastAsia="宋体" w:cs="Times New Roman"/>
                      <w:color w:val="auto"/>
                      <w:sz w:val="21"/>
                      <w:szCs w:val="21"/>
                    </w:rPr>
                    <w:t>建设2座容积为3000m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厌氧发酵罐（CSTR），规格内径18m×高度12m</w:t>
                  </w:r>
                  <w:r>
                    <w:rPr>
                      <w:rFonts w:hint="default" w:ascii="Times New Roman" w:hAnsi="Times New Roman" w:eastAsia="宋体" w:cs="Times New Roman"/>
                      <w:color w:val="auto"/>
                      <w:sz w:val="21"/>
                      <w:szCs w:val="21"/>
                      <w:lang w:eastAsia="zh-CN"/>
                    </w:rPr>
                    <w:t>。</w:t>
                  </w:r>
                </w:p>
              </w:tc>
              <w:tc>
                <w:tcPr>
                  <w:tcW w:w="495" w:type="pct"/>
                  <w:tcBorders>
                    <w:top w:val="single" w:color="000000" w:sz="8" w:space="0"/>
                    <w:bottom w:val="single" w:color="000000" w:sz="8" w:space="0"/>
                  </w:tcBorders>
                  <w:vAlign w:val="center"/>
                </w:tcPr>
                <w:p w14:paraId="64D016D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3CCD3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51264221">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top w:val="single" w:color="000000" w:sz="8" w:space="0"/>
                  </w:tcBorders>
                  <w:vAlign w:val="center"/>
                </w:tcPr>
                <w:p w14:paraId="4A35F3E0">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黑膜沼液池</w:t>
                  </w:r>
                </w:p>
              </w:tc>
              <w:tc>
                <w:tcPr>
                  <w:tcW w:w="1866" w:type="pct"/>
                  <w:tcBorders>
                    <w:top w:val="single" w:color="000000" w:sz="8" w:space="0"/>
                    <w:bottom w:val="single" w:color="auto" w:sz="4" w:space="0"/>
                  </w:tcBorders>
                  <w:vAlign w:val="center"/>
                </w:tcPr>
                <w:p w14:paraId="66CAD33F">
                  <w:pPr>
                    <w:pStyle w:val="35"/>
                    <w:numPr>
                      <w:ilvl w:val="1"/>
                      <w:numId w:val="0"/>
                    </w:numPr>
                    <w:adjustRightInd w:val="0"/>
                    <w:snapToGrid w:val="0"/>
                    <w:spacing w:before="60" w:after="6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ascii="Times New Roman" w:hAnsi="Times New Roman"/>
                      <w:b w:val="0"/>
                      <w:bCs w:val="0"/>
                      <w:color w:val="auto"/>
                      <w:sz w:val="21"/>
                      <w:szCs w:val="21"/>
                    </w:rPr>
                    <w:t>位于厂区西侧，设置1座容积为</w:t>
                  </w:r>
                  <w:r>
                    <w:rPr>
                      <w:rFonts w:hint="eastAsia" w:ascii="Times New Roman" w:hAnsi="Times New Roman"/>
                      <w:b w:val="0"/>
                      <w:bCs w:val="0"/>
                      <w:color w:val="auto"/>
                      <w:sz w:val="21"/>
                      <w:szCs w:val="21"/>
                    </w:rPr>
                    <w:t>2</w:t>
                  </w:r>
                  <w:r>
                    <w:rPr>
                      <w:rFonts w:ascii="Times New Roman" w:hAnsi="Times New Roman"/>
                      <w:b w:val="0"/>
                      <w:bCs w:val="0"/>
                      <w:color w:val="auto"/>
                      <w:sz w:val="21"/>
                      <w:szCs w:val="21"/>
                    </w:rPr>
                    <w:t>0000m</w:t>
                  </w:r>
                  <w:r>
                    <w:rPr>
                      <w:rFonts w:ascii="Times New Roman" w:hAnsi="Times New Roman"/>
                      <w:b w:val="0"/>
                      <w:bCs w:val="0"/>
                      <w:color w:val="auto"/>
                      <w:sz w:val="21"/>
                      <w:szCs w:val="21"/>
                      <w:vertAlign w:val="superscript"/>
                    </w:rPr>
                    <w:t>3</w:t>
                  </w:r>
                  <w:r>
                    <w:rPr>
                      <w:rFonts w:ascii="Times New Roman" w:hAnsi="Times New Roman"/>
                      <w:b w:val="0"/>
                      <w:bCs w:val="0"/>
                      <w:color w:val="auto"/>
                      <w:sz w:val="21"/>
                      <w:szCs w:val="21"/>
                    </w:rPr>
                    <w:t>黑膜沼液池</w:t>
                  </w:r>
                  <w:r>
                    <w:rPr>
                      <w:rFonts w:hint="eastAsia" w:ascii="Times New Roman" w:hAnsi="Times New Roman"/>
                      <w:b w:val="0"/>
                      <w:bCs w:val="0"/>
                      <w:color w:val="auto"/>
                      <w:sz w:val="21"/>
                      <w:szCs w:val="21"/>
                    </w:rPr>
                    <w:t>，用于沼液的再发酵，发酵后产生的沼气统一用于发电</w:t>
                  </w:r>
                </w:p>
              </w:tc>
              <w:tc>
                <w:tcPr>
                  <w:tcW w:w="1668" w:type="pct"/>
                  <w:tcBorders>
                    <w:top w:val="single" w:color="000000" w:sz="8" w:space="0"/>
                    <w:bottom w:val="single" w:color="auto" w:sz="4" w:space="0"/>
                  </w:tcBorders>
                  <w:vAlign w:val="center"/>
                </w:tcPr>
                <w:p w14:paraId="7CD22742">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w:t>
                  </w:r>
                  <w:r>
                    <w:rPr>
                      <w:rFonts w:hint="default" w:ascii="Times New Roman" w:hAnsi="Times New Roman" w:eastAsia="宋体" w:cs="Times New Roman"/>
                      <w:color w:val="auto"/>
                      <w:sz w:val="21"/>
                      <w:szCs w:val="21"/>
                    </w:rPr>
                    <w:t>1座容积为20000m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黑膜沼液池</w:t>
                  </w:r>
                </w:p>
              </w:tc>
              <w:tc>
                <w:tcPr>
                  <w:tcW w:w="495" w:type="pct"/>
                  <w:tcBorders>
                    <w:top w:val="single" w:color="000000" w:sz="8" w:space="0"/>
                    <w:bottom w:val="single" w:color="auto" w:sz="4" w:space="0"/>
                  </w:tcBorders>
                  <w:vAlign w:val="center"/>
                </w:tcPr>
                <w:p w14:paraId="5CBDD70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64032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15BE79C8">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top w:val="single" w:color="000000" w:sz="8" w:space="0"/>
                  </w:tcBorders>
                  <w:vAlign w:val="center"/>
                </w:tcPr>
                <w:p w14:paraId="7EECE095">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沼气发电区</w:t>
                  </w:r>
                </w:p>
              </w:tc>
              <w:tc>
                <w:tcPr>
                  <w:tcW w:w="1866" w:type="pct"/>
                  <w:tcBorders>
                    <w:top w:val="single" w:color="000000" w:sz="8" w:space="0"/>
                    <w:bottom w:val="single" w:color="auto" w:sz="4" w:space="0"/>
                  </w:tcBorders>
                  <w:vAlign w:val="center"/>
                </w:tcPr>
                <w:p w14:paraId="5D7255A4">
                  <w:pPr>
                    <w:pStyle w:val="35"/>
                    <w:numPr>
                      <w:ilvl w:val="1"/>
                      <w:numId w:val="0"/>
                    </w:numPr>
                    <w:adjustRightInd w:val="0"/>
                    <w:snapToGrid w:val="0"/>
                    <w:spacing w:before="60" w:after="60" w:line="240" w:lineRule="auto"/>
                    <w:ind w:left="0" w:leftChars="0" w:firstLine="0" w:firstLineChars="0"/>
                    <w:jc w:val="center"/>
                    <w:rPr>
                      <w:rFonts w:hint="default" w:ascii="Times New Roman" w:hAnsi="Times New Roman" w:eastAsia="宋体" w:cs="Times New Roman"/>
                      <w:color w:val="auto"/>
                      <w:sz w:val="21"/>
                      <w:szCs w:val="21"/>
                      <w:lang w:val="en-US" w:eastAsia="zh-CN"/>
                    </w:rPr>
                  </w:pPr>
                  <w:r>
                    <w:rPr>
                      <w:rFonts w:ascii="Times New Roman" w:hAnsi="Times New Roman"/>
                      <w:b w:val="0"/>
                      <w:bCs w:val="0"/>
                      <w:color w:val="auto"/>
                      <w:sz w:val="21"/>
                      <w:szCs w:val="21"/>
                    </w:rPr>
                    <w:t>位于厂区</w:t>
                  </w:r>
                  <w:r>
                    <w:rPr>
                      <w:rFonts w:hint="eastAsia" w:ascii="Times New Roman" w:hAnsi="Times New Roman"/>
                      <w:b w:val="0"/>
                      <w:bCs w:val="0"/>
                      <w:color w:val="auto"/>
                      <w:sz w:val="21"/>
                      <w:szCs w:val="21"/>
                    </w:rPr>
                    <w:t>中部</w:t>
                  </w:r>
                  <w:r>
                    <w:rPr>
                      <w:rFonts w:ascii="Times New Roman" w:hAnsi="Times New Roman"/>
                      <w:b w:val="0"/>
                      <w:bCs w:val="0"/>
                      <w:color w:val="auto"/>
                      <w:sz w:val="21"/>
                      <w:szCs w:val="21"/>
                    </w:rPr>
                    <w:t>，建设沼气发电机房，建筑面积</w:t>
                  </w:r>
                  <w:r>
                    <w:rPr>
                      <w:rFonts w:hint="eastAsia" w:ascii="Times New Roman" w:hAnsi="Times New Roman"/>
                      <w:b w:val="0"/>
                      <w:bCs w:val="0"/>
                      <w:color w:val="auto"/>
                      <w:sz w:val="21"/>
                      <w:szCs w:val="21"/>
                    </w:rPr>
                    <w:t>200</w:t>
                  </w:r>
                  <w:r>
                    <w:rPr>
                      <w:rFonts w:ascii="Times New Roman" w:hAnsi="Times New Roman"/>
                      <w:b w:val="0"/>
                      <w:bCs w:val="0"/>
                      <w:color w:val="auto"/>
                      <w:sz w:val="21"/>
                      <w:szCs w:val="21"/>
                    </w:rPr>
                    <w:t>m</w:t>
                  </w:r>
                  <w:r>
                    <w:rPr>
                      <w:rFonts w:ascii="Times New Roman" w:hAnsi="Times New Roman"/>
                      <w:b w:val="0"/>
                      <w:bCs w:val="0"/>
                      <w:color w:val="auto"/>
                      <w:sz w:val="21"/>
                      <w:szCs w:val="21"/>
                      <w:vertAlign w:val="superscript"/>
                    </w:rPr>
                    <w:t>2</w:t>
                  </w:r>
                  <w:r>
                    <w:rPr>
                      <w:rFonts w:ascii="Times New Roman" w:hAnsi="Times New Roman"/>
                      <w:b w:val="0"/>
                      <w:bCs w:val="0"/>
                      <w:color w:val="auto"/>
                      <w:sz w:val="21"/>
                      <w:szCs w:val="21"/>
                    </w:rPr>
                    <w:t>，安装沼气发电设备，包括2台250千瓦沼气发电机和</w:t>
                  </w:r>
                  <w:r>
                    <w:rPr>
                      <w:rFonts w:hint="eastAsia" w:ascii="Times New Roman" w:hAnsi="Times New Roman"/>
                      <w:b w:val="0"/>
                      <w:bCs w:val="0"/>
                      <w:color w:val="auto"/>
                      <w:sz w:val="21"/>
                      <w:szCs w:val="21"/>
                    </w:rPr>
                    <w:t>1套沼气净化系统（脱硫</w:t>
                  </w:r>
                  <w:r>
                    <w:rPr>
                      <w:rFonts w:ascii="Times New Roman" w:hAnsi="Times New Roman"/>
                      <w:b w:val="0"/>
                      <w:bCs w:val="0"/>
                      <w:color w:val="auto"/>
                      <w:sz w:val="21"/>
                      <w:szCs w:val="21"/>
                    </w:rPr>
                    <w:t>脱碳</w:t>
                  </w:r>
                  <w:r>
                    <w:rPr>
                      <w:rFonts w:hint="eastAsia" w:ascii="Times New Roman" w:hAnsi="Times New Roman"/>
                      <w:b w:val="0"/>
                      <w:bCs w:val="0"/>
                      <w:color w:val="auto"/>
                      <w:sz w:val="21"/>
                      <w:szCs w:val="21"/>
                    </w:rPr>
                    <w:t>系统+汽水分离器+凝水器+干式阻火器）</w:t>
                  </w:r>
                  <w:r>
                    <w:rPr>
                      <w:rFonts w:ascii="Times New Roman" w:hAnsi="Times New Roman"/>
                      <w:b w:val="0"/>
                      <w:bCs w:val="0"/>
                      <w:color w:val="auto"/>
                      <w:sz w:val="21"/>
                      <w:szCs w:val="21"/>
                    </w:rPr>
                    <w:t>；</w:t>
                  </w:r>
                  <w:r>
                    <w:rPr>
                      <w:rFonts w:hint="eastAsia" w:ascii="Times New Roman" w:hAnsi="Times New Roman"/>
                      <w:b w:val="0"/>
                      <w:bCs w:val="0"/>
                      <w:color w:val="auto"/>
                      <w:sz w:val="21"/>
                      <w:szCs w:val="21"/>
                    </w:rPr>
                    <w:t>此外发电余热回用于厌氧罐的增温</w:t>
                  </w:r>
                </w:p>
              </w:tc>
              <w:tc>
                <w:tcPr>
                  <w:tcW w:w="1668" w:type="pct"/>
                  <w:tcBorders>
                    <w:top w:val="single" w:color="000000" w:sz="8" w:space="0"/>
                    <w:bottom w:val="single" w:color="auto" w:sz="4" w:space="0"/>
                  </w:tcBorders>
                  <w:vAlign w:val="center"/>
                </w:tcPr>
                <w:p w14:paraId="7FC9BBD4">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w:t>
                  </w:r>
                  <w:r>
                    <w:rPr>
                      <w:rFonts w:hint="default" w:ascii="Times New Roman" w:hAnsi="Times New Roman" w:eastAsia="宋体" w:cs="Times New Roman"/>
                      <w:color w:val="auto"/>
                      <w:sz w:val="21"/>
                      <w:szCs w:val="21"/>
                    </w:rPr>
                    <w:t>沼气发电机房，建筑面积200m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，2台250千瓦沼气发电机和1套沼气净化系统</w:t>
                  </w:r>
                </w:p>
              </w:tc>
              <w:tc>
                <w:tcPr>
                  <w:tcW w:w="495" w:type="pct"/>
                  <w:tcBorders>
                    <w:top w:val="single" w:color="000000" w:sz="8" w:space="0"/>
                    <w:bottom w:val="single" w:color="auto" w:sz="4" w:space="0"/>
                  </w:tcBorders>
                  <w:vAlign w:val="center"/>
                </w:tcPr>
                <w:p w14:paraId="5D5BAF19">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与环评一致</w:t>
                  </w:r>
                </w:p>
              </w:tc>
            </w:tr>
            <w:tr w14:paraId="77332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restart"/>
                  <w:vAlign w:val="center"/>
                </w:tcPr>
                <w:p w14:paraId="16D1492D">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储运</w:t>
                  </w:r>
                  <w:r>
                    <w:rPr>
                      <w:rFonts w:hint="default" w:ascii="Times New Roman" w:hAnsi="Times New Roman" w:eastAsia="宋体" w:cs="Times New Roman"/>
                      <w:color w:val="auto"/>
                      <w:sz w:val="21"/>
                      <w:szCs w:val="21"/>
                    </w:rPr>
                    <w:t>工程</w:t>
                  </w:r>
                </w:p>
              </w:tc>
              <w:tc>
                <w:tcPr>
                  <w:tcW w:w="530" w:type="pct"/>
                  <w:tcBorders>
                    <w:bottom w:val="single" w:color="auto" w:sz="4" w:space="0"/>
                  </w:tcBorders>
                  <w:vAlign w:val="center"/>
                </w:tcPr>
                <w:p w14:paraId="6344F836">
                  <w:pPr>
                    <w:pStyle w:val="38"/>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秸秆大棚</w:t>
                  </w:r>
                </w:p>
              </w:tc>
              <w:tc>
                <w:tcPr>
                  <w:tcW w:w="1866" w:type="pct"/>
                  <w:tcBorders>
                    <w:bottom w:val="single" w:color="auto" w:sz="4" w:space="0"/>
                  </w:tcBorders>
                  <w:vAlign w:val="center"/>
                </w:tcPr>
                <w:p w14:paraId="7F395965">
                  <w:pPr>
                    <w:pStyle w:val="38"/>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bidi="ar-SA"/>
                    </w:rPr>
                    <w:t>位于厂区北部，设置1850m</w:t>
                  </w:r>
                  <w:r>
                    <w:rPr>
                      <w:rFonts w:hint="default" w:ascii="Times New Roman" w:hAnsi="Times New Roman" w:eastAsia="宋体" w:cs="Times New Roman"/>
                      <w:color w:val="auto"/>
                      <w:sz w:val="21"/>
                      <w:szCs w:val="21"/>
                      <w:vertAlign w:val="superscript"/>
                      <w:lang w:val="en-US" w:eastAsia="zh-CN" w:bidi="ar-SA"/>
                    </w:rPr>
                    <w:t>2</w:t>
                  </w:r>
                  <w:r>
                    <w:rPr>
                      <w:rFonts w:hint="default" w:ascii="Times New Roman" w:hAnsi="Times New Roman" w:eastAsia="宋体" w:cs="Times New Roman"/>
                      <w:color w:val="auto"/>
                      <w:sz w:val="21"/>
                      <w:szCs w:val="21"/>
                      <w:lang w:val="en-US" w:eastAsia="zh-CN" w:bidi="ar-SA"/>
                    </w:rPr>
                    <w:t>钢棚结构秸秆大棚，主要存放秸秆等原辅料，大棚内部设置破碎机，用于秸秆的破碎</w:t>
                  </w:r>
                </w:p>
              </w:tc>
              <w:tc>
                <w:tcPr>
                  <w:tcW w:w="1668" w:type="pct"/>
                  <w:tcBorders>
                    <w:bottom w:val="single" w:color="auto" w:sz="4" w:space="0"/>
                  </w:tcBorders>
                  <w:vAlign w:val="center"/>
                </w:tcPr>
                <w:p w14:paraId="39FDABBA">
                  <w:pPr>
                    <w:pStyle w:val="38"/>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实际建设1850</w:t>
                  </w:r>
                  <w:r>
                    <w:rPr>
                      <w:rFonts w:hint="default" w:ascii="Times New Roman" w:hAnsi="Times New Roman" w:eastAsia="宋体" w:cs="Times New Roman"/>
                      <w:color w:val="auto"/>
                      <w:sz w:val="21"/>
                      <w:szCs w:val="21"/>
                      <w:lang w:val="en-US" w:eastAsia="zh-CN" w:bidi="ar-SA"/>
                    </w:rPr>
                    <w:t>m</w:t>
                  </w:r>
                  <w:r>
                    <w:rPr>
                      <w:rFonts w:hint="default" w:ascii="Times New Roman" w:hAnsi="Times New Roman" w:eastAsia="宋体" w:cs="Times New Roman"/>
                      <w:color w:val="auto"/>
                      <w:sz w:val="21"/>
                      <w:szCs w:val="21"/>
                      <w:vertAlign w:val="superscript"/>
                      <w:lang w:val="en-US" w:eastAsia="zh-CN" w:bidi="ar-SA"/>
                    </w:rPr>
                    <w:t>2</w:t>
                  </w:r>
                  <w:r>
                    <w:rPr>
                      <w:rFonts w:hint="default" w:ascii="Times New Roman" w:hAnsi="Times New Roman" w:eastAsia="宋体" w:cs="Times New Roman"/>
                      <w:color w:val="auto"/>
                      <w:sz w:val="21"/>
                      <w:szCs w:val="21"/>
                      <w:lang w:val="en-US" w:eastAsia="zh-CN" w:bidi="ar-SA"/>
                    </w:rPr>
                    <w:t>钢棚结构秸秆大棚</w:t>
                  </w:r>
                </w:p>
              </w:tc>
              <w:tc>
                <w:tcPr>
                  <w:tcW w:w="495" w:type="pct"/>
                  <w:tcBorders>
                    <w:bottom w:val="single" w:color="auto" w:sz="4" w:space="0"/>
                  </w:tcBorders>
                  <w:vAlign w:val="center"/>
                </w:tcPr>
                <w:p w14:paraId="0F5DC740">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lang w:val="en-US" w:eastAsia="zh-CN" w:bidi="ar-SA"/>
                    </w:rPr>
                    <w:t>破碎生产工序未建设</w:t>
                  </w:r>
                </w:p>
              </w:tc>
            </w:tr>
            <w:tr w14:paraId="7FAC0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6858DBA9">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top w:val="single" w:color="auto" w:sz="4" w:space="0"/>
                    <w:bottom w:val="single" w:color="000000" w:sz="8" w:space="0"/>
                  </w:tcBorders>
                  <w:vAlign w:val="center"/>
                </w:tcPr>
                <w:p w14:paraId="79447D13">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危险化学品仓库</w:t>
                  </w:r>
                </w:p>
              </w:tc>
              <w:tc>
                <w:tcPr>
                  <w:tcW w:w="1866" w:type="pct"/>
                  <w:tcBorders>
                    <w:top w:val="single" w:color="auto" w:sz="4" w:space="0"/>
                    <w:bottom w:val="single" w:color="000000" w:sz="8" w:space="0"/>
                  </w:tcBorders>
                  <w:vAlign w:val="center"/>
                </w:tcPr>
                <w:p w14:paraId="70971350">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位于厂区中部，建筑面积约5m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，主要用于脱硫剂和脱硝剂的分区储存，最大储存量为0.2吨，最大储存周期为1个月</w:t>
                  </w:r>
                </w:p>
              </w:tc>
              <w:tc>
                <w:tcPr>
                  <w:tcW w:w="1668" w:type="pct"/>
                  <w:tcBorders>
                    <w:top w:val="single" w:color="auto" w:sz="4" w:space="0"/>
                    <w:bottom w:val="single" w:color="000000" w:sz="8" w:space="0"/>
                  </w:tcBorders>
                  <w:vAlign w:val="center"/>
                </w:tcPr>
                <w:p w14:paraId="33FB0F09">
                  <w:pPr>
                    <w:pStyle w:val="38"/>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实际建设1间危险化学品仓库，建筑面积为5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495" w:type="pct"/>
                  <w:tcBorders>
                    <w:top w:val="single" w:color="auto" w:sz="4" w:space="0"/>
                    <w:bottom w:val="single" w:color="000000" w:sz="8" w:space="0"/>
                  </w:tcBorders>
                  <w:vAlign w:val="center"/>
                </w:tcPr>
                <w:p w14:paraId="3B980BF5">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283F1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4E1CB5C4">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top w:val="single" w:color="000000" w:sz="8" w:space="0"/>
                    <w:bottom w:val="single" w:color="000000" w:sz="8" w:space="0"/>
                  </w:tcBorders>
                  <w:vAlign w:val="center"/>
                </w:tcPr>
                <w:p w14:paraId="0A92E45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机油仓库</w:t>
                  </w:r>
                </w:p>
              </w:tc>
              <w:tc>
                <w:tcPr>
                  <w:tcW w:w="1866" w:type="pct"/>
                  <w:tcBorders>
                    <w:top w:val="single" w:color="000000" w:sz="8" w:space="0"/>
                    <w:bottom w:val="single" w:color="000000" w:sz="8" w:space="0"/>
                  </w:tcBorders>
                  <w:vAlign w:val="center"/>
                </w:tcPr>
                <w:p w14:paraId="543FBF9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位于厂区中部，建筑面积约5m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，主要用于机油的储存，最大储存量为0.1吨，最大储存周期为1个月</w:t>
                  </w:r>
                </w:p>
              </w:tc>
              <w:tc>
                <w:tcPr>
                  <w:tcW w:w="1668" w:type="pct"/>
                  <w:tcBorders>
                    <w:top w:val="single" w:color="000000" w:sz="8" w:space="0"/>
                    <w:bottom w:val="single" w:color="000000" w:sz="8" w:space="0"/>
                  </w:tcBorders>
                  <w:vAlign w:val="center"/>
                </w:tcPr>
                <w:p w14:paraId="75EDDA2D">
                  <w:pPr>
                    <w:pStyle w:val="38"/>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sz w:val="21"/>
                      <w:szCs w:val="21"/>
                      <w:lang w:val="en-US" w:eastAsia="zh-CN"/>
                    </w:rPr>
                    <w:t>实际建设1间机油仓库，建筑面积为5</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p>
              </w:tc>
              <w:tc>
                <w:tcPr>
                  <w:tcW w:w="495" w:type="pct"/>
                  <w:tcBorders>
                    <w:top w:val="single" w:color="000000" w:sz="8" w:space="0"/>
                    <w:bottom w:val="single" w:color="000000" w:sz="8" w:space="0"/>
                  </w:tcBorders>
                  <w:vAlign w:val="center"/>
                </w:tcPr>
                <w:p w14:paraId="000EE1F8">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25F1D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restart"/>
                  <w:vAlign w:val="center"/>
                </w:tcPr>
                <w:p w14:paraId="2E38BBD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辅助工程</w:t>
                  </w:r>
                </w:p>
              </w:tc>
              <w:tc>
                <w:tcPr>
                  <w:tcW w:w="530" w:type="pct"/>
                  <w:vAlign w:val="center"/>
                </w:tcPr>
                <w:p w14:paraId="14F78D1D">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沼液暂存池</w:t>
                  </w:r>
                </w:p>
              </w:tc>
              <w:tc>
                <w:tcPr>
                  <w:tcW w:w="1866" w:type="pct"/>
                  <w:vAlign w:val="center"/>
                </w:tcPr>
                <w:p w14:paraId="13C3EEA5">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bidi="zh-CN"/>
                    </w:rPr>
                    <w:t>位于厂区南侧，设置1座容积为10000m</w:t>
                  </w:r>
                  <w:r>
                    <w:rPr>
                      <w:rFonts w:hint="default" w:ascii="Times New Roman" w:hAnsi="Times New Roman" w:eastAsia="宋体" w:cs="Times New Roman"/>
                      <w:color w:val="auto"/>
                      <w:sz w:val="21"/>
                      <w:szCs w:val="21"/>
                      <w:vertAlign w:val="superscript"/>
                      <w:lang w:val="en-US" w:eastAsia="zh-CN" w:bidi="zh-CN"/>
                    </w:rPr>
                    <w:t>3</w:t>
                  </w:r>
                  <w:r>
                    <w:rPr>
                      <w:rFonts w:hint="default" w:ascii="Times New Roman" w:hAnsi="Times New Roman" w:eastAsia="宋体" w:cs="Times New Roman"/>
                      <w:color w:val="auto"/>
                      <w:sz w:val="21"/>
                      <w:szCs w:val="21"/>
                      <w:lang w:val="en-US" w:eastAsia="zh-CN" w:bidi="zh-CN"/>
                    </w:rPr>
                    <w:t>沼液暂存池（好氧塘），用于发酵后的沼液好氧发酵，发酵后的沼液作为液态有机肥使用</w:t>
                  </w:r>
                </w:p>
              </w:tc>
              <w:tc>
                <w:tcPr>
                  <w:tcW w:w="1668" w:type="pct"/>
                  <w:vAlign w:val="center"/>
                </w:tcPr>
                <w:p w14:paraId="2FEE0F77">
                  <w:pPr>
                    <w:pStyle w:val="38"/>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bidi="zh-CN"/>
                    </w:rPr>
                  </w:pPr>
                  <w:r>
                    <w:rPr>
                      <w:rFonts w:hint="default" w:ascii="Times New Roman" w:hAnsi="Times New Roman" w:eastAsia="宋体" w:cs="Times New Roman"/>
                      <w:color w:val="auto"/>
                      <w:sz w:val="21"/>
                      <w:szCs w:val="21"/>
                      <w:lang w:val="en-US" w:eastAsia="zh-CN"/>
                    </w:rPr>
                    <w:t>实际建设1座容积为10000</w:t>
                  </w:r>
                  <w:r>
                    <w:rPr>
                      <w:rFonts w:hint="default" w:ascii="Times New Roman" w:hAnsi="Times New Roman" w:eastAsia="宋体" w:cs="Times New Roman"/>
                      <w:color w:val="auto"/>
                      <w:sz w:val="21"/>
                      <w:szCs w:val="21"/>
                      <w:lang w:val="en-US" w:eastAsia="zh-CN" w:bidi="zh-CN"/>
                    </w:rPr>
                    <w:t>m</w:t>
                  </w:r>
                  <w:r>
                    <w:rPr>
                      <w:rFonts w:hint="default" w:ascii="Times New Roman" w:hAnsi="Times New Roman" w:eastAsia="宋体" w:cs="Times New Roman"/>
                      <w:color w:val="auto"/>
                      <w:sz w:val="21"/>
                      <w:szCs w:val="21"/>
                      <w:vertAlign w:val="superscript"/>
                      <w:lang w:val="en-US" w:eastAsia="zh-CN" w:bidi="zh-CN"/>
                    </w:rPr>
                    <w:t>3</w:t>
                  </w:r>
                  <w:r>
                    <w:rPr>
                      <w:rFonts w:hint="default" w:ascii="Times New Roman" w:hAnsi="Times New Roman" w:eastAsia="宋体" w:cs="Times New Roman"/>
                      <w:color w:val="auto"/>
                      <w:sz w:val="21"/>
                      <w:szCs w:val="21"/>
                      <w:vertAlign w:val="baseline"/>
                      <w:lang w:val="en-US" w:eastAsia="zh-CN" w:bidi="zh-CN"/>
                    </w:rPr>
                    <w:t>沼液暂存池（好氧塘</w:t>
                  </w:r>
                  <w:r>
                    <w:rPr>
                      <w:rFonts w:hint="eastAsia" w:ascii="Times New Roman" w:hAnsi="Times New Roman" w:cs="Times New Roman"/>
                      <w:color w:val="auto"/>
                      <w:sz w:val="21"/>
                      <w:szCs w:val="21"/>
                      <w:vertAlign w:val="baseline"/>
                      <w:lang w:val="en-US" w:eastAsia="zh-CN" w:bidi="zh-CN"/>
                    </w:rPr>
                    <w:t>）</w:t>
                  </w:r>
                </w:p>
              </w:tc>
              <w:tc>
                <w:tcPr>
                  <w:tcW w:w="495" w:type="pct"/>
                  <w:vAlign w:val="center"/>
                </w:tcPr>
                <w:p w14:paraId="5404237A">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3656D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21B58A75">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bottom w:val="single" w:color="auto" w:sz="4" w:space="0"/>
                  </w:tcBorders>
                  <w:vAlign w:val="center"/>
                </w:tcPr>
                <w:p w14:paraId="06F3936E">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沼渣暂存区</w:t>
                  </w:r>
                </w:p>
              </w:tc>
              <w:tc>
                <w:tcPr>
                  <w:tcW w:w="1866" w:type="pct"/>
                  <w:tcBorders>
                    <w:bottom w:val="single" w:color="auto" w:sz="4" w:space="0"/>
                  </w:tcBorders>
                  <w:vAlign w:val="center"/>
                </w:tcPr>
                <w:p w14:paraId="5659F1FA">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位于厂区北侧，设置1座容积为100m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沼渣暂存区，用于发酵后的沼渣暂存，暂存后的沼渣作为固态有机肥使用</w:t>
                  </w:r>
                </w:p>
              </w:tc>
              <w:tc>
                <w:tcPr>
                  <w:tcW w:w="1668" w:type="pct"/>
                  <w:tcBorders>
                    <w:bottom w:val="single" w:color="auto" w:sz="4" w:space="0"/>
                  </w:tcBorders>
                  <w:vAlign w:val="center"/>
                </w:tcPr>
                <w:p w14:paraId="06A9014D">
                  <w:pPr>
                    <w:pStyle w:val="38"/>
                    <w:keepNext w:val="0"/>
                    <w:keepLines w:val="0"/>
                    <w:pageBreakBefore w:val="0"/>
                    <w:widowControl/>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实际建设1座容积为100</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沼渣暂存区</w:t>
                  </w:r>
                </w:p>
              </w:tc>
              <w:tc>
                <w:tcPr>
                  <w:tcW w:w="495" w:type="pct"/>
                  <w:tcBorders>
                    <w:bottom w:val="single" w:color="auto" w:sz="4" w:space="0"/>
                  </w:tcBorders>
                  <w:vAlign w:val="center"/>
                </w:tcPr>
                <w:p w14:paraId="1C1FB752">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10456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restart"/>
                  <w:vAlign w:val="center"/>
                </w:tcPr>
                <w:p w14:paraId="0B2F6D1C">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公用工程</w:t>
                  </w:r>
                </w:p>
              </w:tc>
              <w:tc>
                <w:tcPr>
                  <w:tcW w:w="530" w:type="pct"/>
                  <w:tcBorders>
                    <w:top w:val="single" w:color="auto" w:sz="4" w:space="0"/>
                  </w:tcBorders>
                  <w:vAlign w:val="center"/>
                </w:tcPr>
                <w:p w14:paraId="15596F55">
                  <w:pPr>
                    <w:keepNext w:val="0"/>
                    <w:keepLines w:val="0"/>
                    <w:pageBreakBefore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给水</w:t>
                  </w:r>
                </w:p>
              </w:tc>
              <w:tc>
                <w:tcPr>
                  <w:tcW w:w="1866" w:type="pct"/>
                  <w:tcBorders>
                    <w:top w:val="single" w:color="auto" w:sz="4" w:space="0"/>
                  </w:tcBorders>
                  <w:vAlign w:val="center"/>
                </w:tcPr>
                <w:p w14:paraId="7FBF7388">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rPr>
                    <w:t>用水量3750.375m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/a，由市政管网供水</w:t>
                  </w:r>
                </w:p>
              </w:tc>
              <w:tc>
                <w:tcPr>
                  <w:tcW w:w="1668" w:type="pct"/>
                  <w:tcBorders>
                    <w:top w:val="single" w:color="auto" w:sz="4" w:space="0"/>
                  </w:tcBorders>
                  <w:vAlign w:val="center"/>
                </w:tcPr>
                <w:p w14:paraId="55E2ED13">
                  <w:pPr>
                    <w:keepNext w:val="0"/>
                    <w:keepLines w:val="0"/>
                    <w:pageBreakBefore w:val="0"/>
                    <w:widowControl w:val="0"/>
                    <w:kinsoku/>
                    <w:wordWrap/>
                    <w:overflowPunct/>
                    <w:topLinePunct w:val="0"/>
                    <w:autoSpaceDE/>
                    <w:autoSpaceDN/>
                    <w:bidi w:val="0"/>
                    <w:adjustRightInd w:val="0"/>
                    <w:snapToGrid w:val="0"/>
                    <w:spacing w:before="60" w:after="6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由</w:t>
                  </w:r>
                  <w:r>
                    <w:rPr>
                      <w:rFonts w:hint="default" w:ascii="Times New Roman" w:hAnsi="Times New Roman" w:eastAsia="宋体" w:cs="Times New Roman"/>
                      <w:b w:val="0"/>
                      <w:bCs w:val="0"/>
                      <w:color w:val="auto"/>
                      <w:sz w:val="21"/>
                      <w:szCs w:val="21"/>
                      <w:highlight w:val="none"/>
                    </w:rPr>
                    <w:t>市政供电</w:t>
                  </w:r>
                  <w:r>
                    <w:rPr>
                      <w:rFonts w:hint="default" w:ascii="Times New Roman" w:hAnsi="Times New Roman" w:eastAsia="宋体" w:cs="Times New Roman"/>
                      <w:b w:val="0"/>
                      <w:bCs w:val="0"/>
                      <w:color w:val="auto"/>
                      <w:sz w:val="21"/>
                      <w:szCs w:val="21"/>
                      <w:highlight w:val="none"/>
                      <w:lang w:val="en-US" w:eastAsia="zh-CN"/>
                    </w:rPr>
                    <w:t>管网供给，实际用水量3218.64</w:t>
                  </w:r>
                  <w:r>
                    <w:rPr>
                      <w:rFonts w:hint="default" w:ascii="Times New Roman" w:hAnsi="Times New Roman" w:eastAsia="宋体" w:cs="Times New Roman"/>
                      <w:b w:val="0"/>
                      <w:bCs w:val="0"/>
                      <w:color w:val="auto"/>
                      <w:sz w:val="21"/>
                      <w:szCs w:val="21"/>
                      <w:highlight w:val="none"/>
                    </w:rPr>
                    <w:t>m</w:t>
                  </w:r>
                  <w:r>
                    <w:rPr>
                      <w:rFonts w:hint="default" w:ascii="Times New Roman" w:hAnsi="Times New Roman" w:eastAsia="宋体" w:cs="Times New Roman"/>
                      <w:b w:val="0"/>
                      <w:bCs w:val="0"/>
                      <w:color w:val="auto"/>
                      <w:sz w:val="21"/>
                      <w:szCs w:val="21"/>
                      <w:highlight w:val="none"/>
                      <w:vertAlign w:val="superscript"/>
                    </w:rPr>
                    <w:t>3</w:t>
                  </w:r>
                  <w:r>
                    <w:rPr>
                      <w:rFonts w:hint="default" w:ascii="Times New Roman" w:hAnsi="Times New Roman" w:eastAsia="宋体" w:cs="Times New Roman"/>
                      <w:b w:val="0"/>
                      <w:bCs w:val="0"/>
                      <w:color w:val="auto"/>
                      <w:sz w:val="21"/>
                      <w:szCs w:val="21"/>
                      <w:highlight w:val="none"/>
                    </w:rPr>
                    <w:t>/a</w:t>
                  </w:r>
                </w:p>
              </w:tc>
              <w:tc>
                <w:tcPr>
                  <w:tcW w:w="495" w:type="pct"/>
                  <w:tcBorders>
                    <w:top w:val="single" w:color="auto" w:sz="4" w:space="0"/>
                  </w:tcBorders>
                  <w:vAlign w:val="center"/>
                </w:tcPr>
                <w:p w14:paraId="1CC575CB">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与环评不一致</w:t>
                  </w:r>
                </w:p>
              </w:tc>
            </w:tr>
            <w:tr w14:paraId="13D972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1A7C1509">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top w:val="single" w:color="auto" w:sz="4" w:space="0"/>
                  </w:tcBorders>
                  <w:vAlign w:val="center"/>
                </w:tcPr>
                <w:p w14:paraId="5D019D07">
                  <w:pPr>
                    <w:keepNext w:val="0"/>
                    <w:keepLines w:val="0"/>
                    <w:pageBreakBefore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排水</w:t>
                  </w:r>
                </w:p>
              </w:tc>
              <w:tc>
                <w:tcPr>
                  <w:tcW w:w="1866" w:type="pct"/>
                  <w:tcBorders>
                    <w:top w:val="single" w:color="auto" w:sz="4" w:space="0"/>
                  </w:tcBorders>
                  <w:vAlign w:val="center"/>
                </w:tcPr>
                <w:p w14:paraId="62F6ABED">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厂区排水系统采用雨、污分流制；雨水作为生产用水用于生产使用；生活废水经化粪池处理后和生产废水一并排入预处理池内回用于生产</w:t>
                  </w:r>
                </w:p>
              </w:tc>
              <w:tc>
                <w:tcPr>
                  <w:tcW w:w="1668" w:type="pct"/>
                  <w:tcBorders>
                    <w:top w:val="single" w:color="auto" w:sz="4" w:space="0"/>
                  </w:tcBorders>
                  <w:vAlign w:val="center"/>
                </w:tcPr>
                <w:p w14:paraId="6C9E4CA3">
                  <w:pPr>
                    <w:keepNext w:val="0"/>
                    <w:keepLines w:val="0"/>
                    <w:pageBreakBefore w:val="0"/>
                    <w:widowControl w:val="0"/>
                    <w:kinsoku/>
                    <w:wordWrap/>
                    <w:overflowPunct/>
                    <w:topLinePunct w:val="0"/>
                    <w:autoSpaceDE/>
                    <w:autoSpaceDN/>
                    <w:bidi w:val="0"/>
                    <w:adjustRightInd w:val="0"/>
                    <w:snapToGrid w:val="0"/>
                    <w:spacing w:before="60" w:after="6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厂区排水系统采用雨、污分流制；雨水作为生产用水用于生产使用；生活废水经化粪池处理后和生产废水一并排入预处理池内回用于生产</w:t>
                  </w:r>
                </w:p>
              </w:tc>
              <w:tc>
                <w:tcPr>
                  <w:tcW w:w="495" w:type="pct"/>
                  <w:tcBorders>
                    <w:top w:val="single" w:color="auto" w:sz="4" w:space="0"/>
                  </w:tcBorders>
                  <w:vAlign w:val="center"/>
                </w:tcPr>
                <w:p w14:paraId="7F92ED56">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4CE3C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tcBorders>
                    <w:bottom w:val="single" w:color="auto" w:sz="4" w:space="0"/>
                  </w:tcBorders>
                  <w:vAlign w:val="center"/>
                </w:tcPr>
                <w:p w14:paraId="6F505797">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tcBorders>
                    <w:top w:val="single" w:color="auto" w:sz="4" w:space="0"/>
                  </w:tcBorders>
                  <w:vAlign w:val="center"/>
                </w:tcPr>
                <w:p w14:paraId="432B06C0">
                  <w:pPr>
                    <w:keepNext w:val="0"/>
                    <w:keepLines w:val="0"/>
                    <w:pageBreakBefore w:val="0"/>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供电</w:t>
                  </w:r>
                </w:p>
              </w:tc>
              <w:tc>
                <w:tcPr>
                  <w:tcW w:w="1866" w:type="pct"/>
                  <w:tcBorders>
                    <w:top w:val="single" w:color="auto" w:sz="4" w:space="0"/>
                  </w:tcBorders>
                  <w:vAlign w:val="center"/>
                </w:tcPr>
                <w:p w14:paraId="30A64B72">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用电量20万kWh，主要来自于项目沼气发电，少量来源于市政供电</w:t>
                  </w:r>
                </w:p>
              </w:tc>
              <w:tc>
                <w:tcPr>
                  <w:tcW w:w="1668" w:type="pct"/>
                  <w:tcBorders>
                    <w:top w:val="single" w:color="auto" w:sz="4" w:space="0"/>
                  </w:tcBorders>
                  <w:vAlign w:val="center"/>
                </w:tcPr>
                <w:p w14:paraId="38B05C34">
                  <w:pPr>
                    <w:keepNext w:val="0"/>
                    <w:keepLines w:val="0"/>
                    <w:pageBreakBefore w:val="0"/>
                    <w:widowControl w:val="0"/>
                    <w:kinsoku/>
                    <w:wordWrap/>
                    <w:overflowPunct/>
                    <w:topLinePunct w:val="0"/>
                    <w:autoSpaceDE/>
                    <w:autoSpaceDN/>
                    <w:bidi w:val="0"/>
                    <w:adjustRightInd w:val="0"/>
                    <w:snapToGrid w:val="0"/>
                    <w:spacing w:before="60" w:after="6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由</w:t>
                  </w:r>
                  <w:r>
                    <w:rPr>
                      <w:rFonts w:hint="default" w:ascii="Times New Roman" w:hAnsi="Times New Roman" w:eastAsia="宋体" w:cs="Times New Roman"/>
                      <w:color w:val="auto"/>
                      <w:sz w:val="21"/>
                      <w:szCs w:val="21"/>
                      <w:highlight w:val="none"/>
                    </w:rPr>
                    <w:t>市政供电</w:t>
                  </w:r>
                  <w:r>
                    <w:rPr>
                      <w:rFonts w:hint="default" w:ascii="Times New Roman" w:hAnsi="Times New Roman" w:eastAsia="宋体" w:cs="Times New Roman"/>
                      <w:color w:val="auto"/>
                      <w:sz w:val="21"/>
                      <w:szCs w:val="21"/>
                      <w:highlight w:val="none"/>
                      <w:lang w:val="en-US" w:eastAsia="zh-CN"/>
                    </w:rPr>
                    <w:t>管网供给，实际用电量1.4万</w:t>
                  </w:r>
                  <w:r>
                    <w:rPr>
                      <w:rFonts w:hint="default" w:ascii="Times New Roman" w:hAnsi="Times New Roman" w:eastAsia="宋体" w:cs="Times New Roman"/>
                      <w:color w:val="auto"/>
                      <w:sz w:val="21"/>
                      <w:szCs w:val="21"/>
                      <w:highlight w:val="none"/>
                    </w:rPr>
                    <w:t>kWh</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主要来自于项目沼气发电，少量来源于市政供电</w:t>
                  </w:r>
                </w:p>
              </w:tc>
              <w:tc>
                <w:tcPr>
                  <w:tcW w:w="495" w:type="pct"/>
                  <w:tcBorders>
                    <w:top w:val="single" w:color="auto" w:sz="4" w:space="0"/>
                  </w:tcBorders>
                  <w:vAlign w:val="center"/>
                </w:tcPr>
                <w:p w14:paraId="6B847833">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240" w:lineRule="auto"/>
                    <w:ind w:left="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与环评不一致</w:t>
                  </w:r>
                </w:p>
              </w:tc>
            </w:tr>
            <w:tr w14:paraId="6D809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restart"/>
                  <w:tcBorders>
                    <w:top w:val="single" w:color="auto" w:sz="4" w:space="0"/>
                  </w:tcBorders>
                  <w:vAlign w:val="center"/>
                </w:tcPr>
                <w:p w14:paraId="13C95096">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环保工程</w:t>
                  </w:r>
                </w:p>
              </w:tc>
              <w:tc>
                <w:tcPr>
                  <w:tcW w:w="530" w:type="pct"/>
                  <w:vAlign w:val="center"/>
                </w:tcPr>
                <w:p w14:paraId="23F66017">
                  <w:pPr>
                    <w:pStyle w:val="38"/>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废水治理</w:t>
                  </w:r>
                </w:p>
              </w:tc>
              <w:tc>
                <w:tcPr>
                  <w:tcW w:w="1866" w:type="pct"/>
                  <w:tcBorders>
                    <w:bottom w:val="single" w:color="auto" w:sz="4" w:space="0"/>
                  </w:tcBorders>
                  <w:vAlign w:val="center"/>
                </w:tcPr>
                <w:p w14:paraId="6CA324A1">
                  <w:pPr>
                    <w:pStyle w:val="13"/>
                    <w:keepNext w:val="0"/>
                    <w:keepLines w:val="0"/>
                    <w:pageBreakBefore w:val="0"/>
                    <w:widowControl/>
                    <w:tabs>
                      <w:tab w:val="left" w:pos="0"/>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生活废水经化粪池处理后和生产废水一并排入预处理池内回用于生产</w:t>
                  </w:r>
                </w:p>
              </w:tc>
              <w:tc>
                <w:tcPr>
                  <w:tcW w:w="1668" w:type="pct"/>
                  <w:tcBorders>
                    <w:bottom w:val="single" w:color="auto" w:sz="4" w:space="0"/>
                  </w:tcBorders>
                  <w:vAlign w:val="center"/>
                </w:tcPr>
                <w:p w14:paraId="308321C4">
                  <w:pPr>
                    <w:pStyle w:val="13"/>
                    <w:keepNext w:val="0"/>
                    <w:keepLines w:val="0"/>
                    <w:pageBreakBefore w:val="0"/>
                    <w:widowControl/>
                    <w:tabs>
                      <w:tab w:val="left" w:pos="0"/>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实际生活污水经化粪池处理后和生产废水一并排入预处理池内回用于生产</w:t>
                  </w:r>
                </w:p>
              </w:tc>
              <w:tc>
                <w:tcPr>
                  <w:tcW w:w="495" w:type="pct"/>
                  <w:tcBorders>
                    <w:bottom w:val="single" w:color="auto" w:sz="4" w:space="0"/>
                  </w:tcBorders>
                  <w:vAlign w:val="center"/>
                </w:tcPr>
                <w:p w14:paraId="53C5ACD3">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6BF2F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3CE7C46F">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530" w:type="pct"/>
                  <w:vMerge w:val="restart"/>
                  <w:vAlign w:val="center"/>
                </w:tcPr>
                <w:p w14:paraId="0BE57BC2">
                  <w:pPr>
                    <w:pStyle w:val="38"/>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废气治理</w:t>
                  </w:r>
                </w:p>
              </w:tc>
              <w:tc>
                <w:tcPr>
                  <w:tcW w:w="1866" w:type="pct"/>
                  <w:tcBorders>
                    <w:bottom w:val="single" w:color="auto" w:sz="4" w:space="0"/>
                  </w:tcBorders>
                  <w:vAlign w:val="center"/>
                </w:tcPr>
                <w:p w14:paraId="712C0734">
                  <w:pPr>
                    <w:pStyle w:val="13"/>
                    <w:keepNext w:val="0"/>
                    <w:keepLines w:val="0"/>
                    <w:pageBreakBefore w:val="0"/>
                    <w:widowControl/>
                    <w:tabs>
                      <w:tab w:val="left" w:pos="0"/>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秸秆破碎过程中产生的粉尘通过集气罩收集后进入布袋除尘器处理后由15m高排气筒（DA001）排放</w:t>
                  </w:r>
                </w:p>
              </w:tc>
              <w:tc>
                <w:tcPr>
                  <w:tcW w:w="1668" w:type="pct"/>
                  <w:tcBorders>
                    <w:bottom w:val="single" w:color="auto" w:sz="4" w:space="0"/>
                  </w:tcBorders>
                  <w:vAlign w:val="center"/>
                </w:tcPr>
                <w:p w14:paraId="52A3D656">
                  <w:pPr>
                    <w:keepNext w:val="0"/>
                    <w:keepLines w:val="0"/>
                    <w:pageBreakBefore w:val="0"/>
                    <w:widowControl/>
                    <w:kinsoku/>
                    <w:wordWrap/>
                    <w:overflowPunct/>
                    <w:topLinePunct w:val="0"/>
                    <w:autoSpaceDE/>
                    <w:autoSpaceDN/>
                    <w:bidi w:val="0"/>
                    <w:adjustRightInd w:val="0"/>
                    <w:snapToGrid w:val="0"/>
                    <w:spacing w:before="60" w:after="6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未建</w:t>
                  </w:r>
                  <w:r>
                    <w:rPr>
                      <w:rFonts w:hint="eastAsia" w:ascii="Times New Roman" w:hAnsi="Times New Roman" w:eastAsia="宋体" w:cs="Times New Roman"/>
                      <w:color w:val="auto"/>
                      <w:sz w:val="21"/>
                      <w:szCs w:val="21"/>
                      <w:lang w:val="en-US" w:eastAsia="zh-CN"/>
                    </w:rPr>
                    <w:t>设</w:t>
                  </w:r>
                </w:p>
              </w:tc>
              <w:tc>
                <w:tcPr>
                  <w:tcW w:w="495" w:type="pct"/>
                  <w:tcBorders>
                    <w:bottom w:val="single" w:color="auto" w:sz="4" w:space="0"/>
                  </w:tcBorders>
                  <w:vAlign w:val="center"/>
                </w:tcPr>
                <w:p w14:paraId="260F2C38">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未建</w:t>
                  </w:r>
                  <w:r>
                    <w:rPr>
                      <w:rFonts w:hint="eastAsia" w:ascii="Times New Roman" w:hAnsi="Times New Roman" w:eastAsia="宋体" w:cs="Times New Roman"/>
                      <w:color w:val="auto"/>
                      <w:sz w:val="21"/>
                      <w:szCs w:val="21"/>
                      <w:lang w:val="en-US" w:eastAsia="zh-CN"/>
                    </w:rPr>
                    <w:t>设</w:t>
                  </w:r>
                </w:p>
              </w:tc>
            </w:tr>
            <w:tr w14:paraId="1339B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7481FAC7">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Merge w:val="continue"/>
                  <w:vAlign w:val="center"/>
                </w:tcPr>
                <w:p w14:paraId="1C1E584A">
                  <w:pPr>
                    <w:pStyle w:val="38"/>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866" w:type="pct"/>
                  <w:tcBorders>
                    <w:top w:val="single" w:color="auto" w:sz="4" w:space="0"/>
                    <w:bottom w:val="single" w:color="auto" w:sz="4" w:space="0"/>
                  </w:tcBorders>
                  <w:vAlign w:val="center"/>
                </w:tcPr>
                <w:p w14:paraId="233B21CC">
                  <w:pPr>
                    <w:pStyle w:val="13"/>
                    <w:keepNext w:val="0"/>
                    <w:keepLines w:val="0"/>
                    <w:pageBreakBefore w:val="0"/>
                    <w:tabs>
                      <w:tab w:val="left" w:pos="0"/>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预处理池产生的恶臭气体经负压收集+生物滤池处理系统处理后由15m高排气筒（DA002）排放</w:t>
                  </w:r>
                </w:p>
              </w:tc>
              <w:tc>
                <w:tcPr>
                  <w:tcW w:w="1668" w:type="pct"/>
                  <w:tcBorders>
                    <w:top w:val="single" w:color="auto" w:sz="4" w:space="0"/>
                    <w:bottom w:val="single" w:color="auto" w:sz="4" w:space="0"/>
                  </w:tcBorders>
                  <w:vAlign w:val="center"/>
                </w:tcPr>
                <w:p w14:paraId="6C36CDDC">
                  <w:pPr>
                    <w:keepNext w:val="0"/>
                    <w:keepLines w:val="0"/>
                    <w:pageBreakBefore w:val="0"/>
                    <w:widowControl w:val="0"/>
                    <w:kinsoku/>
                    <w:wordWrap/>
                    <w:overflowPunct/>
                    <w:topLinePunct w:val="0"/>
                    <w:autoSpaceDE/>
                    <w:autoSpaceDN/>
                    <w:bidi w:val="0"/>
                    <w:adjustRightInd w:val="0"/>
                    <w:snapToGrid w:val="0"/>
                    <w:spacing w:before="60" w:after="6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实际建设1套</w:t>
                  </w:r>
                  <w:r>
                    <w:rPr>
                      <w:rFonts w:hint="default" w:ascii="Times New Roman" w:hAnsi="Times New Roman" w:eastAsia="宋体" w:cs="Times New Roman"/>
                      <w:color w:val="auto"/>
                      <w:kern w:val="0"/>
                      <w:sz w:val="21"/>
                      <w:szCs w:val="21"/>
                      <w:lang w:val="en-US" w:eastAsia="zh-CN" w:bidi="ar-SA"/>
                    </w:rPr>
                    <w:t>恶臭气体经负压收集+生物滤池处理系统处理后由15m高排气筒排放</w:t>
                  </w:r>
                </w:p>
              </w:tc>
              <w:tc>
                <w:tcPr>
                  <w:tcW w:w="495" w:type="pct"/>
                  <w:tcBorders>
                    <w:top w:val="single" w:color="auto" w:sz="4" w:space="0"/>
                    <w:bottom w:val="single" w:color="auto" w:sz="4" w:space="0"/>
                  </w:tcBorders>
                  <w:vAlign w:val="center"/>
                </w:tcPr>
                <w:p w14:paraId="2ADB2961">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54146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36485F8F">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Merge w:val="continue"/>
                  <w:vAlign w:val="center"/>
                </w:tcPr>
                <w:p w14:paraId="45FE6E19">
                  <w:pPr>
                    <w:pStyle w:val="38"/>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p>
              </w:tc>
              <w:tc>
                <w:tcPr>
                  <w:tcW w:w="1866" w:type="pct"/>
                  <w:tcBorders>
                    <w:top w:val="single" w:color="auto" w:sz="4" w:space="0"/>
                    <w:bottom w:val="single" w:color="auto" w:sz="4" w:space="0"/>
                  </w:tcBorders>
                  <w:vAlign w:val="center"/>
                </w:tcPr>
                <w:p w14:paraId="61B70588">
                  <w:pPr>
                    <w:pStyle w:val="13"/>
                    <w:keepNext w:val="0"/>
                    <w:keepLines w:val="0"/>
                    <w:pageBreakBefore w:val="0"/>
                    <w:widowControl/>
                    <w:tabs>
                      <w:tab w:val="left" w:pos="0"/>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沼气燃烧尾气由发电机组配套的SCR脱硝装置处理后经1根15米高排气筒（DA003）排放</w:t>
                  </w:r>
                </w:p>
              </w:tc>
              <w:tc>
                <w:tcPr>
                  <w:tcW w:w="1668" w:type="pct"/>
                  <w:tcBorders>
                    <w:top w:val="single" w:color="auto" w:sz="4" w:space="0"/>
                    <w:bottom w:val="single" w:color="auto" w:sz="4" w:space="0"/>
                  </w:tcBorders>
                  <w:vAlign w:val="center"/>
                </w:tcPr>
                <w:p w14:paraId="10D2B3ED">
                  <w:pPr>
                    <w:pStyle w:val="13"/>
                    <w:keepNext w:val="0"/>
                    <w:keepLines w:val="0"/>
                    <w:pageBreakBefore w:val="0"/>
                    <w:widowControl/>
                    <w:tabs>
                      <w:tab w:val="left" w:pos="0"/>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实际建设1套</w:t>
                  </w:r>
                  <w:r>
                    <w:rPr>
                      <w:rFonts w:hint="default" w:ascii="Times New Roman" w:hAnsi="Times New Roman" w:eastAsia="宋体" w:cs="Times New Roman"/>
                      <w:color w:val="auto"/>
                      <w:kern w:val="0"/>
                      <w:sz w:val="21"/>
                      <w:szCs w:val="21"/>
                      <w:lang w:val="en-US" w:eastAsia="zh-CN" w:bidi="ar-SA"/>
                    </w:rPr>
                    <w:t>SCR脱硝装置处理后经1根15米高排气筒排放</w:t>
                  </w:r>
                </w:p>
              </w:tc>
              <w:tc>
                <w:tcPr>
                  <w:tcW w:w="495" w:type="pct"/>
                  <w:tcBorders>
                    <w:top w:val="single" w:color="auto" w:sz="4" w:space="0"/>
                    <w:bottom w:val="single" w:color="auto" w:sz="4" w:space="0"/>
                  </w:tcBorders>
                  <w:vAlign w:val="center"/>
                </w:tcPr>
                <w:p w14:paraId="464F6DDD">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与环评一致</w:t>
                  </w:r>
                </w:p>
              </w:tc>
            </w:tr>
            <w:tr w14:paraId="609AB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5A853659">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Align w:val="center"/>
                </w:tcPr>
                <w:p w14:paraId="1E03090C">
                  <w:pPr>
                    <w:keepNext w:val="0"/>
                    <w:keepLines w:val="0"/>
                    <w:pageBreakBefore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噪声控制</w:t>
                  </w:r>
                </w:p>
              </w:tc>
              <w:tc>
                <w:tcPr>
                  <w:tcW w:w="1866" w:type="pct"/>
                  <w:tcBorders>
                    <w:top w:val="single" w:color="auto" w:sz="4" w:space="0"/>
                  </w:tcBorders>
                  <w:vAlign w:val="center"/>
                </w:tcPr>
                <w:p w14:paraId="4C41AD4E">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选用低噪声设备，合理布局，对产噪设备采取基础减震、隔声等措施</w:t>
                  </w:r>
                </w:p>
              </w:tc>
              <w:tc>
                <w:tcPr>
                  <w:tcW w:w="1668" w:type="pct"/>
                  <w:tcBorders>
                    <w:top w:val="single" w:color="auto" w:sz="4" w:space="0"/>
                  </w:tcBorders>
                  <w:vAlign w:val="center"/>
                </w:tcPr>
                <w:p w14:paraId="7494E3A9">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选用低噪声设备，合理布局，对产噪设备采取基础减震、隔声等措施</w:t>
                  </w:r>
                </w:p>
              </w:tc>
              <w:tc>
                <w:tcPr>
                  <w:tcW w:w="495" w:type="pct"/>
                  <w:tcBorders>
                    <w:top w:val="single" w:color="auto" w:sz="4" w:space="0"/>
                  </w:tcBorders>
                  <w:vAlign w:val="center"/>
                </w:tcPr>
                <w:p w14:paraId="6B28207E">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与环评一致</w:t>
                  </w:r>
                </w:p>
              </w:tc>
            </w:tr>
            <w:tr w14:paraId="6936D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00761C15">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Merge w:val="restart"/>
                  <w:vAlign w:val="center"/>
                </w:tcPr>
                <w:p w14:paraId="54BA2204">
                  <w:pPr>
                    <w:keepNext w:val="0"/>
                    <w:keepLines w:val="0"/>
                    <w:pageBreakBefore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固废处置</w:t>
                  </w:r>
                </w:p>
              </w:tc>
              <w:tc>
                <w:tcPr>
                  <w:tcW w:w="1866" w:type="pct"/>
                  <w:tcBorders>
                    <w:top w:val="single" w:color="auto" w:sz="4" w:space="0"/>
                  </w:tcBorders>
                  <w:vAlign w:val="center"/>
                </w:tcPr>
                <w:p w14:paraId="700578AB">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一般固废暂存间：废过滤膜、废脱硫剂以及废脱碳膜均可交由厂家回收处理。生活垃圾交由环卫部门统一处理</w:t>
                  </w:r>
                </w:p>
              </w:tc>
              <w:tc>
                <w:tcPr>
                  <w:tcW w:w="1668" w:type="pct"/>
                  <w:tcBorders>
                    <w:top w:val="single" w:color="auto" w:sz="4" w:space="0"/>
                  </w:tcBorders>
                  <w:vAlign w:val="center"/>
                </w:tcPr>
                <w:p w14:paraId="798588F8">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实际建设1间一般固废暂存间，建筑面积约10㎡，交有厂家回收处理，生活垃圾交由环卫部门统一处理</w:t>
                  </w:r>
                </w:p>
              </w:tc>
              <w:tc>
                <w:tcPr>
                  <w:tcW w:w="495" w:type="pct"/>
                  <w:tcBorders>
                    <w:top w:val="single" w:color="auto" w:sz="4" w:space="0"/>
                  </w:tcBorders>
                  <w:vAlign w:val="center"/>
                </w:tcPr>
                <w:p w14:paraId="26B37B99">
                  <w:pPr>
                    <w:keepNext w:val="0"/>
                    <w:keepLines w:val="0"/>
                    <w:pageBreakBefore w:val="0"/>
                    <w:suppressLineNumbers w:val="0"/>
                    <w:kinsoku/>
                    <w:wordWrap/>
                    <w:overflowPunct/>
                    <w:topLinePunct w:val="0"/>
                    <w:autoSpaceDE/>
                    <w:autoSpaceDN/>
                    <w:bidi w:val="0"/>
                    <w:adjustRightInd w:val="0"/>
                    <w:snapToGrid w:val="0"/>
                    <w:spacing w:before="60" w:beforeAutospacing="0" w:after="60" w:afterAutospacing="0" w:line="240" w:lineRule="auto"/>
                    <w:ind w:left="0" w:right="0" w:righ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与环评一致</w:t>
                  </w:r>
                </w:p>
              </w:tc>
            </w:tr>
            <w:tr w14:paraId="67758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32B4A382">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Merge w:val="continue"/>
                  <w:vAlign w:val="center"/>
                </w:tcPr>
                <w:p w14:paraId="29670CA7">
                  <w:pPr>
                    <w:keepNext w:val="0"/>
                    <w:keepLines w:val="0"/>
                    <w:pageBreakBefore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p>
              </w:tc>
              <w:tc>
                <w:tcPr>
                  <w:tcW w:w="1866" w:type="pct"/>
                  <w:tcBorders>
                    <w:top w:val="single" w:color="auto" w:sz="4" w:space="0"/>
                  </w:tcBorders>
                  <w:vAlign w:val="center"/>
                </w:tcPr>
                <w:p w14:paraId="0E0688CF">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危险废物：项目产生的危险废物为废催化剂、废机油、废生物除臭剂包装桶和废机油桶，在危废暂存间内暂存后，定期委托有资质的单位处置</w:t>
                  </w:r>
                </w:p>
              </w:tc>
              <w:tc>
                <w:tcPr>
                  <w:tcW w:w="1668" w:type="pct"/>
                  <w:tcBorders>
                    <w:top w:val="single" w:color="auto" w:sz="4" w:space="0"/>
                  </w:tcBorders>
                  <w:vAlign w:val="center"/>
                </w:tcPr>
                <w:p w14:paraId="0C09BFB3">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实际建设1间危废暂存间，建筑面积约1</w:t>
                  </w:r>
                  <w:r>
                    <w:rPr>
                      <w:rFonts w:hint="eastAsia" w:ascii="Times New Roman" w:hAnsi="Times New Roman" w:eastAsia="宋体" w:cs="Times New Roman"/>
                      <w:color w:val="auto"/>
                      <w:kern w:val="0"/>
                      <w:sz w:val="21"/>
                      <w:szCs w:val="21"/>
                      <w:lang w:val="en-US" w:eastAsia="zh-CN" w:bidi="ar-SA"/>
                    </w:rPr>
                    <w:t>0m</w:t>
                  </w:r>
                  <w:r>
                    <w:rPr>
                      <w:rFonts w:hint="eastAsia" w:ascii="Times New Roman" w:hAnsi="Times New Roman" w:eastAsia="宋体" w:cs="Times New Roman"/>
                      <w:color w:val="auto"/>
                      <w:kern w:val="0"/>
                      <w:sz w:val="21"/>
                      <w:szCs w:val="21"/>
                      <w:vertAlign w:val="superscript"/>
                      <w:lang w:val="en-US" w:eastAsia="zh-CN" w:bidi="ar-SA"/>
                    </w:rPr>
                    <w:t>2</w:t>
                  </w:r>
                  <w:r>
                    <w:rPr>
                      <w:rFonts w:hint="default" w:ascii="Times New Roman" w:hAnsi="Times New Roman" w:eastAsia="宋体" w:cs="Times New Roman"/>
                      <w:color w:val="auto"/>
                      <w:kern w:val="0"/>
                      <w:sz w:val="21"/>
                      <w:szCs w:val="21"/>
                      <w:lang w:val="en-US" w:eastAsia="zh-CN" w:bidi="ar-SA"/>
                    </w:rPr>
                    <w:t>，定期委托有资质的单位处置</w:t>
                  </w:r>
                </w:p>
              </w:tc>
              <w:tc>
                <w:tcPr>
                  <w:tcW w:w="495" w:type="pct"/>
                  <w:tcBorders>
                    <w:top w:val="single" w:color="auto" w:sz="4" w:space="0"/>
                  </w:tcBorders>
                  <w:vAlign w:val="center"/>
                </w:tcPr>
                <w:p w14:paraId="171DB60D">
                  <w:pPr>
                    <w:keepNext w:val="0"/>
                    <w:keepLines w:val="0"/>
                    <w:pageBreakBefore w:val="0"/>
                    <w:widowControl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与环评一致</w:t>
                  </w:r>
                </w:p>
              </w:tc>
            </w:tr>
            <w:tr w14:paraId="4FF7D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6CD9D4A2">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Align w:val="center"/>
                </w:tcPr>
                <w:p w14:paraId="097F082E">
                  <w:pPr>
                    <w:keepNext w:val="0"/>
                    <w:keepLines w:val="0"/>
                    <w:pageBreakBefore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风险防范</w:t>
                  </w:r>
                </w:p>
              </w:tc>
              <w:tc>
                <w:tcPr>
                  <w:tcW w:w="1866" w:type="pct"/>
                  <w:tcBorders>
                    <w:top w:val="single" w:color="auto" w:sz="4" w:space="0"/>
                    <w:bottom w:val="single" w:color="auto" w:sz="4" w:space="0"/>
                  </w:tcBorders>
                  <w:vAlign w:val="center"/>
                </w:tcPr>
                <w:p w14:paraId="78283471">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厌氧发酵罐区设置围堰，围堰容积不小于2000立方（厌氧发酵罐容积为3000m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color w:val="auto"/>
                      <w:kern w:val="0"/>
                      <w:sz w:val="21"/>
                      <w:szCs w:val="21"/>
                      <w:lang w:val="en-US" w:eastAsia="zh-CN" w:bidi="ar-SA"/>
                    </w:rPr>
                    <w:t>，其最大沼液存放量为2000m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color w:val="auto"/>
                      <w:kern w:val="0"/>
                      <w:sz w:val="21"/>
                      <w:szCs w:val="21"/>
                      <w:lang w:val="en-US" w:eastAsia="zh-CN" w:bidi="ar-SA"/>
                    </w:rPr>
                    <w:t>，围堰尺寸要求不低于 40m*20m*2.5m）；完善风险防范与应急措施，制定突发环境事件应急预案，配备相应应急物资；</w:t>
                  </w:r>
                </w:p>
              </w:tc>
              <w:tc>
                <w:tcPr>
                  <w:tcW w:w="1668" w:type="pct"/>
                  <w:tcBorders>
                    <w:top w:val="single" w:color="auto" w:sz="4" w:space="0"/>
                    <w:bottom w:val="single" w:color="auto" w:sz="4" w:space="0"/>
                  </w:tcBorders>
                  <w:vAlign w:val="center"/>
                </w:tcPr>
                <w:p w14:paraId="380817A0">
                  <w:pPr>
                    <w:keepNext w:val="0"/>
                    <w:keepLines w:val="0"/>
                    <w:pageBreakBefore w:val="0"/>
                    <w:widowControl/>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根据《污染影响类建设项目重大变动清单（试行）》第13条规定，事故废水暂存能力或拦截设施变化，导致环境风险防范能力弱化或降低的。故而本项目建设2000m</w:t>
                  </w:r>
                  <w:r>
                    <w:rPr>
                      <w:rFonts w:hint="default" w:ascii="Times New Roman" w:hAnsi="Times New Roman" w:eastAsia="宋体" w:cs="Times New Roman"/>
                      <w:color w:val="auto"/>
                      <w:kern w:val="0"/>
                      <w:sz w:val="21"/>
                      <w:szCs w:val="21"/>
                      <w:vertAlign w:val="superscript"/>
                      <w:lang w:val="en-US" w:eastAsia="zh-CN" w:bidi="ar-SA"/>
                    </w:rPr>
                    <w:t>3</w:t>
                  </w:r>
                  <w:r>
                    <w:rPr>
                      <w:rFonts w:hint="default" w:ascii="Times New Roman" w:hAnsi="Times New Roman" w:eastAsia="宋体" w:cs="Times New Roman"/>
                      <w:color w:val="auto"/>
                      <w:kern w:val="0"/>
                      <w:sz w:val="21"/>
                      <w:szCs w:val="21"/>
                      <w:vertAlign w:val="baseline"/>
                      <w:lang w:val="en-US" w:eastAsia="zh-CN" w:bidi="ar-SA"/>
                    </w:rPr>
                    <w:t>事故应急池替代围堰</w:t>
                  </w:r>
                </w:p>
              </w:tc>
              <w:tc>
                <w:tcPr>
                  <w:tcW w:w="495" w:type="pct"/>
                  <w:tcBorders>
                    <w:top w:val="single" w:color="auto" w:sz="4" w:space="0"/>
                    <w:bottom w:val="single" w:color="auto" w:sz="4" w:space="0"/>
                  </w:tcBorders>
                  <w:vAlign w:val="center"/>
                </w:tcPr>
                <w:p w14:paraId="6754FB3F">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与环评不一致</w:t>
                  </w:r>
                </w:p>
              </w:tc>
            </w:tr>
            <w:tr w14:paraId="3F313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38" w:type="pct"/>
                  <w:vMerge w:val="continue"/>
                  <w:vAlign w:val="center"/>
                </w:tcPr>
                <w:p w14:paraId="1AADBD78">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Merge w:val="restart"/>
                  <w:vAlign w:val="center"/>
                </w:tcPr>
                <w:p w14:paraId="3691F4C2">
                  <w:pPr>
                    <w:keepNext w:val="0"/>
                    <w:keepLines w:val="0"/>
                    <w:pageBreakBefore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地下水、土 壤</w:t>
                  </w:r>
                </w:p>
              </w:tc>
              <w:tc>
                <w:tcPr>
                  <w:tcW w:w="1866" w:type="pct"/>
                  <w:tcBorders>
                    <w:top w:val="single" w:color="auto" w:sz="4" w:space="0"/>
                    <w:bottom w:val="single" w:color="auto" w:sz="4" w:space="0"/>
                  </w:tcBorders>
                  <w:shd w:val="clear" w:color="auto" w:fill="auto"/>
                  <w:vAlign w:val="center"/>
                </w:tcPr>
                <w:p w14:paraId="009DA9F2">
                  <w:pPr>
                    <w:keepNext w:val="0"/>
                    <w:keepLines w:val="0"/>
                    <w:pageBreakBefore w:val="0"/>
                    <w:widowControl/>
                    <w:kinsoku/>
                    <w:wordWrap/>
                    <w:overflowPunct/>
                    <w:topLinePunct w:val="0"/>
                    <w:autoSpaceDE/>
                    <w:autoSpaceDN/>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危险废物暂存间、危险化学品仓库、机油仓库、预处理池、厌氧发酵罐区、黑膜沼液池</w:t>
                  </w:r>
                  <w:r>
                    <w:rPr>
                      <w:rFonts w:hint="eastAsia" w:cs="Times New Roman"/>
                      <w:color w:val="auto"/>
                      <w:kern w:val="0"/>
                      <w:sz w:val="21"/>
                      <w:szCs w:val="21"/>
                      <w:lang w:val="en-US" w:eastAsia="zh-CN" w:bidi="ar-SA"/>
                    </w:rPr>
                    <w:t>作为</w:t>
                  </w:r>
                  <w:r>
                    <w:rPr>
                      <w:rFonts w:hint="default" w:ascii="Times New Roman" w:hAnsi="Times New Roman" w:eastAsia="宋体" w:cs="Times New Roman"/>
                      <w:color w:val="auto"/>
                      <w:kern w:val="0"/>
                      <w:sz w:val="21"/>
                      <w:szCs w:val="21"/>
                      <w:lang w:val="en-US" w:eastAsia="zh-CN" w:bidi="ar-SA"/>
                    </w:rPr>
                    <w:t>重点防渗区</w:t>
                  </w:r>
                  <w:r>
                    <w:rPr>
                      <w:rFonts w:hint="eastAsia" w:cs="Times New Roman"/>
                      <w:color w:val="auto"/>
                      <w:kern w:val="0"/>
                      <w:sz w:val="21"/>
                      <w:szCs w:val="21"/>
                      <w:lang w:val="en-US" w:eastAsia="zh-CN" w:bidi="ar-SA"/>
                    </w:rPr>
                    <w:t>，</w:t>
                  </w:r>
                  <w:r>
                    <w:rPr>
                      <w:rFonts w:ascii="Times New Roman" w:hAnsi="Times New Roman" w:cs="Times New Roman"/>
                      <w:color w:val="auto"/>
                      <w:kern w:val="2"/>
                      <w:sz w:val="21"/>
                      <w:szCs w:val="21"/>
                      <w:lang w:eastAsia="zh-CN"/>
                    </w:rPr>
                    <w:t>等效黏土防渗层Mb≧6m，K≦10</w:t>
                  </w:r>
                  <w:r>
                    <w:rPr>
                      <w:rFonts w:ascii="Times New Roman" w:hAnsi="Times New Roman" w:cs="Times New Roman"/>
                      <w:color w:val="auto"/>
                      <w:kern w:val="2"/>
                      <w:sz w:val="21"/>
                      <w:szCs w:val="21"/>
                      <w:vertAlign w:val="superscript"/>
                      <w:lang w:eastAsia="zh-CN"/>
                    </w:rPr>
                    <w:t>-7</w:t>
                  </w:r>
                  <w:r>
                    <w:rPr>
                      <w:rFonts w:ascii="Times New Roman" w:hAnsi="Times New Roman" w:cs="Times New Roman"/>
                      <w:color w:val="auto"/>
                      <w:kern w:val="2"/>
                      <w:sz w:val="21"/>
                      <w:szCs w:val="21"/>
                      <w:lang w:eastAsia="zh-CN"/>
                    </w:rPr>
                    <w:t>cm/s</w:t>
                  </w:r>
                </w:p>
              </w:tc>
              <w:tc>
                <w:tcPr>
                  <w:tcW w:w="1668" w:type="pct"/>
                  <w:tcBorders>
                    <w:top w:val="single" w:color="auto" w:sz="4" w:space="0"/>
                    <w:bottom w:val="single" w:color="auto" w:sz="4" w:space="0"/>
                  </w:tcBorders>
                  <w:shd w:val="clear" w:color="auto" w:fill="auto"/>
                  <w:vAlign w:val="center"/>
                </w:tcPr>
                <w:p w14:paraId="5BA2ADB7">
                  <w:pPr>
                    <w:keepNext w:val="0"/>
                    <w:keepLines w:val="0"/>
                    <w:pageBreakBefore w:val="0"/>
                    <w:widowControl/>
                    <w:kinsoku/>
                    <w:wordWrap/>
                    <w:overflowPunct/>
                    <w:topLinePunct w:val="0"/>
                    <w:autoSpaceDE/>
                    <w:autoSpaceDN/>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危险废物暂存间、危险化学品仓库、机油仓库、预处理池、厌氧发酵罐区、黑膜沼液池</w:t>
                  </w:r>
                  <w:r>
                    <w:rPr>
                      <w:rFonts w:hint="eastAsia" w:cs="Times New Roman"/>
                      <w:color w:val="auto"/>
                      <w:kern w:val="0"/>
                      <w:sz w:val="21"/>
                      <w:szCs w:val="21"/>
                      <w:lang w:val="en-US" w:eastAsia="zh-CN" w:bidi="ar-SA"/>
                    </w:rPr>
                    <w:t>作为</w:t>
                  </w:r>
                  <w:r>
                    <w:rPr>
                      <w:rFonts w:hint="default" w:ascii="Times New Roman" w:hAnsi="Times New Roman" w:eastAsia="宋体" w:cs="Times New Roman"/>
                      <w:color w:val="auto"/>
                      <w:kern w:val="0"/>
                      <w:sz w:val="21"/>
                      <w:szCs w:val="21"/>
                      <w:lang w:val="en-US" w:eastAsia="zh-CN" w:bidi="ar-SA"/>
                    </w:rPr>
                    <w:t>重点防渗区</w:t>
                  </w:r>
                  <w:r>
                    <w:rPr>
                      <w:rFonts w:hint="eastAsia" w:ascii="Times New Roman" w:hAnsi="Times New Roman" w:eastAsia="宋体" w:cs="Times New Roman"/>
                      <w:color w:val="auto"/>
                      <w:kern w:val="0"/>
                      <w:sz w:val="21"/>
                      <w:szCs w:val="21"/>
                      <w:lang w:val="en-US" w:eastAsia="zh-CN" w:bidi="ar-SA"/>
                    </w:rPr>
                    <w:t>，进行了重点防渗施工</w:t>
                  </w:r>
                </w:p>
              </w:tc>
              <w:tc>
                <w:tcPr>
                  <w:tcW w:w="495" w:type="pct"/>
                  <w:tcBorders>
                    <w:top w:val="single" w:color="auto" w:sz="4" w:space="0"/>
                    <w:bottom w:val="single" w:color="auto" w:sz="4" w:space="0"/>
                  </w:tcBorders>
                  <w:vAlign w:val="center"/>
                </w:tcPr>
                <w:p w14:paraId="5D220966">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r w14:paraId="33C81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8" w:type="pct"/>
                  <w:vMerge w:val="continue"/>
                  <w:vAlign w:val="center"/>
                </w:tcPr>
                <w:p w14:paraId="7CEB105C">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rPr>
                  </w:pPr>
                </w:p>
              </w:tc>
              <w:tc>
                <w:tcPr>
                  <w:tcW w:w="530" w:type="pct"/>
                  <w:vMerge w:val="continue"/>
                  <w:vAlign w:val="center"/>
                </w:tcPr>
                <w:p w14:paraId="6D977379">
                  <w:pPr>
                    <w:keepNext w:val="0"/>
                    <w:keepLines w:val="0"/>
                    <w:pageBreakBefore w:val="0"/>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eastAsia="zh-CN"/>
                    </w:rPr>
                  </w:pPr>
                </w:p>
              </w:tc>
              <w:tc>
                <w:tcPr>
                  <w:tcW w:w="1866" w:type="pct"/>
                  <w:tcBorders>
                    <w:top w:val="single" w:color="auto" w:sz="4" w:space="0"/>
                    <w:bottom w:val="single" w:color="auto" w:sz="4" w:space="0"/>
                  </w:tcBorders>
                  <w:shd w:val="clear" w:color="auto" w:fill="auto"/>
                  <w:vAlign w:val="center"/>
                </w:tcPr>
                <w:p w14:paraId="6680E269">
                  <w:pPr>
                    <w:keepNext w:val="0"/>
                    <w:keepLines w:val="0"/>
                    <w:pageBreakBefore w:val="0"/>
                    <w:widowControl/>
                    <w:kinsoku/>
                    <w:wordWrap/>
                    <w:overflowPunct/>
                    <w:topLinePunct w:val="0"/>
                    <w:autoSpaceDE/>
                    <w:autoSpaceDN/>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仓库、一般工业固体废物暂存间、生产车间等</w:t>
                  </w:r>
                  <w:r>
                    <w:rPr>
                      <w:rFonts w:hint="eastAsia" w:cs="Times New Roman"/>
                      <w:color w:val="auto"/>
                      <w:kern w:val="0"/>
                      <w:sz w:val="21"/>
                      <w:szCs w:val="21"/>
                      <w:lang w:val="en-US" w:eastAsia="zh-CN" w:bidi="ar-SA"/>
                    </w:rPr>
                    <w:t>作为</w:t>
                  </w:r>
                  <w:r>
                    <w:rPr>
                      <w:rFonts w:hint="default" w:ascii="Times New Roman" w:hAnsi="Times New Roman" w:eastAsia="宋体" w:cs="Times New Roman"/>
                      <w:color w:val="auto"/>
                      <w:kern w:val="0"/>
                      <w:sz w:val="21"/>
                      <w:szCs w:val="21"/>
                      <w:lang w:val="en-US" w:eastAsia="zh-CN" w:bidi="ar-SA"/>
                    </w:rPr>
                    <w:t>一般防渗区</w:t>
                  </w:r>
                  <w:r>
                    <w:rPr>
                      <w:rFonts w:hint="eastAsia" w:cs="Times New Roman"/>
                      <w:color w:val="auto"/>
                      <w:kern w:val="0"/>
                      <w:sz w:val="21"/>
                      <w:szCs w:val="21"/>
                      <w:lang w:val="en-US" w:eastAsia="zh-CN" w:bidi="ar-SA"/>
                    </w:rPr>
                    <w:t>，</w:t>
                  </w:r>
                  <w:r>
                    <w:rPr>
                      <w:rFonts w:ascii="Times New Roman" w:hAnsi="Times New Roman" w:cs="Times New Roman"/>
                      <w:color w:val="auto"/>
                      <w:kern w:val="2"/>
                      <w:sz w:val="21"/>
                      <w:szCs w:val="21"/>
                      <w:lang w:eastAsia="zh-CN"/>
                    </w:rPr>
                    <w:t>等效黏土防渗层Mb≧1.5m，K≦10</w:t>
                  </w:r>
                  <w:r>
                    <w:rPr>
                      <w:rFonts w:ascii="Times New Roman" w:hAnsi="Times New Roman" w:cs="Times New Roman"/>
                      <w:color w:val="auto"/>
                      <w:kern w:val="2"/>
                      <w:sz w:val="21"/>
                      <w:szCs w:val="21"/>
                      <w:vertAlign w:val="superscript"/>
                      <w:lang w:eastAsia="zh-CN"/>
                    </w:rPr>
                    <w:t>-7</w:t>
                  </w:r>
                  <w:r>
                    <w:rPr>
                      <w:rFonts w:ascii="Times New Roman" w:hAnsi="Times New Roman" w:cs="Times New Roman"/>
                      <w:color w:val="auto"/>
                      <w:kern w:val="2"/>
                      <w:sz w:val="21"/>
                      <w:szCs w:val="21"/>
                      <w:lang w:eastAsia="zh-CN"/>
                    </w:rPr>
                    <w:t>cm/s</w:t>
                  </w:r>
                </w:p>
              </w:tc>
              <w:tc>
                <w:tcPr>
                  <w:tcW w:w="1668" w:type="pct"/>
                  <w:tcBorders>
                    <w:top w:val="single" w:color="auto" w:sz="4" w:space="0"/>
                    <w:bottom w:val="single" w:color="auto" w:sz="4" w:space="0"/>
                  </w:tcBorders>
                  <w:shd w:val="clear" w:color="auto" w:fill="auto"/>
                  <w:vAlign w:val="center"/>
                </w:tcPr>
                <w:p w14:paraId="7DCF5F80">
                  <w:pPr>
                    <w:keepNext w:val="0"/>
                    <w:keepLines w:val="0"/>
                    <w:pageBreakBefore w:val="0"/>
                    <w:widowControl/>
                    <w:kinsoku/>
                    <w:wordWrap/>
                    <w:overflowPunct/>
                    <w:topLinePunct w:val="0"/>
                    <w:autoSpaceDE/>
                    <w:autoSpaceDN/>
                    <w:bidi w:val="0"/>
                    <w:adjustRightInd w:val="0"/>
                    <w:snapToGrid w:val="0"/>
                    <w:spacing w:before="60" w:after="60" w:line="240" w:lineRule="auto"/>
                    <w:ind w:left="0" w:leftChars="0" w:right="0" w:rightChars="0"/>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仓库、一般工业固体废物暂存间、生产车间等</w:t>
                  </w:r>
                  <w:r>
                    <w:rPr>
                      <w:rFonts w:hint="eastAsia" w:cs="Times New Roman"/>
                      <w:color w:val="auto"/>
                      <w:kern w:val="0"/>
                      <w:sz w:val="21"/>
                      <w:szCs w:val="21"/>
                      <w:lang w:val="en-US" w:eastAsia="zh-CN" w:bidi="ar-SA"/>
                    </w:rPr>
                    <w:t>作为</w:t>
                  </w:r>
                  <w:r>
                    <w:rPr>
                      <w:rFonts w:hint="default" w:ascii="Times New Roman" w:hAnsi="Times New Roman" w:eastAsia="宋体" w:cs="Times New Roman"/>
                      <w:color w:val="auto"/>
                      <w:kern w:val="0"/>
                      <w:sz w:val="21"/>
                      <w:szCs w:val="21"/>
                      <w:lang w:val="en-US" w:eastAsia="zh-CN" w:bidi="ar-SA"/>
                    </w:rPr>
                    <w:t>一般防渗区</w:t>
                  </w:r>
                  <w:r>
                    <w:rPr>
                      <w:rFonts w:hint="eastAsia" w:ascii="Times New Roman" w:hAnsi="Times New Roman" w:eastAsia="宋体" w:cs="Times New Roman"/>
                      <w:color w:val="auto"/>
                      <w:kern w:val="0"/>
                      <w:sz w:val="21"/>
                      <w:szCs w:val="21"/>
                      <w:lang w:val="en-US" w:eastAsia="zh-CN" w:bidi="ar-SA"/>
                    </w:rPr>
                    <w:t>，进行了一般防渗施工</w:t>
                  </w:r>
                </w:p>
              </w:tc>
              <w:tc>
                <w:tcPr>
                  <w:tcW w:w="495" w:type="pct"/>
                  <w:tcBorders>
                    <w:top w:val="single" w:color="auto" w:sz="4" w:space="0"/>
                    <w:bottom w:val="single" w:color="auto" w:sz="4" w:space="0"/>
                  </w:tcBorders>
                  <w:vAlign w:val="center"/>
                </w:tcPr>
                <w:p w14:paraId="00751C43">
                  <w:pPr>
                    <w:keepNext w:val="0"/>
                    <w:keepLines w:val="0"/>
                    <w:pageBreakBefore w:val="0"/>
                    <w:widowControl w:val="0"/>
                    <w:tabs>
                      <w:tab w:val="left" w:pos="567"/>
                    </w:tabs>
                    <w:kinsoku/>
                    <w:wordWrap/>
                    <w:overflowPunct/>
                    <w:topLinePunct w:val="0"/>
                    <w:autoSpaceDE/>
                    <w:autoSpaceDN/>
                    <w:bidi w:val="0"/>
                    <w:adjustRightInd w:val="0"/>
                    <w:snapToGrid w:val="0"/>
                    <w:spacing w:before="60" w:after="60" w:line="240" w:lineRule="auto"/>
                    <w:ind w:left="0" w:right="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与环评一致</w:t>
                  </w:r>
                </w:p>
              </w:tc>
            </w:tr>
          </w:tbl>
          <w:p w14:paraId="7424925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Times New Roman" w:hAnsi="Times New Roman" w:eastAsia="宋体" w:cs="Times New Roman"/>
                <w:b/>
                <w:bCs/>
                <w:color w:val="auto"/>
                <w:sz w:val="24"/>
                <w:szCs w:val="24"/>
                <w:lang w:val="en-US" w:eastAsia="zh-CN"/>
              </w:rPr>
            </w:pPr>
            <w:r>
              <w:rPr>
                <w:rFonts w:hint="eastAsia" w:cs="Times New Roman"/>
                <w:b/>
                <w:bCs/>
                <w:color w:val="auto"/>
                <w:sz w:val="24"/>
                <w:szCs w:val="24"/>
                <w:lang w:val="en-US" w:eastAsia="zh-CN"/>
              </w:rPr>
              <w:t>2、</w:t>
            </w:r>
            <w:r>
              <w:rPr>
                <w:rFonts w:hint="eastAsia" w:ascii="Times New Roman" w:hAnsi="Times New Roman" w:eastAsia="宋体" w:cs="Times New Roman"/>
                <w:b/>
                <w:bCs/>
                <w:color w:val="auto"/>
                <w:sz w:val="24"/>
                <w:szCs w:val="24"/>
                <w:lang w:val="en-US" w:eastAsia="zh-CN"/>
              </w:rPr>
              <w:t>现有工程污染物排放情况</w:t>
            </w:r>
          </w:p>
          <w:p w14:paraId="701CF7AD">
            <w:pPr>
              <w:pStyle w:val="16"/>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根据《架河循环产业园秸秆粪便资源化利用（一期）项目竣工环境保护验收监测报告表（阶段性）》中的</w:t>
            </w:r>
            <w:r>
              <w:rPr>
                <w:rFonts w:hint="eastAsia" w:cs="Times New Roman"/>
                <w:color w:val="auto"/>
                <w:sz w:val="24"/>
                <w:szCs w:val="24"/>
                <w:lang w:val="en-US" w:eastAsia="zh-CN"/>
              </w:rPr>
              <w:t>检测报告，结合项目实际建设情况进行</w:t>
            </w:r>
            <w:r>
              <w:rPr>
                <w:rFonts w:hint="eastAsia" w:ascii="Times New Roman" w:hAnsi="Times New Roman" w:cs="Times New Roman"/>
                <w:color w:val="auto"/>
                <w:sz w:val="24"/>
                <w:szCs w:val="24"/>
                <w:lang w:val="en-US" w:eastAsia="zh-CN"/>
              </w:rPr>
              <w:t>说明。</w:t>
            </w:r>
          </w:p>
          <w:p w14:paraId="76880944">
            <w:pPr>
              <w:pStyle w:val="16"/>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①废水</w:t>
            </w:r>
          </w:p>
          <w:p w14:paraId="4A26823A">
            <w:pPr>
              <w:pStyle w:val="16"/>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项目产生的废水包括生活废水、沼气脱水时产生的冷凝水、厂区和车辆冲洗废水以及初期雨水，生活废水、沼气脱水时产生的冷凝水、厂区和车辆冲洗废水以及初期雨水回用于预处理池进入生产使用</w:t>
            </w:r>
            <w:r>
              <w:rPr>
                <w:rFonts w:hint="eastAsia" w:ascii="Times New Roman" w:hAnsi="Times New Roman" w:cs="Times New Roman"/>
                <w:color w:val="auto"/>
                <w:sz w:val="24"/>
                <w:szCs w:val="24"/>
                <w:lang w:eastAsia="zh-CN"/>
              </w:rPr>
              <w:t>，所有废水不外排</w:t>
            </w:r>
            <w:r>
              <w:rPr>
                <w:rFonts w:hint="default" w:ascii="Times New Roman" w:hAnsi="Times New Roman" w:eastAsia="宋体" w:cs="Times New Roman"/>
                <w:color w:val="auto"/>
                <w:sz w:val="24"/>
                <w:szCs w:val="24"/>
              </w:rPr>
              <w:t>。</w:t>
            </w:r>
          </w:p>
          <w:p w14:paraId="6647CF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w:t>
            </w:r>
            <w:r>
              <w:rPr>
                <w:rFonts w:hint="default" w:ascii="Times New Roman" w:hAnsi="Times New Roman" w:eastAsia="宋体" w:cs="Times New Roman"/>
                <w:color w:val="auto"/>
                <w:sz w:val="24"/>
                <w:szCs w:val="24"/>
                <w:lang w:val="en-US" w:eastAsia="zh-CN"/>
              </w:rPr>
              <w:t>废气</w:t>
            </w:r>
          </w:p>
          <w:p w14:paraId="52684A65">
            <w:pPr>
              <w:spacing w:line="360" w:lineRule="auto"/>
              <w:ind w:firstLine="480" w:firstLineChars="200"/>
              <w:rPr>
                <w:rFonts w:hint="eastAsia" w:ascii="Times New Roman" w:hAnsi="Times New Roman" w:cs="Times New Roman"/>
                <w:color w:val="auto"/>
                <w:sz w:val="24"/>
                <w:szCs w:val="24"/>
                <w:lang w:val="en-US" w:eastAsia="zh-CN"/>
              </w:rPr>
            </w:pPr>
            <w:r>
              <w:rPr>
                <w:color w:val="auto"/>
                <w:sz w:val="24"/>
              </w:rPr>
              <w:t>本项目废气主要为</w:t>
            </w:r>
            <w:r>
              <w:rPr>
                <w:rFonts w:hint="eastAsia"/>
                <w:color w:val="auto"/>
                <w:kern w:val="0"/>
                <w:sz w:val="24"/>
                <w:lang w:val="en-US" w:eastAsia="zh-CN"/>
              </w:rPr>
              <w:t>预处理池生产的</w:t>
            </w:r>
            <w:r>
              <w:rPr>
                <w:color w:val="auto"/>
                <w:sz w:val="24"/>
              </w:rPr>
              <w:t>恶臭气体</w:t>
            </w:r>
            <w:r>
              <w:rPr>
                <w:rFonts w:hint="eastAsia"/>
                <w:color w:val="auto"/>
                <w:sz w:val="24"/>
              </w:rPr>
              <w:t>以及</w:t>
            </w:r>
            <w:r>
              <w:rPr>
                <w:color w:val="auto"/>
                <w:sz w:val="24"/>
              </w:rPr>
              <w:t>沼气燃烧废气</w:t>
            </w:r>
            <w:r>
              <w:rPr>
                <w:rFonts w:hint="eastAsia"/>
                <w:color w:val="auto"/>
                <w:sz w:val="24"/>
                <w:lang w:eastAsia="zh-CN"/>
              </w:rPr>
              <w:t>，</w:t>
            </w:r>
            <w:r>
              <w:rPr>
                <w:rFonts w:hint="default" w:ascii="Times New Roman" w:hAnsi="Times New Roman" w:eastAsia="宋体" w:cs="Times New Roman"/>
                <w:color w:val="auto"/>
                <w:sz w:val="24"/>
                <w:szCs w:val="24"/>
              </w:rPr>
              <w:t>现有工程营运期</w:t>
            </w:r>
            <w:r>
              <w:rPr>
                <w:rFonts w:hint="eastAsia" w:ascii="Times New Roman" w:hAnsi="Times New Roman" w:eastAsia="宋体" w:cs="Times New Roman"/>
                <w:color w:val="auto"/>
                <w:sz w:val="24"/>
                <w:szCs w:val="24"/>
                <w:lang w:eastAsia="zh-CN"/>
              </w:rPr>
              <w:t>废气</w:t>
            </w:r>
            <w:r>
              <w:rPr>
                <w:rFonts w:hint="default" w:ascii="Times New Roman" w:hAnsi="Times New Roman" w:eastAsia="宋体" w:cs="Times New Roman"/>
                <w:color w:val="auto"/>
                <w:sz w:val="24"/>
                <w:szCs w:val="24"/>
              </w:rPr>
              <w:t>污染物产生以及排放情况见下表：</w:t>
            </w:r>
          </w:p>
          <w:p w14:paraId="5E71D429">
            <w:pPr>
              <w:widowControl/>
              <w:spacing w:line="240" w:lineRule="auto"/>
              <w:jc w:val="center"/>
              <w:rPr>
                <w:rFonts w:hint="default" w:ascii="Times New Roman" w:hAnsi="Times New Roman" w:eastAsia="宋体" w:cs="Times New Roman"/>
                <w:b/>
                <w:bCs/>
                <w:color w:val="auto"/>
                <w:kern w:val="0"/>
                <w:szCs w:val="22"/>
                <w:highlight w:val="none"/>
                <w:shd w:val="clear" w:color="auto" w:fill="auto"/>
              </w:rPr>
            </w:pPr>
            <w:r>
              <w:rPr>
                <w:rFonts w:hint="default" w:ascii="Times New Roman" w:hAnsi="Times New Roman" w:eastAsia="宋体" w:cs="Times New Roman"/>
                <w:b/>
                <w:bCs/>
                <w:color w:val="auto"/>
                <w:kern w:val="0"/>
                <w:szCs w:val="22"/>
                <w:highlight w:val="none"/>
                <w:shd w:val="clear" w:color="auto" w:fill="auto"/>
              </w:rPr>
              <w:t>表</w:t>
            </w:r>
            <w:r>
              <w:rPr>
                <w:rFonts w:hint="default" w:ascii="Times New Roman" w:hAnsi="Times New Roman" w:cs="Times New Roman"/>
                <w:b/>
                <w:bCs/>
                <w:color w:val="auto"/>
                <w:kern w:val="0"/>
                <w:szCs w:val="22"/>
                <w:highlight w:val="none"/>
                <w:shd w:val="clear" w:color="auto" w:fill="auto"/>
                <w:lang w:val="en-US" w:eastAsia="zh-CN"/>
              </w:rPr>
              <w:t>2-8</w:t>
            </w:r>
            <w:r>
              <w:rPr>
                <w:rFonts w:hint="default" w:ascii="Times New Roman" w:hAnsi="Times New Roman" w:eastAsia="宋体" w:cs="Times New Roman"/>
                <w:b/>
                <w:bCs/>
                <w:color w:val="auto"/>
                <w:kern w:val="0"/>
                <w:szCs w:val="22"/>
                <w:highlight w:val="none"/>
                <w:shd w:val="clear" w:color="auto" w:fill="auto"/>
                <w:lang w:val="en-US" w:eastAsia="zh-CN"/>
              </w:rPr>
              <w:t xml:space="preserve"> </w:t>
            </w:r>
            <w:r>
              <w:rPr>
                <w:rFonts w:hint="eastAsia" w:ascii="Times New Roman" w:hAnsi="Times New Roman" w:cs="Times New Roman"/>
                <w:b/>
                <w:bCs/>
                <w:color w:val="auto"/>
                <w:kern w:val="0"/>
                <w:szCs w:val="22"/>
                <w:highlight w:val="none"/>
                <w:shd w:val="clear" w:color="auto" w:fill="auto"/>
                <w:lang w:val="en-US" w:eastAsia="zh-CN"/>
              </w:rPr>
              <w:t xml:space="preserve"> </w:t>
            </w:r>
            <w:r>
              <w:rPr>
                <w:rFonts w:hint="default" w:ascii="Times New Roman" w:hAnsi="Times New Roman" w:eastAsia="宋体" w:cs="Times New Roman"/>
                <w:b/>
                <w:bCs/>
                <w:color w:val="auto"/>
                <w:kern w:val="0"/>
                <w:szCs w:val="22"/>
                <w:highlight w:val="none"/>
                <w:shd w:val="clear" w:color="auto" w:fill="auto"/>
              </w:rPr>
              <w:t>现有</w:t>
            </w:r>
            <w:r>
              <w:rPr>
                <w:rFonts w:hint="default" w:ascii="Times New Roman" w:hAnsi="Times New Roman" w:cs="Times New Roman"/>
                <w:b/>
                <w:bCs/>
                <w:color w:val="auto"/>
                <w:szCs w:val="21"/>
              </w:rPr>
              <w:t>项目有组织</w:t>
            </w:r>
            <w:r>
              <w:rPr>
                <w:rFonts w:hint="eastAsia" w:ascii="Times New Roman" w:hAnsi="Times New Roman" w:eastAsia="宋体" w:cs="Times New Roman"/>
                <w:b/>
                <w:bCs/>
                <w:color w:val="auto"/>
                <w:kern w:val="0"/>
                <w:szCs w:val="22"/>
                <w:highlight w:val="none"/>
                <w:shd w:val="clear" w:color="auto" w:fill="auto"/>
                <w:lang w:val="en-US" w:eastAsia="zh-CN"/>
              </w:rPr>
              <w:t>废气检测结果</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40"/>
              <w:gridCol w:w="1143"/>
              <w:gridCol w:w="1021"/>
              <w:gridCol w:w="1021"/>
              <w:gridCol w:w="1024"/>
              <w:gridCol w:w="1021"/>
              <w:gridCol w:w="1016"/>
              <w:gridCol w:w="1110"/>
            </w:tblGrid>
            <w:tr w14:paraId="2315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5156742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检测点名称</w:t>
                  </w:r>
                </w:p>
              </w:tc>
              <w:tc>
                <w:tcPr>
                  <w:tcW w:w="3743" w:type="pct"/>
                  <w:gridSpan w:val="6"/>
                  <w:tcBorders>
                    <w:top w:val="single" w:color="auto" w:sz="4" w:space="0"/>
                    <w:left w:val="single" w:color="auto" w:sz="4" w:space="0"/>
                    <w:bottom w:val="single" w:color="auto" w:sz="4" w:space="0"/>
                    <w:right w:val="single" w:color="auto" w:sz="4" w:space="0"/>
                  </w:tcBorders>
                  <w:vAlign w:val="center"/>
                </w:tcPr>
                <w:p w14:paraId="4D677A0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生物滤池恶臭排气筒</w:t>
                  </w:r>
                </w:p>
              </w:tc>
            </w:tr>
            <w:tr w14:paraId="7A38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6912D17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采样</w:t>
                  </w:r>
                  <w:r>
                    <w:rPr>
                      <w:rFonts w:hint="default" w:ascii="Times New Roman" w:hAnsi="Times New Roman" w:eastAsia="宋体" w:cs="Times New Roman"/>
                      <w:bCs/>
                      <w:color w:val="auto"/>
                      <w:sz w:val="21"/>
                      <w:szCs w:val="21"/>
                    </w:rPr>
                    <w:t>日期</w:t>
                  </w:r>
                </w:p>
              </w:tc>
              <w:tc>
                <w:tcPr>
                  <w:tcW w:w="1847" w:type="pct"/>
                  <w:gridSpan w:val="3"/>
                  <w:tcBorders>
                    <w:top w:val="single" w:color="auto" w:sz="4" w:space="0"/>
                    <w:left w:val="single" w:color="auto" w:sz="4" w:space="0"/>
                    <w:bottom w:val="single" w:color="auto" w:sz="4" w:space="0"/>
                    <w:right w:val="single" w:color="auto" w:sz="4" w:space="0"/>
                  </w:tcBorders>
                  <w:vAlign w:val="center"/>
                </w:tcPr>
                <w:p w14:paraId="77E9656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2025-</w:t>
                  </w:r>
                  <w:r>
                    <w:rPr>
                      <w:rFonts w:hint="default" w:ascii="Times New Roman" w:hAnsi="Times New Roman" w:eastAsia="宋体" w:cs="Times New Roman"/>
                      <w:color w:val="auto"/>
                      <w:sz w:val="21"/>
                      <w:szCs w:val="21"/>
                      <w:lang w:val="en-US" w:eastAsia="zh-CN"/>
                    </w:rPr>
                    <w:t>03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14</w:t>
                  </w:r>
                </w:p>
              </w:tc>
              <w:tc>
                <w:tcPr>
                  <w:tcW w:w="1896" w:type="pct"/>
                  <w:gridSpan w:val="3"/>
                  <w:tcBorders>
                    <w:top w:val="single" w:color="auto" w:sz="4" w:space="0"/>
                    <w:left w:val="single" w:color="auto" w:sz="4" w:space="0"/>
                    <w:bottom w:val="single" w:color="auto" w:sz="4" w:space="0"/>
                    <w:right w:val="single" w:color="auto" w:sz="4" w:space="0"/>
                  </w:tcBorders>
                  <w:vAlign w:val="center"/>
                </w:tcPr>
                <w:p w14:paraId="7C12FD5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2025-</w:t>
                  </w:r>
                  <w:r>
                    <w:rPr>
                      <w:rFonts w:hint="default" w:ascii="Times New Roman" w:hAnsi="Times New Roman" w:eastAsia="宋体" w:cs="Times New Roman"/>
                      <w:color w:val="auto"/>
                      <w:sz w:val="21"/>
                      <w:szCs w:val="21"/>
                      <w:lang w:val="en-US" w:eastAsia="zh-CN"/>
                    </w:rPr>
                    <w:t>03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15</w:t>
                  </w:r>
                </w:p>
              </w:tc>
            </w:tr>
            <w:tr w14:paraId="0C559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33D3C94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检测点位</w:t>
                  </w:r>
                </w:p>
              </w:tc>
              <w:tc>
                <w:tcPr>
                  <w:tcW w:w="1847" w:type="pct"/>
                  <w:gridSpan w:val="3"/>
                  <w:tcBorders>
                    <w:top w:val="single" w:color="auto" w:sz="4" w:space="0"/>
                    <w:left w:val="single" w:color="auto" w:sz="4" w:space="0"/>
                    <w:bottom w:val="single" w:color="auto" w:sz="4" w:space="0"/>
                    <w:right w:val="single" w:color="auto" w:sz="4" w:space="0"/>
                  </w:tcBorders>
                  <w:vAlign w:val="center"/>
                </w:tcPr>
                <w:p w14:paraId="5EDCD00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处理设备</w:t>
                  </w:r>
                  <w:r>
                    <w:rPr>
                      <w:rFonts w:hint="default" w:ascii="Times New Roman" w:hAnsi="Times New Roman" w:eastAsia="宋体" w:cs="Times New Roman"/>
                      <w:color w:val="auto"/>
                      <w:sz w:val="21"/>
                      <w:szCs w:val="21"/>
                      <w:lang w:val="en-US" w:eastAsia="zh-CN"/>
                    </w:rPr>
                    <w:t>后（出</w:t>
                  </w:r>
                  <w:r>
                    <w:rPr>
                      <w:rFonts w:hint="default" w:ascii="Times New Roman" w:hAnsi="Times New Roman" w:eastAsia="宋体" w:cs="Times New Roman"/>
                      <w:color w:val="auto"/>
                      <w:sz w:val="21"/>
                      <w:szCs w:val="21"/>
                    </w:rPr>
                    <w:t>口）</w:t>
                  </w:r>
                </w:p>
              </w:tc>
              <w:tc>
                <w:tcPr>
                  <w:tcW w:w="1896" w:type="pct"/>
                  <w:gridSpan w:val="3"/>
                  <w:tcBorders>
                    <w:top w:val="single" w:color="auto" w:sz="4" w:space="0"/>
                    <w:left w:val="single" w:color="auto" w:sz="4" w:space="0"/>
                    <w:bottom w:val="single" w:color="auto" w:sz="4" w:space="0"/>
                    <w:right w:val="single" w:color="auto" w:sz="4" w:space="0"/>
                  </w:tcBorders>
                  <w:vAlign w:val="center"/>
                </w:tcPr>
                <w:p w14:paraId="582486D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处理设备</w:t>
                  </w:r>
                  <w:r>
                    <w:rPr>
                      <w:rFonts w:hint="default" w:ascii="Times New Roman" w:hAnsi="Times New Roman" w:eastAsia="宋体" w:cs="Times New Roman"/>
                      <w:color w:val="auto"/>
                      <w:sz w:val="21"/>
                      <w:szCs w:val="21"/>
                      <w:lang w:val="en-US" w:eastAsia="zh-CN"/>
                    </w:rPr>
                    <w:t>后（出</w:t>
                  </w:r>
                  <w:r>
                    <w:rPr>
                      <w:rFonts w:hint="default" w:ascii="Times New Roman" w:hAnsi="Times New Roman" w:eastAsia="宋体" w:cs="Times New Roman"/>
                      <w:color w:val="auto"/>
                      <w:sz w:val="21"/>
                      <w:szCs w:val="21"/>
                    </w:rPr>
                    <w:t>口）</w:t>
                  </w:r>
                </w:p>
              </w:tc>
            </w:tr>
            <w:tr w14:paraId="3B57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10E4294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排气筒高度（</w:t>
                  </w:r>
                  <w:r>
                    <w:rPr>
                      <w:rFonts w:hint="default" w:ascii="Times New Roman" w:hAnsi="Times New Roman" w:eastAsia="宋体" w:cs="Times New Roman"/>
                      <w:color w:val="auto"/>
                      <w:sz w:val="21"/>
                      <w:szCs w:val="21"/>
                    </w:rPr>
                    <w:t>m</w:t>
                  </w:r>
                  <w:r>
                    <w:rPr>
                      <w:rFonts w:hint="default" w:ascii="Times New Roman" w:hAnsi="Times New Roman" w:eastAsia="宋体" w:cs="Times New Roman"/>
                      <w:bCs/>
                      <w:color w:val="auto"/>
                      <w:sz w:val="21"/>
                      <w:szCs w:val="21"/>
                    </w:rPr>
                    <w:t>）</w:t>
                  </w:r>
                </w:p>
              </w:tc>
              <w:tc>
                <w:tcPr>
                  <w:tcW w:w="1847" w:type="pct"/>
                  <w:gridSpan w:val="3"/>
                  <w:tcBorders>
                    <w:top w:val="single" w:color="auto" w:sz="4" w:space="0"/>
                    <w:left w:val="single" w:color="auto" w:sz="4" w:space="0"/>
                    <w:bottom w:val="single" w:color="auto" w:sz="4" w:space="0"/>
                    <w:right w:val="single" w:color="auto" w:sz="4" w:space="0"/>
                  </w:tcBorders>
                  <w:vAlign w:val="center"/>
                </w:tcPr>
                <w:p w14:paraId="1C0F9D2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896" w:type="pct"/>
                  <w:gridSpan w:val="3"/>
                  <w:tcBorders>
                    <w:top w:val="single" w:color="auto" w:sz="4" w:space="0"/>
                    <w:left w:val="single" w:color="auto" w:sz="4" w:space="0"/>
                    <w:bottom w:val="single" w:color="auto" w:sz="4" w:space="0"/>
                    <w:right w:val="single" w:color="auto" w:sz="4" w:space="0"/>
                  </w:tcBorders>
                  <w:vAlign w:val="center"/>
                </w:tcPr>
                <w:p w14:paraId="1E0B876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14:paraId="5880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4B6A755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检测频次</w:t>
                  </w:r>
                </w:p>
              </w:tc>
              <w:tc>
                <w:tcPr>
                  <w:tcW w:w="615" w:type="pct"/>
                  <w:tcBorders>
                    <w:top w:val="single" w:color="auto" w:sz="4" w:space="0"/>
                    <w:left w:val="single" w:color="auto" w:sz="4" w:space="0"/>
                    <w:bottom w:val="single" w:color="auto" w:sz="4" w:space="0"/>
                    <w:right w:val="single" w:color="auto" w:sz="4" w:space="0"/>
                  </w:tcBorders>
                  <w:vAlign w:val="center"/>
                </w:tcPr>
                <w:p w14:paraId="4E25834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第一次</w:t>
                  </w:r>
                </w:p>
              </w:tc>
              <w:tc>
                <w:tcPr>
                  <w:tcW w:w="615" w:type="pct"/>
                  <w:tcBorders>
                    <w:top w:val="single" w:color="auto" w:sz="4" w:space="0"/>
                    <w:left w:val="single" w:color="auto" w:sz="4" w:space="0"/>
                    <w:bottom w:val="single" w:color="auto" w:sz="4" w:space="0"/>
                    <w:right w:val="single" w:color="auto" w:sz="4" w:space="0"/>
                  </w:tcBorders>
                  <w:vAlign w:val="center"/>
                </w:tcPr>
                <w:p w14:paraId="1029CC0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第二次</w:t>
                  </w:r>
                </w:p>
              </w:tc>
              <w:tc>
                <w:tcPr>
                  <w:tcW w:w="616" w:type="pct"/>
                  <w:tcBorders>
                    <w:top w:val="single" w:color="auto" w:sz="4" w:space="0"/>
                    <w:left w:val="single" w:color="auto" w:sz="4" w:space="0"/>
                    <w:bottom w:val="single" w:color="auto" w:sz="4" w:space="0"/>
                    <w:right w:val="single" w:color="auto" w:sz="4" w:space="0"/>
                  </w:tcBorders>
                  <w:vAlign w:val="center"/>
                </w:tcPr>
                <w:p w14:paraId="2E84F9D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第三次</w:t>
                  </w:r>
                </w:p>
              </w:tc>
              <w:tc>
                <w:tcPr>
                  <w:tcW w:w="615" w:type="pct"/>
                  <w:tcBorders>
                    <w:top w:val="single" w:color="auto" w:sz="4" w:space="0"/>
                    <w:left w:val="single" w:color="auto" w:sz="4" w:space="0"/>
                    <w:bottom w:val="single" w:color="auto" w:sz="4" w:space="0"/>
                    <w:right w:val="single" w:color="auto" w:sz="4" w:space="0"/>
                  </w:tcBorders>
                  <w:vAlign w:val="center"/>
                </w:tcPr>
                <w:p w14:paraId="3E718A0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第一次</w:t>
                  </w:r>
                </w:p>
              </w:tc>
              <w:tc>
                <w:tcPr>
                  <w:tcW w:w="612" w:type="pct"/>
                  <w:tcBorders>
                    <w:top w:val="single" w:color="auto" w:sz="4" w:space="0"/>
                    <w:left w:val="single" w:color="auto" w:sz="4" w:space="0"/>
                    <w:bottom w:val="single" w:color="auto" w:sz="4" w:space="0"/>
                    <w:right w:val="single" w:color="auto" w:sz="4" w:space="0"/>
                  </w:tcBorders>
                  <w:vAlign w:val="center"/>
                </w:tcPr>
                <w:p w14:paraId="24C89E4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第二次</w:t>
                  </w:r>
                </w:p>
              </w:tc>
              <w:tc>
                <w:tcPr>
                  <w:tcW w:w="669" w:type="pct"/>
                  <w:tcBorders>
                    <w:top w:val="single" w:color="auto" w:sz="4" w:space="0"/>
                    <w:left w:val="single" w:color="auto" w:sz="4" w:space="0"/>
                    <w:bottom w:val="single" w:color="auto" w:sz="4" w:space="0"/>
                    <w:right w:val="single" w:color="auto" w:sz="4" w:space="0"/>
                  </w:tcBorders>
                  <w:vAlign w:val="center"/>
                </w:tcPr>
                <w:p w14:paraId="3F6D206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第三次</w:t>
                  </w:r>
                </w:p>
              </w:tc>
            </w:tr>
            <w:tr w14:paraId="3693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623A664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标干烟气量（Nm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615" w:type="pct"/>
                  <w:tcBorders>
                    <w:top w:val="single" w:color="auto" w:sz="4" w:space="0"/>
                    <w:left w:val="single" w:color="auto" w:sz="4" w:space="0"/>
                    <w:bottom w:val="single" w:color="auto" w:sz="4" w:space="0"/>
                    <w:right w:val="single" w:color="auto" w:sz="4" w:space="0"/>
                  </w:tcBorders>
                  <w:vAlign w:val="center"/>
                </w:tcPr>
                <w:p w14:paraId="7571FC1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2233</w:t>
                  </w:r>
                </w:p>
              </w:tc>
              <w:tc>
                <w:tcPr>
                  <w:tcW w:w="615" w:type="pct"/>
                  <w:tcBorders>
                    <w:top w:val="single" w:color="auto" w:sz="4" w:space="0"/>
                    <w:left w:val="single" w:color="auto" w:sz="4" w:space="0"/>
                    <w:bottom w:val="single" w:color="auto" w:sz="4" w:space="0"/>
                    <w:right w:val="single" w:color="auto" w:sz="4" w:space="0"/>
                  </w:tcBorders>
                  <w:vAlign w:val="center"/>
                </w:tcPr>
                <w:p w14:paraId="30E00F5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2155</w:t>
                  </w:r>
                </w:p>
              </w:tc>
              <w:tc>
                <w:tcPr>
                  <w:tcW w:w="616" w:type="pct"/>
                  <w:tcBorders>
                    <w:top w:val="single" w:color="auto" w:sz="4" w:space="0"/>
                    <w:left w:val="single" w:color="auto" w:sz="4" w:space="0"/>
                    <w:bottom w:val="single" w:color="auto" w:sz="4" w:space="0"/>
                    <w:right w:val="single" w:color="auto" w:sz="4" w:space="0"/>
                  </w:tcBorders>
                  <w:vAlign w:val="center"/>
                </w:tcPr>
                <w:p w14:paraId="1EB842B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2198</w:t>
                  </w:r>
                </w:p>
              </w:tc>
              <w:tc>
                <w:tcPr>
                  <w:tcW w:w="615" w:type="pct"/>
                  <w:tcBorders>
                    <w:top w:val="single" w:color="auto" w:sz="4" w:space="0"/>
                    <w:left w:val="single" w:color="auto" w:sz="4" w:space="0"/>
                    <w:bottom w:val="single" w:color="auto" w:sz="4" w:space="0"/>
                    <w:right w:val="single" w:color="auto" w:sz="4" w:space="0"/>
                  </w:tcBorders>
                  <w:vAlign w:val="center"/>
                </w:tcPr>
                <w:p w14:paraId="1DE4010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2206</w:t>
                  </w:r>
                </w:p>
              </w:tc>
              <w:tc>
                <w:tcPr>
                  <w:tcW w:w="612" w:type="pct"/>
                  <w:tcBorders>
                    <w:top w:val="single" w:color="auto" w:sz="4" w:space="0"/>
                    <w:left w:val="single" w:color="auto" w:sz="4" w:space="0"/>
                    <w:bottom w:val="single" w:color="auto" w:sz="4" w:space="0"/>
                    <w:right w:val="single" w:color="auto" w:sz="4" w:space="0"/>
                  </w:tcBorders>
                  <w:vAlign w:val="center"/>
                </w:tcPr>
                <w:p w14:paraId="4F0768B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2151</w:t>
                  </w:r>
                </w:p>
              </w:tc>
              <w:tc>
                <w:tcPr>
                  <w:tcW w:w="669" w:type="pct"/>
                  <w:tcBorders>
                    <w:top w:val="single" w:color="auto" w:sz="4" w:space="0"/>
                    <w:left w:val="single" w:color="auto" w:sz="4" w:space="0"/>
                    <w:bottom w:val="single" w:color="auto" w:sz="4" w:space="0"/>
                    <w:right w:val="single" w:color="auto" w:sz="4" w:space="0"/>
                  </w:tcBorders>
                  <w:vAlign w:val="center"/>
                </w:tcPr>
                <w:p w14:paraId="6A4A11A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2175</w:t>
                  </w:r>
                </w:p>
              </w:tc>
            </w:tr>
            <w:tr w14:paraId="6514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restart"/>
                  <w:tcBorders>
                    <w:left w:val="single" w:color="auto" w:sz="4" w:space="0"/>
                    <w:right w:val="single" w:color="auto" w:sz="4" w:space="0"/>
                  </w:tcBorders>
                  <w:vAlign w:val="center"/>
                </w:tcPr>
                <w:p w14:paraId="5FE6ECD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tc>
              <w:tc>
                <w:tcPr>
                  <w:tcW w:w="688" w:type="pct"/>
                  <w:tcBorders>
                    <w:top w:val="single" w:color="auto" w:sz="4" w:space="0"/>
                    <w:left w:val="single" w:color="auto" w:sz="4" w:space="0"/>
                    <w:bottom w:val="single" w:color="auto" w:sz="4" w:space="0"/>
                    <w:right w:val="single" w:color="auto" w:sz="4" w:space="0"/>
                  </w:tcBorders>
                  <w:vAlign w:val="center"/>
                </w:tcPr>
                <w:p w14:paraId="3918E0F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5" w:type="pct"/>
                  <w:tcBorders>
                    <w:left w:val="single" w:color="auto" w:sz="4" w:space="0"/>
                    <w:right w:val="single" w:color="auto" w:sz="4" w:space="0"/>
                  </w:tcBorders>
                  <w:vAlign w:val="center"/>
                </w:tcPr>
                <w:p w14:paraId="0A7BADB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0.81</w:t>
                  </w:r>
                </w:p>
              </w:tc>
              <w:tc>
                <w:tcPr>
                  <w:tcW w:w="615" w:type="pct"/>
                  <w:tcBorders>
                    <w:left w:val="single" w:color="auto" w:sz="4" w:space="0"/>
                    <w:right w:val="single" w:color="auto" w:sz="4" w:space="0"/>
                  </w:tcBorders>
                  <w:vAlign w:val="center"/>
                </w:tcPr>
                <w:p w14:paraId="45C4FA1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0.72</w:t>
                  </w:r>
                </w:p>
              </w:tc>
              <w:tc>
                <w:tcPr>
                  <w:tcW w:w="616" w:type="pct"/>
                  <w:tcBorders>
                    <w:left w:val="single" w:color="auto" w:sz="4" w:space="0"/>
                    <w:right w:val="single" w:color="auto" w:sz="4" w:space="0"/>
                  </w:tcBorders>
                  <w:vAlign w:val="center"/>
                </w:tcPr>
                <w:p w14:paraId="30BBE4D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0.75</w:t>
                  </w:r>
                </w:p>
              </w:tc>
              <w:tc>
                <w:tcPr>
                  <w:tcW w:w="615" w:type="pct"/>
                  <w:tcBorders>
                    <w:left w:val="single" w:color="auto" w:sz="4" w:space="0"/>
                    <w:right w:val="single" w:color="auto" w:sz="4" w:space="0"/>
                  </w:tcBorders>
                  <w:vAlign w:val="center"/>
                </w:tcPr>
                <w:p w14:paraId="33467EF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0.84</w:t>
                  </w:r>
                </w:p>
              </w:tc>
              <w:tc>
                <w:tcPr>
                  <w:tcW w:w="612" w:type="pct"/>
                  <w:tcBorders>
                    <w:left w:val="single" w:color="auto" w:sz="4" w:space="0"/>
                    <w:right w:val="single" w:color="auto" w:sz="4" w:space="0"/>
                  </w:tcBorders>
                  <w:vAlign w:val="center"/>
                </w:tcPr>
                <w:p w14:paraId="3282B84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0.90</w:t>
                  </w:r>
                </w:p>
              </w:tc>
              <w:tc>
                <w:tcPr>
                  <w:tcW w:w="669" w:type="pct"/>
                  <w:tcBorders>
                    <w:left w:val="single" w:color="auto" w:sz="4" w:space="0"/>
                    <w:right w:val="single" w:color="auto" w:sz="4" w:space="0"/>
                  </w:tcBorders>
                  <w:vAlign w:val="center"/>
                </w:tcPr>
                <w:p w14:paraId="5BE46C1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0.75</w:t>
                  </w:r>
                </w:p>
              </w:tc>
            </w:tr>
            <w:tr w14:paraId="4ABE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57B67A4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vAlign w:val="center"/>
                </w:tcPr>
                <w:p w14:paraId="0E7D749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排放速率（kg/h）</w:t>
                  </w:r>
                </w:p>
              </w:tc>
              <w:tc>
                <w:tcPr>
                  <w:tcW w:w="615" w:type="pct"/>
                  <w:tcBorders>
                    <w:left w:val="single" w:color="auto" w:sz="4" w:space="0"/>
                    <w:right w:val="single" w:color="auto" w:sz="4" w:space="0"/>
                  </w:tcBorders>
                  <w:vAlign w:val="center"/>
                </w:tcPr>
                <w:p w14:paraId="7DEEC8A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1.81×10</w:t>
                  </w:r>
                  <w:r>
                    <w:rPr>
                      <w:rFonts w:hint="default" w:ascii="Times New Roman" w:hAnsi="Times New Roman" w:eastAsia="宋体" w:cs="Times New Roman"/>
                      <w:color w:val="auto"/>
                      <w:sz w:val="21"/>
                      <w:szCs w:val="21"/>
                      <w:vertAlign w:val="superscript"/>
                      <w:lang w:val="en-US" w:eastAsia="zh-CN"/>
                    </w:rPr>
                    <w:t>-3</w:t>
                  </w:r>
                </w:p>
              </w:tc>
              <w:tc>
                <w:tcPr>
                  <w:tcW w:w="615" w:type="pct"/>
                  <w:tcBorders>
                    <w:left w:val="single" w:color="auto" w:sz="4" w:space="0"/>
                    <w:right w:val="single" w:color="auto" w:sz="4" w:space="0"/>
                  </w:tcBorders>
                  <w:vAlign w:val="center"/>
                </w:tcPr>
                <w:p w14:paraId="4C949BE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1.55×10</w:t>
                  </w:r>
                  <w:r>
                    <w:rPr>
                      <w:rFonts w:hint="default" w:ascii="Times New Roman" w:hAnsi="Times New Roman" w:eastAsia="宋体" w:cs="Times New Roman"/>
                      <w:color w:val="auto"/>
                      <w:sz w:val="21"/>
                      <w:szCs w:val="21"/>
                      <w:vertAlign w:val="superscript"/>
                      <w:lang w:val="en-US" w:eastAsia="zh-CN"/>
                    </w:rPr>
                    <w:t>-3</w:t>
                  </w:r>
                </w:p>
              </w:tc>
              <w:tc>
                <w:tcPr>
                  <w:tcW w:w="616" w:type="pct"/>
                  <w:tcBorders>
                    <w:left w:val="single" w:color="auto" w:sz="4" w:space="0"/>
                    <w:right w:val="single" w:color="auto" w:sz="4" w:space="0"/>
                  </w:tcBorders>
                  <w:vAlign w:val="center"/>
                </w:tcPr>
                <w:p w14:paraId="7C2E338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1.65×10</w:t>
                  </w:r>
                  <w:r>
                    <w:rPr>
                      <w:rFonts w:hint="default" w:ascii="Times New Roman" w:hAnsi="Times New Roman" w:eastAsia="宋体" w:cs="Times New Roman"/>
                      <w:color w:val="auto"/>
                      <w:sz w:val="21"/>
                      <w:szCs w:val="21"/>
                      <w:vertAlign w:val="superscript"/>
                      <w:lang w:val="en-US" w:eastAsia="zh-CN"/>
                    </w:rPr>
                    <w:t>-3</w:t>
                  </w:r>
                </w:p>
              </w:tc>
              <w:tc>
                <w:tcPr>
                  <w:tcW w:w="615" w:type="pct"/>
                  <w:tcBorders>
                    <w:left w:val="single" w:color="auto" w:sz="4" w:space="0"/>
                    <w:right w:val="single" w:color="auto" w:sz="4" w:space="0"/>
                  </w:tcBorders>
                  <w:vAlign w:val="center"/>
                </w:tcPr>
                <w:p w14:paraId="137C965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1.85×10</w:t>
                  </w:r>
                  <w:r>
                    <w:rPr>
                      <w:rFonts w:hint="default" w:ascii="Times New Roman" w:hAnsi="Times New Roman" w:eastAsia="宋体" w:cs="Times New Roman"/>
                      <w:color w:val="auto"/>
                      <w:sz w:val="21"/>
                      <w:szCs w:val="21"/>
                      <w:vertAlign w:val="superscript"/>
                      <w:lang w:val="en-US" w:eastAsia="zh-CN"/>
                    </w:rPr>
                    <w:t>-3</w:t>
                  </w:r>
                </w:p>
              </w:tc>
              <w:tc>
                <w:tcPr>
                  <w:tcW w:w="612" w:type="pct"/>
                  <w:tcBorders>
                    <w:left w:val="single" w:color="auto" w:sz="4" w:space="0"/>
                    <w:right w:val="single" w:color="auto" w:sz="4" w:space="0"/>
                  </w:tcBorders>
                  <w:vAlign w:val="center"/>
                </w:tcPr>
                <w:p w14:paraId="2DA16E9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1.94×10</w:t>
                  </w:r>
                  <w:r>
                    <w:rPr>
                      <w:rFonts w:hint="default" w:ascii="Times New Roman" w:hAnsi="Times New Roman" w:eastAsia="宋体" w:cs="Times New Roman"/>
                      <w:color w:val="auto"/>
                      <w:sz w:val="21"/>
                      <w:szCs w:val="21"/>
                      <w:vertAlign w:val="superscript"/>
                      <w:lang w:val="en-US" w:eastAsia="zh-CN"/>
                    </w:rPr>
                    <w:t>-3</w:t>
                  </w:r>
                </w:p>
              </w:tc>
              <w:tc>
                <w:tcPr>
                  <w:tcW w:w="669" w:type="pct"/>
                  <w:tcBorders>
                    <w:left w:val="single" w:color="auto" w:sz="4" w:space="0"/>
                    <w:right w:val="single" w:color="auto" w:sz="4" w:space="0"/>
                  </w:tcBorders>
                  <w:vAlign w:val="center"/>
                </w:tcPr>
                <w:p w14:paraId="251C538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1.63×10</w:t>
                  </w:r>
                  <w:r>
                    <w:rPr>
                      <w:rFonts w:hint="default" w:ascii="Times New Roman" w:hAnsi="Times New Roman" w:eastAsia="宋体" w:cs="Times New Roman"/>
                      <w:color w:val="auto"/>
                      <w:sz w:val="21"/>
                      <w:szCs w:val="21"/>
                      <w:vertAlign w:val="superscript"/>
                      <w:lang w:val="en-US" w:eastAsia="zh-CN"/>
                    </w:rPr>
                    <w:t>-3</w:t>
                  </w:r>
                </w:p>
              </w:tc>
            </w:tr>
            <w:tr w14:paraId="7880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restart"/>
                  <w:tcBorders>
                    <w:left w:val="single" w:color="auto" w:sz="4" w:space="0"/>
                    <w:right w:val="single" w:color="auto" w:sz="4" w:space="0"/>
                  </w:tcBorders>
                  <w:shd w:val="clear" w:color="auto" w:fill="auto"/>
                  <w:vAlign w:val="center"/>
                </w:tcPr>
                <w:p w14:paraId="10826AA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0FAD657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5" w:type="pct"/>
                  <w:tcBorders>
                    <w:left w:val="single" w:color="auto" w:sz="4" w:space="0"/>
                    <w:right w:val="single" w:color="auto" w:sz="4" w:space="0"/>
                  </w:tcBorders>
                  <w:vAlign w:val="center"/>
                </w:tcPr>
                <w:p w14:paraId="6E86B32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0.13</w:t>
                  </w:r>
                </w:p>
              </w:tc>
              <w:tc>
                <w:tcPr>
                  <w:tcW w:w="615" w:type="pct"/>
                  <w:tcBorders>
                    <w:left w:val="single" w:color="auto" w:sz="4" w:space="0"/>
                    <w:right w:val="single" w:color="auto" w:sz="4" w:space="0"/>
                  </w:tcBorders>
                  <w:vAlign w:val="center"/>
                </w:tcPr>
                <w:p w14:paraId="1111E70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c>
                <w:tcPr>
                  <w:tcW w:w="616" w:type="pct"/>
                  <w:tcBorders>
                    <w:left w:val="single" w:color="auto" w:sz="4" w:space="0"/>
                    <w:right w:val="single" w:color="auto" w:sz="4" w:space="0"/>
                  </w:tcBorders>
                  <w:vAlign w:val="center"/>
                </w:tcPr>
                <w:p w14:paraId="4C338FA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w:t>
                  </w:r>
                </w:p>
              </w:tc>
              <w:tc>
                <w:tcPr>
                  <w:tcW w:w="615" w:type="pct"/>
                  <w:tcBorders>
                    <w:left w:val="single" w:color="auto" w:sz="4" w:space="0"/>
                    <w:right w:val="single" w:color="auto" w:sz="4" w:space="0"/>
                  </w:tcBorders>
                  <w:vAlign w:val="center"/>
                </w:tcPr>
                <w:p w14:paraId="195EA1F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c>
                <w:tcPr>
                  <w:tcW w:w="612" w:type="pct"/>
                  <w:tcBorders>
                    <w:left w:val="single" w:color="auto" w:sz="4" w:space="0"/>
                    <w:right w:val="single" w:color="auto" w:sz="4" w:space="0"/>
                  </w:tcBorders>
                  <w:vAlign w:val="center"/>
                </w:tcPr>
                <w:p w14:paraId="7870B50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0.17</w:t>
                  </w:r>
                </w:p>
              </w:tc>
              <w:tc>
                <w:tcPr>
                  <w:tcW w:w="669" w:type="pct"/>
                  <w:tcBorders>
                    <w:left w:val="single" w:color="auto" w:sz="4" w:space="0"/>
                    <w:right w:val="single" w:color="auto" w:sz="4" w:space="0"/>
                  </w:tcBorders>
                  <w:vAlign w:val="center"/>
                </w:tcPr>
                <w:p w14:paraId="501D634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w:t>
                  </w:r>
                </w:p>
              </w:tc>
            </w:tr>
            <w:tr w14:paraId="2B65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6441D1A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76EF5F9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排放速率（kg/h）</w:t>
                  </w:r>
                </w:p>
              </w:tc>
              <w:tc>
                <w:tcPr>
                  <w:tcW w:w="615" w:type="pct"/>
                  <w:tcBorders>
                    <w:left w:val="single" w:color="auto" w:sz="4" w:space="0"/>
                    <w:right w:val="single" w:color="auto" w:sz="4" w:space="0"/>
                  </w:tcBorders>
                  <w:shd w:val="clear" w:color="auto" w:fill="auto"/>
                  <w:vAlign w:val="center"/>
                </w:tcPr>
                <w:p w14:paraId="7A63FBA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2.90×10</w:t>
                  </w:r>
                  <w:r>
                    <w:rPr>
                      <w:rFonts w:hint="default" w:ascii="Times New Roman" w:hAnsi="Times New Roman" w:eastAsia="宋体" w:cs="Times New Roman"/>
                      <w:color w:val="auto"/>
                      <w:sz w:val="21"/>
                      <w:szCs w:val="21"/>
                      <w:vertAlign w:val="superscript"/>
                      <w:lang w:val="en-US" w:eastAsia="zh-CN"/>
                    </w:rPr>
                    <w:t>-4</w:t>
                  </w:r>
                </w:p>
              </w:tc>
              <w:tc>
                <w:tcPr>
                  <w:tcW w:w="615" w:type="pct"/>
                  <w:tcBorders>
                    <w:left w:val="single" w:color="auto" w:sz="4" w:space="0"/>
                    <w:right w:val="single" w:color="auto" w:sz="4" w:space="0"/>
                  </w:tcBorders>
                  <w:shd w:val="clear" w:color="auto" w:fill="auto"/>
                  <w:vAlign w:val="center"/>
                </w:tcPr>
                <w:p w14:paraId="144E0F8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3.02×10</w:t>
                  </w:r>
                  <w:r>
                    <w:rPr>
                      <w:rFonts w:hint="default" w:ascii="Times New Roman" w:hAnsi="Times New Roman" w:eastAsia="宋体" w:cs="Times New Roman"/>
                      <w:color w:val="auto"/>
                      <w:sz w:val="21"/>
                      <w:szCs w:val="21"/>
                      <w:vertAlign w:val="superscript"/>
                      <w:lang w:val="en-US" w:eastAsia="zh-CN"/>
                    </w:rPr>
                    <w:t>-4</w:t>
                  </w:r>
                </w:p>
              </w:tc>
              <w:tc>
                <w:tcPr>
                  <w:tcW w:w="616" w:type="pct"/>
                  <w:tcBorders>
                    <w:left w:val="single" w:color="auto" w:sz="4" w:space="0"/>
                    <w:right w:val="single" w:color="auto" w:sz="4" w:space="0"/>
                  </w:tcBorders>
                  <w:shd w:val="clear" w:color="auto" w:fill="auto"/>
                  <w:vAlign w:val="center"/>
                </w:tcPr>
                <w:p w14:paraId="3141AAA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3.52×10</w:t>
                  </w:r>
                  <w:r>
                    <w:rPr>
                      <w:rFonts w:hint="default" w:ascii="Times New Roman" w:hAnsi="Times New Roman" w:eastAsia="宋体" w:cs="Times New Roman"/>
                      <w:color w:val="auto"/>
                      <w:sz w:val="21"/>
                      <w:szCs w:val="21"/>
                      <w:vertAlign w:val="superscript"/>
                      <w:lang w:val="en-US" w:eastAsia="zh-CN"/>
                    </w:rPr>
                    <w:t>-4</w:t>
                  </w:r>
                </w:p>
              </w:tc>
              <w:tc>
                <w:tcPr>
                  <w:tcW w:w="615" w:type="pct"/>
                  <w:tcBorders>
                    <w:left w:val="single" w:color="auto" w:sz="4" w:space="0"/>
                    <w:right w:val="single" w:color="auto" w:sz="4" w:space="0"/>
                  </w:tcBorders>
                  <w:vAlign w:val="center"/>
                </w:tcPr>
                <w:p w14:paraId="44C3434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3.09×10</w:t>
                  </w:r>
                  <w:r>
                    <w:rPr>
                      <w:rFonts w:hint="default" w:ascii="Times New Roman" w:hAnsi="Times New Roman" w:eastAsia="宋体" w:cs="Times New Roman"/>
                      <w:color w:val="auto"/>
                      <w:sz w:val="21"/>
                      <w:szCs w:val="21"/>
                      <w:vertAlign w:val="superscript"/>
                      <w:lang w:val="en-US" w:eastAsia="zh-CN"/>
                    </w:rPr>
                    <w:t>-4</w:t>
                  </w:r>
                </w:p>
              </w:tc>
              <w:tc>
                <w:tcPr>
                  <w:tcW w:w="612" w:type="pct"/>
                  <w:tcBorders>
                    <w:left w:val="single" w:color="auto" w:sz="4" w:space="0"/>
                    <w:right w:val="single" w:color="auto" w:sz="4" w:space="0"/>
                  </w:tcBorders>
                  <w:vAlign w:val="center"/>
                </w:tcPr>
                <w:p w14:paraId="6769C78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3.66×10</w:t>
                  </w:r>
                  <w:r>
                    <w:rPr>
                      <w:rFonts w:hint="default" w:ascii="Times New Roman" w:hAnsi="Times New Roman" w:eastAsia="宋体" w:cs="Times New Roman"/>
                      <w:color w:val="auto"/>
                      <w:sz w:val="21"/>
                      <w:szCs w:val="21"/>
                      <w:vertAlign w:val="superscript"/>
                      <w:lang w:val="en-US" w:eastAsia="zh-CN"/>
                    </w:rPr>
                    <w:t>-4</w:t>
                  </w:r>
                </w:p>
              </w:tc>
              <w:tc>
                <w:tcPr>
                  <w:tcW w:w="669" w:type="pct"/>
                  <w:tcBorders>
                    <w:left w:val="single" w:color="auto" w:sz="4" w:space="0"/>
                    <w:right w:val="single" w:color="auto" w:sz="4" w:space="0"/>
                  </w:tcBorders>
                  <w:vAlign w:val="center"/>
                </w:tcPr>
                <w:p w14:paraId="4641B02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3.48×10</w:t>
                  </w:r>
                  <w:r>
                    <w:rPr>
                      <w:rFonts w:hint="default" w:ascii="Times New Roman" w:hAnsi="Times New Roman" w:eastAsia="宋体" w:cs="Times New Roman"/>
                      <w:color w:val="auto"/>
                      <w:sz w:val="21"/>
                      <w:szCs w:val="21"/>
                      <w:vertAlign w:val="superscript"/>
                      <w:lang w:val="en-US" w:eastAsia="zh-CN"/>
                    </w:rPr>
                    <w:t>-4</w:t>
                  </w:r>
                </w:p>
              </w:tc>
            </w:tr>
            <w:tr w14:paraId="6017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left w:val="single" w:color="auto" w:sz="4" w:space="0"/>
                    <w:right w:val="single" w:color="auto" w:sz="4" w:space="0"/>
                  </w:tcBorders>
                  <w:vAlign w:val="center"/>
                </w:tcPr>
                <w:p w14:paraId="0E32189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lang w:eastAsia="zh-CN"/>
                    </w:rPr>
                    <w:t>臭气</w:t>
                  </w:r>
                  <w:r>
                    <w:rPr>
                      <w:rFonts w:hint="default" w:ascii="Times New Roman" w:hAnsi="Times New Roman" w:eastAsia="宋体" w:cs="Times New Roman"/>
                      <w:color w:val="auto"/>
                      <w:sz w:val="21"/>
                      <w:szCs w:val="21"/>
                      <w:highlight w:val="none"/>
                      <w:lang w:val="en-US" w:eastAsia="zh-CN"/>
                    </w:rPr>
                    <w:t>浓度（无量纲）</w:t>
                  </w:r>
                </w:p>
              </w:tc>
              <w:tc>
                <w:tcPr>
                  <w:tcW w:w="615" w:type="pct"/>
                  <w:tcBorders>
                    <w:left w:val="single" w:color="auto" w:sz="4" w:space="0"/>
                    <w:right w:val="single" w:color="auto" w:sz="4" w:space="0"/>
                  </w:tcBorders>
                  <w:vAlign w:val="center"/>
                </w:tcPr>
                <w:p w14:paraId="449863C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1513</w:t>
                  </w:r>
                </w:p>
              </w:tc>
              <w:tc>
                <w:tcPr>
                  <w:tcW w:w="615" w:type="pct"/>
                  <w:tcBorders>
                    <w:left w:val="single" w:color="auto" w:sz="4" w:space="0"/>
                    <w:right w:val="single" w:color="auto" w:sz="4" w:space="0"/>
                  </w:tcBorders>
                  <w:vAlign w:val="center"/>
                </w:tcPr>
                <w:p w14:paraId="1565E4D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1513</w:t>
                  </w:r>
                </w:p>
              </w:tc>
              <w:tc>
                <w:tcPr>
                  <w:tcW w:w="616" w:type="pct"/>
                  <w:tcBorders>
                    <w:left w:val="single" w:color="auto" w:sz="4" w:space="0"/>
                    <w:right w:val="single" w:color="auto" w:sz="4" w:space="0"/>
                  </w:tcBorders>
                  <w:vAlign w:val="center"/>
                </w:tcPr>
                <w:p w14:paraId="6688F3A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1737</w:t>
                  </w:r>
                </w:p>
              </w:tc>
              <w:tc>
                <w:tcPr>
                  <w:tcW w:w="615" w:type="pct"/>
                  <w:tcBorders>
                    <w:left w:val="single" w:color="auto" w:sz="4" w:space="0"/>
                    <w:right w:val="single" w:color="auto" w:sz="4" w:space="0"/>
                  </w:tcBorders>
                  <w:vAlign w:val="center"/>
                </w:tcPr>
                <w:p w14:paraId="61F61CF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1737</w:t>
                  </w:r>
                </w:p>
              </w:tc>
              <w:tc>
                <w:tcPr>
                  <w:tcW w:w="612" w:type="pct"/>
                  <w:tcBorders>
                    <w:left w:val="single" w:color="auto" w:sz="4" w:space="0"/>
                    <w:right w:val="single" w:color="auto" w:sz="4" w:space="0"/>
                  </w:tcBorders>
                  <w:vAlign w:val="center"/>
                </w:tcPr>
                <w:p w14:paraId="5B5CDA7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1737</w:t>
                  </w:r>
                </w:p>
              </w:tc>
              <w:tc>
                <w:tcPr>
                  <w:tcW w:w="669" w:type="pct"/>
                  <w:tcBorders>
                    <w:left w:val="single" w:color="auto" w:sz="4" w:space="0"/>
                    <w:right w:val="single" w:color="auto" w:sz="4" w:space="0"/>
                  </w:tcBorders>
                  <w:vAlign w:val="center"/>
                </w:tcPr>
                <w:p w14:paraId="1BD851F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1513</w:t>
                  </w:r>
                </w:p>
              </w:tc>
            </w:tr>
            <w:tr w14:paraId="34C4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09423C8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yellow"/>
                    </w:rPr>
                  </w:pPr>
                  <w:r>
                    <w:rPr>
                      <w:rFonts w:hint="default" w:ascii="Times New Roman" w:hAnsi="Times New Roman" w:eastAsia="宋体" w:cs="Times New Roman"/>
                      <w:color w:val="auto"/>
                      <w:sz w:val="21"/>
                      <w:szCs w:val="21"/>
                    </w:rPr>
                    <w:t>检测点名称</w:t>
                  </w:r>
                </w:p>
              </w:tc>
              <w:tc>
                <w:tcPr>
                  <w:tcW w:w="3743" w:type="pct"/>
                  <w:gridSpan w:val="6"/>
                  <w:tcBorders>
                    <w:top w:val="single" w:color="auto" w:sz="4" w:space="0"/>
                    <w:left w:val="single" w:color="auto" w:sz="4" w:space="0"/>
                    <w:bottom w:val="single" w:color="auto" w:sz="4" w:space="0"/>
                    <w:right w:val="single" w:color="auto" w:sz="4" w:space="0"/>
                  </w:tcBorders>
                  <w:vAlign w:val="center"/>
                </w:tcPr>
                <w:p w14:paraId="3A35BC1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沼气燃烧废气排气筒</w:t>
                  </w:r>
                </w:p>
              </w:tc>
            </w:tr>
            <w:tr w14:paraId="5C79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3CB16AF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采样</w:t>
                  </w:r>
                  <w:r>
                    <w:rPr>
                      <w:rFonts w:hint="default" w:ascii="Times New Roman" w:hAnsi="Times New Roman" w:eastAsia="宋体" w:cs="Times New Roman"/>
                      <w:bCs/>
                      <w:color w:val="auto"/>
                      <w:sz w:val="21"/>
                      <w:szCs w:val="21"/>
                    </w:rPr>
                    <w:t>日期</w:t>
                  </w:r>
                </w:p>
              </w:tc>
              <w:tc>
                <w:tcPr>
                  <w:tcW w:w="1847" w:type="pct"/>
                  <w:gridSpan w:val="3"/>
                  <w:tcBorders>
                    <w:top w:val="single" w:color="auto" w:sz="4" w:space="0"/>
                    <w:left w:val="single" w:color="auto" w:sz="4" w:space="0"/>
                    <w:bottom w:val="single" w:color="auto" w:sz="4" w:space="0"/>
                    <w:right w:val="single" w:color="auto" w:sz="4" w:space="0"/>
                  </w:tcBorders>
                  <w:vAlign w:val="center"/>
                </w:tcPr>
                <w:p w14:paraId="0EF63E1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2025-</w:t>
                  </w:r>
                  <w:r>
                    <w:rPr>
                      <w:rFonts w:hint="default" w:ascii="Times New Roman" w:hAnsi="Times New Roman" w:eastAsia="宋体" w:cs="Times New Roman"/>
                      <w:color w:val="auto"/>
                      <w:sz w:val="21"/>
                      <w:szCs w:val="21"/>
                      <w:lang w:val="en-US" w:eastAsia="zh-CN"/>
                    </w:rPr>
                    <w:t>03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14</w:t>
                  </w:r>
                </w:p>
              </w:tc>
              <w:tc>
                <w:tcPr>
                  <w:tcW w:w="1896" w:type="pct"/>
                  <w:gridSpan w:val="3"/>
                  <w:tcBorders>
                    <w:top w:val="single" w:color="auto" w:sz="4" w:space="0"/>
                    <w:left w:val="single" w:color="auto" w:sz="4" w:space="0"/>
                    <w:bottom w:val="single" w:color="auto" w:sz="4" w:space="0"/>
                    <w:right w:val="single" w:color="auto" w:sz="4" w:space="0"/>
                  </w:tcBorders>
                  <w:vAlign w:val="center"/>
                </w:tcPr>
                <w:p w14:paraId="7CB75AD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2025-</w:t>
                  </w:r>
                  <w:r>
                    <w:rPr>
                      <w:rFonts w:hint="default" w:ascii="Times New Roman" w:hAnsi="Times New Roman" w:eastAsia="宋体" w:cs="Times New Roman"/>
                      <w:color w:val="auto"/>
                      <w:sz w:val="21"/>
                      <w:szCs w:val="21"/>
                      <w:lang w:val="en-US" w:eastAsia="zh-CN"/>
                    </w:rPr>
                    <w:t>03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15</w:t>
                  </w:r>
                </w:p>
              </w:tc>
            </w:tr>
            <w:tr w14:paraId="40E8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0A8105B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检测点位</w:t>
                  </w:r>
                </w:p>
              </w:tc>
              <w:tc>
                <w:tcPr>
                  <w:tcW w:w="1847" w:type="pct"/>
                  <w:gridSpan w:val="3"/>
                  <w:tcBorders>
                    <w:top w:val="single" w:color="auto" w:sz="4" w:space="0"/>
                    <w:left w:val="single" w:color="auto" w:sz="4" w:space="0"/>
                    <w:bottom w:val="single" w:color="auto" w:sz="4" w:space="0"/>
                    <w:right w:val="single" w:color="auto" w:sz="4" w:space="0"/>
                  </w:tcBorders>
                  <w:vAlign w:val="center"/>
                </w:tcPr>
                <w:p w14:paraId="30A3DC5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处理设备</w:t>
                  </w:r>
                  <w:r>
                    <w:rPr>
                      <w:rFonts w:hint="default" w:ascii="Times New Roman" w:hAnsi="Times New Roman" w:eastAsia="宋体" w:cs="Times New Roman"/>
                      <w:color w:val="auto"/>
                      <w:sz w:val="21"/>
                      <w:szCs w:val="21"/>
                      <w:lang w:val="en-US" w:eastAsia="zh-CN"/>
                    </w:rPr>
                    <w:t>后（出</w:t>
                  </w:r>
                  <w:r>
                    <w:rPr>
                      <w:rFonts w:hint="default" w:ascii="Times New Roman" w:hAnsi="Times New Roman" w:eastAsia="宋体" w:cs="Times New Roman"/>
                      <w:color w:val="auto"/>
                      <w:sz w:val="21"/>
                      <w:szCs w:val="21"/>
                    </w:rPr>
                    <w:t>口）</w:t>
                  </w:r>
                </w:p>
              </w:tc>
              <w:tc>
                <w:tcPr>
                  <w:tcW w:w="1896" w:type="pct"/>
                  <w:gridSpan w:val="3"/>
                  <w:tcBorders>
                    <w:top w:val="single" w:color="auto" w:sz="4" w:space="0"/>
                    <w:left w:val="single" w:color="auto" w:sz="4" w:space="0"/>
                    <w:bottom w:val="single" w:color="auto" w:sz="4" w:space="0"/>
                    <w:right w:val="single" w:color="auto" w:sz="4" w:space="0"/>
                  </w:tcBorders>
                  <w:vAlign w:val="center"/>
                </w:tcPr>
                <w:p w14:paraId="012B993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处理设备</w:t>
                  </w:r>
                  <w:r>
                    <w:rPr>
                      <w:rFonts w:hint="default" w:ascii="Times New Roman" w:hAnsi="Times New Roman" w:eastAsia="宋体" w:cs="Times New Roman"/>
                      <w:color w:val="auto"/>
                      <w:sz w:val="21"/>
                      <w:szCs w:val="21"/>
                      <w:lang w:val="en-US" w:eastAsia="zh-CN"/>
                    </w:rPr>
                    <w:t>后（出</w:t>
                  </w:r>
                  <w:r>
                    <w:rPr>
                      <w:rFonts w:hint="default" w:ascii="Times New Roman" w:hAnsi="Times New Roman" w:eastAsia="宋体" w:cs="Times New Roman"/>
                      <w:color w:val="auto"/>
                      <w:sz w:val="21"/>
                      <w:szCs w:val="21"/>
                    </w:rPr>
                    <w:t>口）</w:t>
                  </w:r>
                </w:p>
              </w:tc>
            </w:tr>
            <w:tr w14:paraId="4922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5C43B76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排气筒高度（</w:t>
                  </w:r>
                  <w:r>
                    <w:rPr>
                      <w:rFonts w:hint="default" w:ascii="Times New Roman" w:hAnsi="Times New Roman" w:eastAsia="宋体" w:cs="Times New Roman"/>
                      <w:color w:val="auto"/>
                      <w:sz w:val="21"/>
                      <w:szCs w:val="21"/>
                    </w:rPr>
                    <w:t>m</w:t>
                  </w:r>
                  <w:r>
                    <w:rPr>
                      <w:rFonts w:hint="default" w:ascii="Times New Roman" w:hAnsi="Times New Roman" w:eastAsia="宋体" w:cs="Times New Roman"/>
                      <w:bCs/>
                      <w:color w:val="auto"/>
                      <w:sz w:val="21"/>
                      <w:szCs w:val="21"/>
                    </w:rPr>
                    <w:t>）</w:t>
                  </w:r>
                </w:p>
              </w:tc>
              <w:tc>
                <w:tcPr>
                  <w:tcW w:w="1847" w:type="pct"/>
                  <w:gridSpan w:val="3"/>
                  <w:tcBorders>
                    <w:top w:val="single" w:color="auto" w:sz="4" w:space="0"/>
                    <w:left w:val="single" w:color="auto" w:sz="4" w:space="0"/>
                    <w:bottom w:val="single" w:color="auto" w:sz="4" w:space="0"/>
                    <w:right w:val="single" w:color="auto" w:sz="4" w:space="0"/>
                  </w:tcBorders>
                  <w:vAlign w:val="center"/>
                </w:tcPr>
                <w:p w14:paraId="515E702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1896" w:type="pct"/>
                  <w:gridSpan w:val="3"/>
                  <w:tcBorders>
                    <w:top w:val="single" w:color="auto" w:sz="4" w:space="0"/>
                    <w:left w:val="single" w:color="auto" w:sz="4" w:space="0"/>
                    <w:bottom w:val="single" w:color="auto" w:sz="4" w:space="0"/>
                    <w:right w:val="single" w:color="auto" w:sz="4" w:space="0"/>
                  </w:tcBorders>
                  <w:vAlign w:val="center"/>
                </w:tcPr>
                <w:p w14:paraId="0D290AA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14:paraId="1B35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327E267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检测频次</w:t>
                  </w:r>
                </w:p>
              </w:tc>
              <w:tc>
                <w:tcPr>
                  <w:tcW w:w="615" w:type="pct"/>
                  <w:tcBorders>
                    <w:top w:val="single" w:color="auto" w:sz="4" w:space="0"/>
                    <w:left w:val="single" w:color="auto" w:sz="4" w:space="0"/>
                    <w:bottom w:val="single" w:color="auto" w:sz="4" w:space="0"/>
                    <w:right w:val="single" w:color="auto" w:sz="4" w:space="0"/>
                  </w:tcBorders>
                  <w:vAlign w:val="center"/>
                </w:tcPr>
                <w:p w14:paraId="386B71F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第一次</w:t>
                  </w:r>
                </w:p>
              </w:tc>
              <w:tc>
                <w:tcPr>
                  <w:tcW w:w="615" w:type="pct"/>
                  <w:tcBorders>
                    <w:top w:val="single" w:color="auto" w:sz="4" w:space="0"/>
                    <w:left w:val="single" w:color="auto" w:sz="4" w:space="0"/>
                    <w:bottom w:val="single" w:color="auto" w:sz="4" w:space="0"/>
                    <w:right w:val="single" w:color="auto" w:sz="4" w:space="0"/>
                  </w:tcBorders>
                  <w:vAlign w:val="center"/>
                </w:tcPr>
                <w:p w14:paraId="4BB648D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第二次</w:t>
                  </w:r>
                </w:p>
              </w:tc>
              <w:tc>
                <w:tcPr>
                  <w:tcW w:w="616" w:type="pct"/>
                  <w:tcBorders>
                    <w:top w:val="single" w:color="auto" w:sz="4" w:space="0"/>
                    <w:left w:val="single" w:color="auto" w:sz="4" w:space="0"/>
                    <w:bottom w:val="single" w:color="auto" w:sz="4" w:space="0"/>
                    <w:right w:val="single" w:color="auto" w:sz="4" w:space="0"/>
                  </w:tcBorders>
                  <w:vAlign w:val="center"/>
                </w:tcPr>
                <w:p w14:paraId="7256329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第三次</w:t>
                  </w:r>
                </w:p>
              </w:tc>
              <w:tc>
                <w:tcPr>
                  <w:tcW w:w="615" w:type="pct"/>
                  <w:tcBorders>
                    <w:top w:val="single" w:color="auto" w:sz="4" w:space="0"/>
                    <w:left w:val="single" w:color="auto" w:sz="4" w:space="0"/>
                    <w:bottom w:val="single" w:color="auto" w:sz="4" w:space="0"/>
                    <w:right w:val="single" w:color="auto" w:sz="4" w:space="0"/>
                  </w:tcBorders>
                  <w:vAlign w:val="center"/>
                </w:tcPr>
                <w:p w14:paraId="4CFF88A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第一次</w:t>
                  </w:r>
                </w:p>
              </w:tc>
              <w:tc>
                <w:tcPr>
                  <w:tcW w:w="612" w:type="pct"/>
                  <w:tcBorders>
                    <w:top w:val="single" w:color="auto" w:sz="4" w:space="0"/>
                    <w:left w:val="single" w:color="auto" w:sz="4" w:space="0"/>
                    <w:bottom w:val="single" w:color="auto" w:sz="4" w:space="0"/>
                    <w:right w:val="single" w:color="auto" w:sz="4" w:space="0"/>
                  </w:tcBorders>
                  <w:vAlign w:val="center"/>
                </w:tcPr>
                <w:p w14:paraId="71796E6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第二次</w:t>
                  </w:r>
                </w:p>
              </w:tc>
              <w:tc>
                <w:tcPr>
                  <w:tcW w:w="669" w:type="pct"/>
                  <w:tcBorders>
                    <w:top w:val="single" w:color="auto" w:sz="4" w:space="0"/>
                    <w:left w:val="single" w:color="auto" w:sz="4" w:space="0"/>
                    <w:bottom w:val="single" w:color="auto" w:sz="4" w:space="0"/>
                    <w:right w:val="single" w:color="auto" w:sz="4" w:space="0"/>
                  </w:tcBorders>
                  <w:vAlign w:val="center"/>
                </w:tcPr>
                <w:p w14:paraId="2131437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第三次</w:t>
                  </w:r>
                </w:p>
              </w:tc>
            </w:tr>
            <w:tr w14:paraId="74F3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3FFDE90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含氧量（%）</w:t>
                  </w:r>
                </w:p>
              </w:tc>
              <w:tc>
                <w:tcPr>
                  <w:tcW w:w="615" w:type="pct"/>
                  <w:tcBorders>
                    <w:top w:val="single" w:color="auto" w:sz="4" w:space="0"/>
                    <w:left w:val="single" w:color="auto" w:sz="4" w:space="0"/>
                    <w:bottom w:val="single" w:color="auto" w:sz="4" w:space="0"/>
                    <w:right w:val="single" w:color="auto" w:sz="4" w:space="0"/>
                  </w:tcBorders>
                  <w:vAlign w:val="center"/>
                </w:tcPr>
                <w:p w14:paraId="558C603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10.4</w:t>
                  </w:r>
                </w:p>
              </w:tc>
              <w:tc>
                <w:tcPr>
                  <w:tcW w:w="615" w:type="pct"/>
                  <w:tcBorders>
                    <w:top w:val="single" w:color="auto" w:sz="4" w:space="0"/>
                    <w:left w:val="single" w:color="auto" w:sz="4" w:space="0"/>
                    <w:bottom w:val="single" w:color="auto" w:sz="4" w:space="0"/>
                    <w:right w:val="single" w:color="auto" w:sz="4" w:space="0"/>
                  </w:tcBorders>
                  <w:vAlign w:val="center"/>
                </w:tcPr>
                <w:p w14:paraId="0812D85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9.9</w:t>
                  </w:r>
                </w:p>
              </w:tc>
              <w:tc>
                <w:tcPr>
                  <w:tcW w:w="616" w:type="pct"/>
                  <w:tcBorders>
                    <w:top w:val="single" w:color="auto" w:sz="4" w:space="0"/>
                    <w:left w:val="single" w:color="auto" w:sz="4" w:space="0"/>
                    <w:bottom w:val="single" w:color="auto" w:sz="4" w:space="0"/>
                    <w:right w:val="single" w:color="auto" w:sz="4" w:space="0"/>
                  </w:tcBorders>
                  <w:vAlign w:val="center"/>
                </w:tcPr>
                <w:p w14:paraId="61736BF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9.8</w:t>
                  </w:r>
                </w:p>
              </w:tc>
              <w:tc>
                <w:tcPr>
                  <w:tcW w:w="615" w:type="pct"/>
                  <w:tcBorders>
                    <w:top w:val="single" w:color="auto" w:sz="4" w:space="0"/>
                    <w:left w:val="single" w:color="auto" w:sz="4" w:space="0"/>
                    <w:bottom w:val="single" w:color="auto" w:sz="4" w:space="0"/>
                    <w:right w:val="single" w:color="auto" w:sz="4" w:space="0"/>
                  </w:tcBorders>
                  <w:vAlign w:val="center"/>
                </w:tcPr>
                <w:p w14:paraId="6D9FE66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10.3</w:t>
                  </w:r>
                </w:p>
              </w:tc>
              <w:tc>
                <w:tcPr>
                  <w:tcW w:w="612" w:type="pct"/>
                  <w:tcBorders>
                    <w:top w:val="single" w:color="auto" w:sz="4" w:space="0"/>
                    <w:left w:val="single" w:color="auto" w:sz="4" w:space="0"/>
                    <w:bottom w:val="single" w:color="auto" w:sz="4" w:space="0"/>
                    <w:right w:val="single" w:color="auto" w:sz="4" w:space="0"/>
                  </w:tcBorders>
                  <w:vAlign w:val="center"/>
                </w:tcPr>
                <w:p w14:paraId="36A4798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10.1</w:t>
                  </w:r>
                </w:p>
              </w:tc>
              <w:tc>
                <w:tcPr>
                  <w:tcW w:w="669" w:type="pct"/>
                  <w:tcBorders>
                    <w:top w:val="single" w:color="auto" w:sz="4" w:space="0"/>
                    <w:left w:val="single" w:color="auto" w:sz="4" w:space="0"/>
                    <w:bottom w:val="single" w:color="auto" w:sz="4" w:space="0"/>
                    <w:right w:val="single" w:color="auto" w:sz="4" w:space="0"/>
                  </w:tcBorders>
                  <w:vAlign w:val="center"/>
                </w:tcPr>
                <w:p w14:paraId="59791B9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9.7</w:t>
                  </w:r>
                </w:p>
              </w:tc>
            </w:tr>
            <w:tr w14:paraId="32EE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top w:val="single" w:color="auto" w:sz="4" w:space="0"/>
                    <w:left w:val="single" w:color="auto" w:sz="4" w:space="0"/>
                    <w:bottom w:val="single" w:color="auto" w:sz="4" w:space="0"/>
                    <w:right w:val="single" w:color="auto" w:sz="4" w:space="0"/>
                  </w:tcBorders>
                  <w:vAlign w:val="center"/>
                </w:tcPr>
                <w:p w14:paraId="00636B9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标干烟气量（Nm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615" w:type="pct"/>
                  <w:tcBorders>
                    <w:top w:val="single" w:color="auto" w:sz="4" w:space="0"/>
                    <w:left w:val="single" w:color="auto" w:sz="4" w:space="0"/>
                    <w:bottom w:val="single" w:color="auto" w:sz="4" w:space="0"/>
                    <w:right w:val="single" w:color="auto" w:sz="4" w:space="0"/>
                  </w:tcBorders>
                  <w:vAlign w:val="center"/>
                </w:tcPr>
                <w:p w14:paraId="2E35200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964</w:t>
                  </w:r>
                </w:p>
              </w:tc>
              <w:tc>
                <w:tcPr>
                  <w:tcW w:w="615" w:type="pct"/>
                  <w:tcBorders>
                    <w:top w:val="single" w:color="auto" w:sz="4" w:space="0"/>
                    <w:left w:val="single" w:color="auto" w:sz="4" w:space="0"/>
                    <w:bottom w:val="single" w:color="auto" w:sz="4" w:space="0"/>
                    <w:right w:val="single" w:color="auto" w:sz="4" w:space="0"/>
                  </w:tcBorders>
                  <w:vAlign w:val="center"/>
                </w:tcPr>
                <w:p w14:paraId="1284DD0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1101</w:t>
                  </w:r>
                </w:p>
              </w:tc>
              <w:tc>
                <w:tcPr>
                  <w:tcW w:w="616" w:type="pct"/>
                  <w:tcBorders>
                    <w:top w:val="single" w:color="auto" w:sz="4" w:space="0"/>
                    <w:left w:val="single" w:color="auto" w:sz="4" w:space="0"/>
                    <w:bottom w:val="single" w:color="auto" w:sz="4" w:space="0"/>
                    <w:right w:val="single" w:color="auto" w:sz="4" w:space="0"/>
                  </w:tcBorders>
                  <w:vAlign w:val="center"/>
                </w:tcPr>
                <w:p w14:paraId="37703C5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1055</w:t>
                  </w:r>
                </w:p>
              </w:tc>
              <w:tc>
                <w:tcPr>
                  <w:tcW w:w="615" w:type="pct"/>
                  <w:tcBorders>
                    <w:top w:val="single" w:color="auto" w:sz="4" w:space="0"/>
                    <w:left w:val="single" w:color="auto" w:sz="4" w:space="0"/>
                    <w:bottom w:val="single" w:color="auto" w:sz="4" w:space="0"/>
                    <w:right w:val="single" w:color="auto" w:sz="4" w:space="0"/>
                  </w:tcBorders>
                  <w:vAlign w:val="center"/>
                </w:tcPr>
                <w:p w14:paraId="3210156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1096</w:t>
                  </w:r>
                </w:p>
              </w:tc>
              <w:tc>
                <w:tcPr>
                  <w:tcW w:w="612" w:type="pct"/>
                  <w:tcBorders>
                    <w:top w:val="single" w:color="auto" w:sz="4" w:space="0"/>
                    <w:left w:val="single" w:color="auto" w:sz="4" w:space="0"/>
                    <w:bottom w:val="single" w:color="auto" w:sz="4" w:space="0"/>
                    <w:right w:val="single" w:color="auto" w:sz="4" w:space="0"/>
                  </w:tcBorders>
                  <w:vAlign w:val="center"/>
                </w:tcPr>
                <w:p w14:paraId="54C669D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1042</w:t>
                  </w:r>
                </w:p>
              </w:tc>
              <w:tc>
                <w:tcPr>
                  <w:tcW w:w="669" w:type="pct"/>
                  <w:tcBorders>
                    <w:top w:val="single" w:color="auto" w:sz="4" w:space="0"/>
                    <w:left w:val="single" w:color="auto" w:sz="4" w:space="0"/>
                    <w:bottom w:val="single" w:color="auto" w:sz="4" w:space="0"/>
                    <w:right w:val="single" w:color="auto" w:sz="4" w:space="0"/>
                  </w:tcBorders>
                  <w:vAlign w:val="center"/>
                </w:tcPr>
                <w:p w14:paraId="3AB6186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1065</w:t>
                  </w:r>
                </w:p>
              </w:tc>
            </w:tr>
            <w:tr w14:paraId="31BB1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restart"/>
                  <w:tcBorders>
                    <w:left w:val="single" w:color="auto" w:sz="4" w:space="0"/>
                    <w:right w:val="single" w:color="auto" w:sz="4" w:space="0"/>
                  </w:tcBorders>
                  <w:shd w:val="clear" w:color="auto" w:fill="auto"/>
                  <w:vAlign w:val="center"/>
                </w:tcPr>
                <w:p w14:paraId="209FFB5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颗粒物</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496E879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rPr>
                    <w:t>排放浓度（mg/m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tc>
              <w:tc>
                <w:tcPr>
                  <w:tcW w:w="615" w:type="pct"/>
                  <w:tcBorders>
                    <w:left w:val="single" w:color="auto" w:sz="4" w:space="0"/>
                    <w:right w:val="single" w:color="auto" w:sz="4" w:space="0"/>
                  </w:tcBorders>
                  <w:vAlign w:val="center"/>
                </w:tcPr>
                <w:p w14:paraId="6065E52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w:t>
                  </w:r>
                </w:p>
              </w:tc>
              <w:tc>
                <w:tcPr>
                  <w:tcW w:w="615" w:type="pct"/>
                  <w:tcBorders>
                    <w:left w:val="single" w:color="auto" w:sz="4" w:space="0"/>
                    <w:right w:val="single" w:color="auto" w:sz="4" w:space="0"/>
                  </w:tcBorders>
                  <w:vAlign w:val="center"/>
                </w:tcPr>
                <w:p w14:paraId="0D55868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c>
                <w:tcPr>
                  <w:tcW w:w="616" w:type="pct"/>
                  <w:tcBorders>
                    <w:left w:val="single" w:color="auto" w:sz="4" w:space="0"/>
                    <w:right w:val="single" w:color="auto" w:sz="4" w:space="0"/>
                  </w:tcBorders>
                  <w:vAlign w:val="center"/>
                </w:tcPr>
                <w:p w14:paraId="6881914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1.2</w:t>
                  </w:r>
                </w:p>
              </w:tc>
              <w:tc>
                <w:tcPr>
                  <w:tcW w:w="615" w:type="pct"/>
                  <w:tcBorders>
                    <w:left w:val="single" w:color="auto" w:sz="4" w:space="0"/>
                    <w:right w:val="single" w:color="auto" w:sz="4" w:space="0"/>
                  </w:tcBorders>
                  <w:vAlign w:val="center"/>
                </w:tcPr>
                <w:p w14:paraId="68B9B94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1.4</w:t>
                  </w:r>
                </w:p>
              </w:tc>
              <w:tc>
                <w:tcPr>
                  <w:tcW w:w="612" w:type="pct"/>
                  <w:tcBorders>
                    <w:left w:val="single" w:color="auto" w:sz="4" w:space="0"/>
                    <w:right w:val="single" w:color="auto" w:sz="4" w:space="0"/>
                  </w:tcBorders>
                  <w:vAlign w:val="center"/>
                </w:tcPr>
                <w:p w14:paraId="179A979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1.3</w:t>
                  </w:r>
                </w:p>
              </w:tc>
              <w:tc>
                <w:tcPr>
                  <w:tcW w:w="669" w:type="pct"/>
                  <w:tcBorders>
                    <w:left w:val="single" w:color="auto" w:sz="4" w:space="0"/>
                    <w:right w:val="single" w:color="auto" w:sz="4" w:space="0"/>
                  </w:tcBorders>
                  <w:vAlign w:val="center"/>
                </w:tcPr>
                <w:p w14:paraId="72DABB2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1.5</w:t>
                  </w:r>
                </w:p>
              </w:tc>
            </w:tr>
            <w:tr w14:paraId="75FA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13577DE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05E0E92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排放速率（kg/h）</w:t>
                  </w:r>
                </w:p>
              </w:tc>
              <w:tc>
                <w:tcPr>
                  <w:tcW w:w="615" w:type="pct"/>
                  <w:tcBorders>
                    <w:left w:val="single" w:color="auto" w:sz="4" w:space="0"/>
                    <w:right w:val="single" w:color="auto" w:sz="4" w:space="0"/>
                  </w:tcBorders>
                  <w:vAlign w:val="center"/>
                </w:tcPr>
                <w:p w14:paraId="432C945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1.54×10</w:t>
                  </w:r>
                  <w:r>
                    <w:rPr>
                      <w:rFonts w:hint="default" w:ascii="Times New Roman" w:hAnsi="Times New Roman" w:eastAsia="宋体" w:cs="Times New Roman"/>
                      <w:color w:val="auto"/>
                      <w:sz w:val="21"/>
                      <w:szCs w:val="21"/>
                      <w:vertAlign w:val="superscript"/>
                      <w:lang w:val="en-US" w:eastAsia="zh-CN"/>
                    </w:rPr>
                    <w:t>-3</w:t>
                  </w:r>
                </w:p>
              </w:tc>
              <w:tc>
                <w:tcPr>
                  <w:tcW w:w="615" w:type="pct"/>
                  <w:tcBorders>
                    <w:left w:val="single" w:color="auto" w:sz="4" w:space="0"/>
                    <w:right w:val="single" w:color="auto" w:sz="4" w:space="0"/>
                  </w:tcBorders>
                  <w:vAlign w:val="center"/>
                </w:tcPr>
                <w:p w14:paraId="7912EE8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1.65×10</w:t>
                  </w:r>
                  <w:r>
                    <w:rPr>
                      <w:rFonts w:hint="default" w:ascii="Times New Roman" w:hAnsi="Times New Roman" w:eastAsia="宋体" w:cs="Times New Roman"/>
                      <w:color w:val="auto"/>
                      <w:sz w:val="21"/>
                      <w:szCs w:val="21"/>
                      <w:vertAlign w:val="superscript"/>
                      <w:lang w:val="en-US" w:eastAsia="zh-CN"/>
                    </w:rPr>
                    <w:t>-3</w:t>
                  </w:r>
                </w:p>
              </w:tc>
              <w:tc>
                <w:tcPr>
                  <w:tcW w:w="616" w:type="pct"/>
                  <w:tcBorders>
                    <w:left w:val="single" w:color="auto" w:sz="4" w:space="0"/>
                    <w:right w:val="single" w:color="auto" w:sz="4" w:space="0"/>
                  </w:tcBorders>
                  <w:vAlign w:val="center"/>
                </w:tcPr>
                <w:p w14:paraId="36C5867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1.27×10</w:t>
                  </w:r>
                  <w:r>
                    <w:rPr>
                      <w:rFonts w:hint="default" w:ascii="Times New Roman" w:hAnsi="Times New Roman" w:eastAsia="宋体" w:cs="Times New Roman"/>
                      <w:color w:val="auto"/>
                      <w:sz w:val="21"/>
                      <w:szCs w:val="21"/>
                      <w:vertAlign w:val="superscript"/>
                      <w:lang w:val="en-US" w:eastAsia="zh-CN"/>
                    </w:rPr>
                    <w:t>-3</w:t>
                  </w:r>
                </w:p>
              </w:tc>
              <w:tc>
                <w:tcPr>
                  <w:tcW w:w="615" w:type="pct"/>
                  <w:tcBorders>
                    <w:left w:val="single" w:color="auto" w:sz="4" w:space="0"/>
                    <w:right w:val="single" w:color="auto" w:sz="4" w:space="0"/>
                  </w:tcBorders>
                  <w:vAlign w:val="center"/>
                </w:tcPr>
                <w:p w14:paraId="1135265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1.53×10</w:t>
                  </w:r>
                  <w:r>
                    <w:rPr>
                      <w:rFonts w:hint="default" w:ascii="Times New Roman" w:hAnsi="Times New Roman" w:eastAsia="宋体" w:cs="Times New Roman"/>
                      <w:color w:val="auto"/>
                      <w:sz w:val="21"/>
                      <w:szCs w:val="21"/>
                      <w:vertAlign w:val="superscript"/>
                      <w:lang w:val="en-US" w:eastAsia="zh-CN"/>
                    </w:rPr>
                    <w:t>-3</w:t>
                  </w:r>
                </w:p>
              </w:tc>
              <w:tc>
                <w:tcPr>
                  <w:tcW w:w="612" w:type="pct"/>
                  <w:tcBorders>
                    <w:left w:val="single" w:color="auto" w:sz="4" w:space="0"/>
                    <w:right w:val="single" w:color="auto" w:sz="4" w:space="0"/>
                  </w:tcBorders>
                  <w:vAlign w:val="center"/>
                </w:tcPr>
                <w:p w14:paraId="002BF1E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1.35×10</w:t>
                  </w:r>
                  <w:r>
                    <w:rPr>
                      <w:rFonts w:hint="default" w:ascii="Times New Roman" w:hAnsi="Times New Roman" w:eastAsia="宋体" w:cs="Times New Roman"/>
                      <w:color w:val="auto"/>
                      <w:sz w:val="21"/>
                      <w:szCs w:val="21"/>
                      <w:vertAlign w:val="superscript"/>
                      <w:lang w:val="en-US" w:eastAsia="zh-CN"/>
                    </w:rPr>
                    <w:t>-3</w:t>
                  </w:r>
                </w:p>
              </w:tc>
              <w:tc>
                <w:tcPr>
                  <w:tcW w:w="669" w:type="pct"/>
                  <w:tcBorders>
                    <w:left w:val="single" w:color="auto" w:sz="4" w:space="0"/>
                    <w:right w:val="single" w:color="auto" w:sz="4" w:space="0"/>
                  </w:tcBorders>
                  <w:vAlign w:val="center"/>
                </w:tcPr>
                <w:p w14:paraId="793A3D4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1.60×10</w:t>
                  </w:r>
                  <w:r>
                    <w:rPr>
                      <w:rFonts w:hint="default" w:ascii="Times New Roman" w:hAnsi="Times New Roman" w:eastAsia="宋体" w:cs="Times New Roman"/>
                      <w:color w:val="auto"/>
                      <w:sz w:val="21"/>
                      <w:szCs w:val="21"/>
                      <w:vertAlign w:val="superscript"/>
                      <w:lang w:val="en-US" w:eastAsia="zh-CN"/>
                    </w:rPr>
                    <w:t>-3</w:t>
                  </w:r>
                </w:p>
              </w:tc>
            </w:tr>
            <w:tr w14:paraId="5DA6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05399A6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7982A61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折算</w:t>
                  </w:r>
                  <w:r>
                    <w:rPr>
                      <w:rFonts w:hint="default" w:ascii="Times New Roman" w:hAnsi="Times New Roman" w:eastAsia="宋体" w:cs="Times New Roman"/>
                      <w:color w:val="auto"/>
                      <w:sz w:val="21"/>
                      <w:szCs w:val="21"/>
                    </w:rPr>
                    <w:t>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5" w:type="pct"/>
                  <w:tcBorders>
                    <w:left w:val="single" w:color="auto" w:sz="4" w:space="0"/>
                    <w:right w:val="single" w:color="auto" w:sz="4" w:space="0"/>
                  </w:tcBorders>
                  <w:vAlign w:val="center"/>
                </w:tcPr>
                <w:p w14:paraId="6A67412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2.6</w:t>
                  </w:r>
                </w:p>
              </w:tc>
              <w:tc>
                <w:tcPr>
                  <w:tcW w:w="615" w:type="pct"/>
                  <w:tcBorders>
                    <w:left w:val="single" w:color="auto" w:sz="4" w:space="0"/>
                    <w:right w:val="single" w:color="auto" w:sz="4" w:space="0"/>
                  </w:tcBorders>
                  <w:vAlign w:val="center"/>
                </w:tcPr>
                <w:p w14:paraId="78DCAFD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2.4</w:t>
                  </w:r>
                </w:p>
              </w:tc>
              <w:tc>
                <w:tcPr>
                  <w:tcW w:w="616" w:type="pct"/>
                  <w:tcBorders>
                    <w:left w:val="single" w:color="auto" w:sz="4" w:space="0"/>
                    <w:right w:val="single" w:color="auto" w:sz="4" w:space="0"/>
                  </w:tcBorders>
                  <w:vAlign w:val="center"/>
                </w:tcPr>
                <w:p w14:paraId="2D7F416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1.9</w:t>
                  </w:r>
                </w:p>
              </w:tc>
              <w:tc>
                <w:tcPr>
                  <w:tcW w:w="615" w:type="pct"/>
                  <w:tcBorders>
                    <w:left w:val="single" w:color="auto" w:sz="4" w:space="0"/>
                    <w:right w:val="single" w:color="auto" w:sz="4" w:space="0"/>
                  </w:tcBorders>
                  <w:vAlign w:val="center"/>
                </w:tcPr>
                <w:p w14:paraId="44A64DC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w:t>
                  </w:r>
                </w:p>
              </w:tc>
              <w:tc>
                <w:tcPr>
                  <w:tcW w:w="612" w:type="pct"/>
                  <w:tcBorders>
                    <w:left w:val="single" w:color="auto" w:sz="4" w:space="0"/>
                    <w:right w:val="single" w:color="auto" w:sz="4" w:space="0"/>
                  </w:tcBorders>
                  <w:vAlign w:val="center"/>
                </w:tcPr>
                <w:p w14:paraId="271CC49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2.1</w:t>
                  </w:r>
                </w:p>
              </w:tc>
              <w:tc>
                <w:tcPr>
                  <w:tcW w:w="669" w:type="pct"/>
                  <w:tcBorders>
                    <w:left w:val="single" w:color="auto" w:sz="4" w:space="0"/>
                    <w:right w:val="single" w:color="auto" w:sz="4" w:space="0"/>
                  </w:tcBorders>
                  <w:vAlign w:val="center"/>
                </w:tcPr>
                <w:p w14:paraId="77D938B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2.3</w:t>
                  </w:r>
                </w:p>
              </w:tc>
            </w:tr>
            <w:tr w14:paraId="1B25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restart"/>
                  <w:tcBorders>
                    <w:left w:val="single" w:color="auto" w:sz="4" w:space="0"/>
                    <w:right w:val="single" w:color="auto" w:sz="4" w:space="0"/>
                  </w:tcBorders>
                  <w:shd w:val="clear" w:color="auto" w:fill="auto"/>
                  <w:vAlign w:val="center"/>
                </w:tcPr>
                <w:p w14:paraId="7679887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二氧化硫</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071133E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5" w:type="pct"/>
                  <w:tcBorders>
                    <w:left w:val="single" w:color="auto" w:sz="4" w:space="0"/>
                    <w:right w:val="single" w:color="auto" w:sz="4" w:space="0"/>
                  </w:tcBorders>
                  <w:vAlign w:val="center"/>
                </w:tcPr>
                <w:p w14:paraId="160639D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15" w:type="pct"/>
                  <w:tcBorders>
                    <w:left w:val="single" w:color="auto" w:sz="4" w:space="0"/>
                    <w:right w:val="single" w:color="auto" w:sz="4" w:space="0"/>
                  </w:tcBorders>
                  <w:vAlign w:val="center"/>
                </w:tcPr>
                <w:p w14:paraId="0A5C6DC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16" w:type="pct"/>
                  <w:tcBorders>
                    <w:left w:val="single" w:color="auto" w:sz="4" w:space="0"/>
                    <w:right w:val="single" w:color="auto" w:sz="4" w:space="0"/>
                  </w:tcBorders>
                  <w:vAlign w:val="center"/>
                </w:tcPr>
                <w:p w14:paraId="0F18463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15" w:type="pct"/>
                  <w:tcBorders>
                    <w:left w:val="single" w:color="auto" w:sz="4" w:space="0"/>
                    <w:right w:val="single" w:color="auto" w:sz="4" w:space="0"/>
                  </w:tcBorders>
                  <w:vAlign w:val="center"/>
                </w:tcPr>
                <w:p w14:paraId="05D2298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12" w:type="pct"/>
                  <w:tcBorders>
                    <w:left w:val="single" w:color="auto" w:sz="4" w:space="0"/>
                    <w:right w:val="single" w:color="auto" w:sz="4" w:space="0"/>
                  </w:tcBorders>
                  <w:vAlign w:val="center"/>
                </w:tcPr>
                <w:p w14:paraId="5516F04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69" w:type="pct"/>
                  <w:tcBorders>
                    <w:left w:val="single" w:color="auto" w:sz="4" w:space="0"/>
                    <w:right w:val="single" w:color="auto" w:sz="4" w:space="0"/>
                  </w:tcBorders>
                  <w:vAlign w:val="center"/>
                </w:tcPr>
                <w:p w14:paraId="4F13462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r>
            <w:tr w14:paraId="5DF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4AE5538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0A739C7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排放速率（kg/h）</w:t>
                  </w:r>
                </w:p>
              </w:tc>
              <w:tc>
                <w:tcPr>
                  <w:tcW w:w="615" w:type="pct"/>
                  <w:tcBorders>
                    <w:left w:val="single" w:color="auto" w:sz="4" w:space="0"/>
                    <w:right w:val="single" w:color="auto" w:sz="4" w:space="0"/>
                  </w:tcBorders>
                  <w:vAlign w:val="center"/>
                </w:tcPr>
                <w:p w14:paraId="74241C1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5" w:type="pct"/>
                  <w:tcBorders>
                    <w:left w:val="single" w:color="auto" w:sz="4" w:space="0"/>
                    <w:right w:val="single" w:color="auto" w:sz="4" w:space="0"/>
                  </w:tcBorders>
                  <w:vAlign w:val="center"/>
                </w:tcPr>
                <w:p w14:paraId="0015052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6" w:type="pct"/>
                  <w:tcBorders>
                    <w:left w:val="single" w:color="auto" w:sz="4" w:space="0"/>
                    <w:right w:val="single" w:color="auto" w:sz="4" w:space="0"/>
                  </w:tcBorders>
                  <w:vAlign w:val="center"/>
                </w:tcPr>
                <w:p w14:paraId="54F55E8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5" w:type="pct"/>
                  <w:tcBorders>
                    <w:left w:val="single" w:color="auto" w:sz="4" w:space="0"/>
                    <w:right w:val="single" w:color="auto" w:sz="4" w:space="0"/>
                  </w:tcBorders>
                  <w:vAlign w:val="center"/>
                </w:tcPr>
                <w:p w14:paraId="4F6D6E1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2" w:type="pct"/>
                  <w:tcBorders>
                    <w:left w:val="single" w:color="auto" w:sz="4" w:space="0"/>
                    <w:right w:val="single" w:color="auto" w:sz="4" w:space="0"/>
                  </w:tcBorders>
                  <w:vAlign w:val="center"/>
                </w:tcPr>
                <w:p w14:paraId="5DCB606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69" w:type="pct"/>
                  <w:tcBorders>
                    <w:left w:val="single" w:color="auto" w:sz="4" w:space="0"/>
                    <w:right w:val="single" w:color="auto" w:sz="4" w:space="0"/>
                  </w:tcBorders>
                  <w:vAlign w:val="center"/>
                </w:tcPr>
                <w:p w14:paraId="3062935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4F72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1CB7C60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154B3B30">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折算</w:t>
                  </w:r>
                  <w:r>
                    <w:rPr>
                      <w:rFonts w:hint="default" w:ascii="Times New Roman" w:hAnsi="Times New Roman" w:eastAsia="宋体" w:cs="Times New Roman"/>
                      <w:color w:val="auto"/>
                      <w:sz w:val="21"/>
                      <w:szCs w:val="21"/>
                    </w:rPr>
                    <w:t>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5" w:type="pct"/>
                  <w:tcBorders>
                    <w:left w:val="single" w:color="auto" w:sz="4" w:space="0"/>
                    <w:right w:val="single" w:color="auto" w:sz="4" w:space="0"/>
                  </w:tcBorders>
                  <w:vAlign w:val="center"/>
                </w:tcPr>
                <w:p w14:paraId="4F42528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5" w:type="pct"/>
                  <w:tcBorders>
                    <w:left w:val="single" w:color="auto" w:sz="4" w:space="0"/>
                    <w:right w:val="single" w:color="auto" w:sz="4" w:space="0"/>
                  </w:tcBorders>
                  <w:vAlign w:val="center"/>
                </w:tcPr>
                <w:p w14:paraId="3E5E677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6" w:type="pct"/>
                  <w:tcBorders>
                    <w:left w:val="single" w:color="auto" w:sz="4" w:space="0"/>
                    <w:right w:val="single" w:color="auto" w:sz="4" w:space="0"/>
                  </w:tcBorders>
                  <w:vAlign w:val="center"/>
                </w:tcPr>
                <w:p w14:paraId="316F24A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5" w:type="pct"/>
                  <w:tcBorders>
                    <w:left w:val="single" w:color="auto" w:sz="4" w:space="0"/>
                    <w:right w:val="single" w:color="auto" w:sz="4" w:space="0"/>
                  </w:tcBorders>
                  <w:vAlign w:val="center"/>
                </w:tcPr>
                <w:p w14:paraId="578277ED">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12" w:type="pct"/>
                  <w:tcBorders>
                    <w:left w:val="single" w:color="auto" w:sz="4" w:space="0"/>
                    <w:right w:val="single" w:color="auto" w:sz="4" w:space="0"/>
                  </w:tcBorders>
                  <w:vAlign w:val="center"/>
                </w:tcPr>
                <w:p w14:paraId="3642480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669" w:type="pct"/>
                  <w:tcBorders>
                    <w:left w:val="single" w:color="auto" w:sz="4" w:space="0"/>
                    <w:right w:val="single" w:color="auto" w:sz="4" w:space="0"/>
                  </w:tcBorders>
                  <w:vAlign w:val="center"/>
                </w:tcPr>
                <w:p w14:paraId="5664A4D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r>
            <w:tr w14:paraId="0517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restart"/>
                  <w:tcBorders>
                    <w:left w:val="single" w:color="auto" w:sz="4" w:space="0"/>
                    <w:right w:val="single" w:color="auto" w:sz="4" w:space="0"/>
                  </w:tcBorders>
                  <w:shd w:val="clear" w:color="auto" w:fill="auto"/>
                  <w:vAlign w:val="center"/>
                </w:tcPr>
                <w:p w14:paraId="599AA0F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氮氧化物</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5735807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排放浓度（mg/m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5" w:type="pct"/>
                  <w:tcBorders>
                    <w:left w:val="single" w:color="auto" w:sz="4" w:space="0"/>
                    <w:right w:val="single" w:color="auto" w:sz="4" w:space="0"/>
                  </w:tcBorders>
                  <w:vAlign w:val="center"/>
                </w:tcPr>
                <w:p w14:paraId="30B1569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63</w:t>
                  </w:r>
                </w:p>
              </w:tc>
              <w:tc>
                <w:tcPr>
                  <w:tcW w:w="615" w:type="pct"/>
                  <w:tcBorders>
                    <w:left w:val="single" w:color="auto" w:sz="4" w:space="0"/>
                    <w:right w:val="single" w:color="auto" w:sz="4" w:space="0"/>
                  </w:tcBorders>
                  <w:vAlign w:val="center"/>
                </w:tcPr>
                <w:p w14:paraId="1CDFA3C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w:t>
                  </w:r>
                </w:p>
              </w:tc>
              <w:tc>
                <w:tcPr>
                  <w:tcW w:w="616" w:type="pct"/>
                  <w:tcBorders>
                    <w:left w:val="single" w:color="auto" w:sz="4" w:space="0"/>
                    <w:right w:val="single" w:color="auto" w:sz="4" w:space="0"/>
                  </w:tcBorders>
                  <w:vAlign w:val="center"/>
                </w:tcPr>
                <w:p w14:paraId="0F27BDF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76</w:t>
                  </w:r>
                </w:p>
              </w:tc>
              <w:tc>
                <w:tcPr>
                  <w:tcW w:w="615" w:type="pct"/>
                  <w:tcBorders>
                    <w:left w:val="single" w:color="auto" w:sz="4" w:space="0"/>
                    <w:right w:val="single" w:color="auto" w:sz="4" w:space="0"/>
                  </w:tcBorders>
                  <w:vAlign w:val="center"/>
                </w:tcPr>
                <w:p w14:paraId="4C67675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59</w:t>
                  </w:r>
                </w:p>
              </w:tc>
              <w:tc>
                <w:tcPr>
                  <w:tcW w:w="612" w:type="pct"/>
                  <w:tcBorders>
                    <w:left w:val="single" w:color="auto" w:sz="4" w:space="0"/>
                    <w:right w:val="single" w:color="auto" w:sz="4" w:space="0"/>
                  </w:tcBorders>
                  <w:vAlign w:val="center"/>
                </w:tcPr>
                <w:p w14:paraId="1F2F304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68</w:t>
                  </w:r>
                </w:p>
              </w:tc>
              <w:tc>
                <w:tcPr>
                  <w:tcW w:w="669" w:type="pct"/>
                  <w:tcBorders>
                    <w:left w:val="single" w:color="auto" w:sz="4" w:space="0"/>
                    <w:right w:val="single" w:color="auto" w:sz="4" w:space="0"/>
                  </w:tcBorders>
                  <w:vAlign w:val="center"/>
                </w:tcPr>
                <w:p w14:paraId="3F9D43F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66</w:t>
                  </w:r>
                </w:p>
              </w:tc>
            </w:tr>
            <w:tr w14:paraId="0D89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4C06D83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6E913AE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排放速率（kg/h）</w:t>
                  </w:r>
                </w:p>
              </w:tc>
              <w:tc>
                <w:tcPr>
                  <w:tcW w:w="615" w:type="pct"/>
                  <w:tcBorders>
                    <w:left w:val="single" w:color="auto" w:sz="4" w:space="0"/>
                    <w:right w:val="single" w:color="auto" w:sz="4" w:space="0"/>
                  </w:tcBorders>
                  <w:vAlign w:val="center"/>
                </w:tcPr>
                <w:p w14:paraId="34EDCAB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6.07×10</w:t>
                  </w:r>
                  <w:r>
                    <w:rPr>
                      <w:rFonts w:hint="default" w:ascii="Times New Roman" w:hAnsi="Times New Roman" w:eastAsia="宋体" w:cs="Times New Roman"/>
                      <w:color w:val="auto"/>
                      <w:sz w:val="21"/>
                      <w:szCs w:val="21"/>
                      <w:vertAlign w:val="superscript"/>
                      <w:lang w:val="en-US" w:eastAsia="zh-CN"/>
                    </w:rPr>
                    <w:t>-2</w:t>
                  </w:r>
                </w:p>
              </w:tc>
              <w:tc>
                <w:tcPr>
                  <w:tcW w:w="615" w:type="pct"/>
                  <w:tcBorders>
                    <w:left w:val="single" w:color="auto" w:sz="4" w:space="0"/>
                    <w:right w:val="single" w:color="auto" w:sz="4" w:space="0"/>
                  </w:tcBorders>
                  <w:vAlign w:val="center"/>
                </w:tcPr>
                <w:p w14:paraId="7833427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7.71×10</w:t>
                  </w:r>
                  <w:r>
                    <w:rPr>
                      <w:rFonts w:hint="default" w:ascii="Times New Roman" w:hAnsi="Times New Roman" w:eastAsia="宋体" w:cs="Times New Roman"/>
                      <w:color w:val="auto"/>
                      <w:sz w:val="21"/>
                      <w:szCs w:val="21"/>
                      <w:vertAlign w:val="superscript"/>
                      <w:lang w:val="en-US" w:eastAsia="zh-CN"/>
                    </w:rPr>
                    <w:t>-2</w:t>
                  </w:r>
                </w:p>
              </w:tc>
              <w:tc>
                <w:tcPr>
                  <w:tcW w:w="616" w:type="pct"/>
                  <w:tcBorders>
                    <w:left w:val="single" w:color="auto" w:sz="4" w:space="0"/>
                    <w:right w:val="single" w:color="auto" w:sz="4" w:space="0"/>
                  </w:tcBorders>
                  <w:vAlign w:val="center"/>
                </w:tcPr>
                <w:p w14:paraId="571837C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8.02×10</w:t>
                  </w:r>
                  <w:r>
                    <w:rPr>
                      <w:rFonts w:hint="default" w:ascii="Times New Roman" w:hAnsi="Times New Roman" w:eastAsia="宋体" w:cs="Times New Roman"/>
                      <w:color w:val="auto"/>
                      <w:sz w:val="21"/>
                      <w:szCs w:val="21"/>
                      <w:vertAlign w:val="superscript"/>
                      <w:lang w:val="en-US" w:eastAsia="zh-CN"/>
                    </w:rPr>
                    <w:t>-2</w:t>
                  </w:r>
                </w:p>
              </w:tc>
              <w:tc>
                <w:tcPr>
                  <w:tcW w:w="615" w:type="pct"/>
                  <w:tcBorders>
                    <w:left w:val="single" w:color="auto" w:sz="4" w:space="0"/>
                    <w:right w:val="single" w:color="auto" w:sz="4" w:space="0"/>
                  </w:tcBorders>
                  <w:vAlign w:val="center"/>
                </w:tcPr>
                <w:p w14:paraId="5831BBC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6.47×10</w:t>
                  </w:r>
                  <w:r>
                    <w:rPr>
                      <w:rFonts w:hint="default" w:ascii="Times New Roman" w:hAnsi="Times New Roman" w:eastAsia="宋体" w:cs="Times New Roman"/>
                      <w:color w:val="auto"/>
                      <w:sz w:val="21"/>
                      <w:szCs w:val="21"/>
                      <w:vertAlign w:val="superscript"/>
                      <w:lang w:val="en-US" w:eastAsia="zh-CN"/>
                    </w:rPr>
                    <w:t>-2</w:t>
                  </w:r>
                </w:p>
              </w:tc>
              <w:tc>
                <w:tcPr>
                  <w:tcW w:w="612" w:type="pct"/>
                  <w:tcBorders>
                    <w:left w:val="single" w:color="auto" w:sz="4" w:space="0"/>
                    <w:right w:val="single" w:color="auto" w:sz="4" w:space="0"/>
                  </w:tcBorders>
                  <w:vAlign w:val="center"/>
                </w:tcPr>
                <w:p w14:paraId="4F8602B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7.09×10</w:t>
                  </w:r>
                  <w:r>
                    <w:rPr>
                      <w:rFonts w:hint="default" w:ascii="Times New Roman" w:hAnsi="Times New Roman" w:eastAsia="宋体" w:cs="Times New Roman"/>
                      <w:color w:val="auto"/>
                      <w:sz w:val="21"/>
                      <w:szCs w:val="21"/>
                      <w:vertAlign w:val="superscript"/>
                      <w:lang w:val="en-US" w:eastAsia="zh-CN"/>
                    </w:rPr>
                    <w:t>-2</w:t>
                  </w:r>
                </w:p>
              </w:tc>
              <w:tc>
                <w:tcPr>
                  <w:tcW w:w="669" w:type="pct"/>
                  <w:tcBorders>
                    <w:left w:val="single" w:color="auto" w:sz="4" w:space="0"/>
                    <w:right w:val="single" w:color="auto" w:sz="4" w:space="0"/>
                  </w:tcBorders>
                  <w:vAlign w:val="center"/>
                </w:tcPr>
                <w:p w14:paraId="6B58EB6C">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7.03×10</w:t>
                  </w:r>
                  <w:r>
                    <w:rPr>
                      <w:rFonts w:hint="default" w:ascii="Times New Roman" w:hAnsi="Times New Roman" w:eastAsia="宋体" w:cs="Times New Roman"/>
                      <w:color w:val="auto"/>
                      <w:sz w:val="21"/>
                      <w:szCs w:val="21"/>
                      <w:vertAlign w:val="superscript"/>
                      <w:lang w:val="en-US" w:eastAsia="zh-CN"/>
                    </w:rPr>
                    <w:t>-2</w:t>
                  </w:r>
                </w:p>
              </w:tc>
            </w:tr>
            <w:tr w14:paraId="2293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567" w:type="pct"/>
                  <w:vMerge w:val="continue"/>
                  <w:tcBorders>
                    <w:left w:val="single" w:color="auto" w:sz="4" w:space="0"/>
                    <w:right w:val="single" w:color="auto" w:sz="4" w:space="0"/>
                  </w:tcBorders>
                  <w:vAlign w:val="center"/>
                </w:tcPr>
                <w:p w14:paraId="3E04666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37228B2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折算</w:t>
                  </w:r>
                  <w:r>
                    <w:rPr>
                      <w:rFonts w:hint="default" w:ascii="Times New Roman" w:hAnsi="Times New Roman" w:eastAsia="宋体" w:cs="Times New Roman"/>
                      <w:color w:val="auto"/>
                      <w:sz w:val="21"/>
                      <w:szCs w:val="21"/>
                    </w:rPr>
                    <w:t>浓度（mg/m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615" w:type="pct"/>
                  <w:tcBorders>
                    <w:left w:val="single" w:color="auto" w:sz="4" w:space="0"/>
                    <w:right w:val="single" w:color="auto" w:sz="4" w:space="0"/>
                  </w:tcBorders>
                  <w:vAlign w:val="center"/>
                </w:tcPr>
                <w:p w14:paraId="40B6E3F8">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104</w:t>
                  </w:r>
                </w:p>
              </w:tc>
              <w:tc>
                <w:tcPr>
                  <w:tcW w:w="615" w:type="pct"/>
                  <w:tcBorders>
                    <w:left w:val="single" w:color="auto" w:sz="4" w:space="0"/>
                    <w:right w:val="single" w:color="auto" w:sz="4" w:space="0"/>
                  </w:tcBorders>
                  <w:vAlign w:val="center"/>
                </w:tcPr>
                <w:p w14:paraId="6F0BBE4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110</w:t>
                  </w:r>
                </w:p>
              </w:tc>
              <w:tc>
                <w:tcPr>
                  <w:tcW w:w="616" w:type="pct"/>
                  <w:tcBorders>
                    <w:left w:val="single" w:color="auto" w:sz="4" w:space="0"/>
                    <w:right w:val="single" w:color="auto" w:sz="4" w:space="0"/>
                  </w:tcBorders>
                  <w:vAlign w:val="center"/>
                </w:tcPr>
                <w:p w14:paraId="72A3C64E">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119</w:t>
                  </w:r>
                </w:p>
              </w:tc>
              <w:tc>
                <w:tcPr>
                  <w:tcW w:w="615" w:type="pct"/>
                  <w:tcBorders>
                    <w:left w:val="single" w:color="auto" w:sz="4" w:space="0"/>
                    <w:right w:val="single" w:color="auto" w:sz="4" w:space="0"/>
                  </w:tcBorders>
                  <w:vAlign w:val="center"/>
                </w:tcPr>
                <w:p w14:paraId="492458C4">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96</w:t>
                  </w:r>
                </w:p>
              </w:tc>
              <w:tc>
                <w:tcPr>
                  <w:tcW w:w="612" w:type="pct"/>
                  <w:tcBorders>
                    <w:left w:val="single" w:color="auto" w:sz="4" w:space="0"/>
                    <w:right w:val="single" w:color="auto" w:sz="4" w:space="0"/>
                  </w:tcBorders>
                  <w:vAlign w:val="center"/>
                </w:tcPr>
                <w:p w14:paraId="4EB4164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109</w:t>
                  </w:r>
                </w:p>
              </w:tc>
              <w:tc>
                <w:tcPr>
                  <w:tcW w:w="669" w:type="pct"/>
                  <w:tcBorders>
                    <w:left w:val="single" w:color="auto" w:sz="4" w:space="0"/>
                    <w:right w:val="single" w:color="auto" w:sz="4" w:space="0"/>
                  </w:tcBorders>
                  <w:vAlign w:val="center"/>
                </w:tcPr>
                <w:p w14:paraId="667ECF4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102</w:t>
                  </w:r>
                </w:p>
              </w:tc>
            </w:tr>
            <w:tr w14:paraId="6E77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256" w:type="pct"/>
                  <w:gridSpan w:val="2"/>
                  <w:tcBorders>
                    <w:left w:val="single" w:color="auto" w:sz="4" w:space="0"/>
                    <w:right w:val="single" w:color="auto" w:sz="4" w:space="0"/>
                  </w:tcBorders>
                  <w:vAlign w:val="center"/>
                </w:tcPr>
                <w:p w14:paraId="7613EE42">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c>
                <w:tcPr>
                  <w:tcW w:w="3743" w:type="pct"/>
                  <w:gridSpan w:val="6"/>
                  <w:tcBorders>
                    <w:left w:val="single" w:color="auto" w:sz="4" w:space="0"/>
                    <w:right w:val="single" w:color="auto" w:sz="4" w:space="0"/>
                  </w:tcBorders>
                  <w:vAlign w:val="center"/>
                </w:tcPr>
                <w:p w14:paraId="61A1A13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ND：未检出</w:t>
                  </w:r>
                </w:p>
              </w:tc>
            </w:tr>
          </w:tbl>
          <w:p w14:paraId="44437EE2">
            <w:pPr>
              <w:widowControl w:val="0"/>
              <w:jc w:val="center"/>
              <w:rPr>
                <w:rFonts w:hint="eastAsia" w:ascii="宋体" w:hAnsi="宋体" w:eastAsia="宋体" w:cs="宋体"/>
                <w:b/>
                <w:bCs/>
                <w:color w:val="auto"/>
                <w:kern w:val="0"/>
                <w:sz w:val="24"/>
                <w:szCs w:val="24"/>
                <w:lang w:val="en-US" w:eastAsia="zh-CN" w:bidi="ar-SA"/>
              </w:rPr>
            </w:pPr>
          </w:p>
          <w:p w14:paraId="07228693">
            <w:pPr>
              <w:widowControl w:val="0"/>
              <w:jc w:val="center"/>
              <w:rPr>
                <w:rFonts w:hint="eastAsia" w:ascii="宋体" w:hAnsi="宋体" w:eastAsia="宋体" w:cs="宋体"/>
                <w:b/>
                <w:bCs/>
                <w:color w:val="auto"/>
                <w:kern w:val="0"/>
                <w:sz w:val="24"/>
                <w:szCs w:val="24"/>
                <w:lang w:val="en-US" w:eastAsia="zh-CN" w:bidi="ar-SA"/>
              </w:rPr>
            </w:pPr>
            <w:r>
              <w:rPr>
                <w:rFonts w:hint="default" w:ascii="Times New Roman" w:hAnsi="Times New Roman" w:eastAsia="宋体" w:cs="Times New Roman"/>
                <w:b/>
                <w:bCs/>
                <w:color w:val="auto"/>
                <w:kern w:val="0"/>
                <w:szCs w:val="22"/>
                <w:highlight w:val="none"/>
                <w:shd w:val="clear" w:color="auto" w:fill="auto"/>
              </w:rPr>
              <w:t>表</w:t>
            </w:r>
            <w:r>
              <w:rPr>
                <w:rFonts w:hint="default" w:ascii="Times New Roman" w:hAnsi="Times New Roman" w:cs="Times New Roman"/>
                <w:b/>
                <w:bCs/>
                <w:color w:val="auto"/>
                <w:kern w:val="0"/>
                <w:szCs w:val="22"/>
                <w:highlight w:val="none"/>
                <w:shd w:val="clear" w:color="auto" w:fill="auto"/>
                <w:lang w:val="en-US" w:eastAsia="zh-CN"/>
              </w:rPr>
              <w:t>2-</w:t>
            </w:r>
            <w:r>
              <w:rPr>
                <w:rFonts w:hint="eastAsia" w:ascii="Times New Roman" w:hAnsi="Times New Roman" w:cs="Times New Roman"/>
                <w:b/>
                <w:bCs/>
                <w:color w:val="auto"/>
                <w:kern w:val="0"/>
                <w:szCs w:val="22"/>
                <w:highlight w:val="none"/>
                <w:shd w:val="clear" w:color="auto" w:fill="auto"/>
                <w:lang w:val="en-US" w:eastAsia="zh-CN"/>
              </w:rPr>
              <w:t>9</w:t>
            </w:r>
            <w:r>
              <w:rPr>
                <w:rFonts w:hint="default" w:ascii="Times New Roman" w:hAnsi="Times New Roman" w:eastAsia="宋体" w:cs="Times New Roman"/>
                <w:b/>
                <w:bCs/>
                <w:color w:val="auto"/>
                <w:kern w:val="0"/>
                <w:szCs w:val="22"/>
                <w:highlight w:val="none"/>
                <w:shd w:val="clear" w:color="auto" w:fill="auto"/>
                <w:lang w:val="en-US" w:eastAsia="zh-CN"/>
              </w:rPr>
              <w:t xml:space="preserve"> </w:t>
            </w:r>
            <w:r>
              <w:rPr>
                <w:rFonts w:hint="eastAsia" w:ascii="Times New Roman" w:hAnsi="Times New Roman" w:cs="Times New Roman"/>
                <w:b/>
                <w:bCs/>
                <w:color w:val="auto"/>
                <w:kern w:val="0"/>
                <w:szCs w:val="22"/>
                <w:highlight w:val="none"/>
                <w:shd w:val="clear" w:color="auto" w:fill="auto"/>
                <w:lang w:val="en-US" w:eastAsia="zh-CN"/>
              </w:rPr>
              <w:t xml:space="preserve"> </w:t>
            </w:r>
            <w:r>
              <w:rPr>
                <w:rFonts w:hint="default" w:ascii="Times New Roman" w:hAnsi="Times New Roman" w:eastAsia="宋体" w:cs="Times New Roman"/>
                <w:b/>
                <w:bCs/>
                <w:color w:val="auto"/>
                <w:kern w:val="0"/>
                <w:szCs w:val="22"/>
                <w:highlight w:val="none"/>
                <w:shd w:val="clear" w:color="auto" w:fill="auto"/>
              </w:rPr>
              <w:t>现有</w:t>
            </w:r>
            <w:r>
              <w:rPr>
                <w:rFonts w:hint="default" w:ascii="Times New Roman" w:hAnsi="Times New Roman" w:cs="Times New Roman"/>
                <w:b/>
                <w:bCs/>
                <w:color w:val="auto"/>
                <w:szCs w:val="21"/>
              </w:rPr>
              <w:t>项目</w:t>
            </w:r>
            <w:r>
              <w:rPr>
                <w:rFonts w:hint="eastAsia" w:ascii="Times New Roman" w:hAnsi="Times New Roman" w:eastAsia="宋体" w:cs="Times New Roman"/>
                <w:b/>
                <w:bCs/>
                <w:color w:val="auto"/>
                <w:kern w:val="0"/>
                <w:szCs w:val="22"/>
                <w:highlight w:val="none"/>
                <w:shd w:val="clear" w:color="auto" w:fill="auto"/>
                <w:lang w:val="en-US" w:eastAsia="zh-CN"/>
              </w:rPr>
              <w:t>无组织废气检测结果</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92"/>
              <w:gridCol w:w="1426"/>
              <w:gridCol w:w="1261"/>
              <w:gridCol w:w="1079"/>
              <w:gridCol w:w="1079"/>
              <w:gridCol w:w="1079"/>
              <w:gridCol w:w="1080"/>
            </w:tblGrid>
            <w:tr w14:paraId="16A9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restart"/>
                  <w:vAlign w:val="center"/>
                </w:tcPr>
                <w:p w14:paraId="5FD1D2C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采样</w:t>
                  </w:r>
                  <w:r>
                    <w:rPr>
                      <w:rFonts w:hint="default" w:ascii="Times New Roman" w:hAnsi="Times New Roman" w:eastAsia="宋体" w:cs="Times New Roman"/>
                      <w:bCs/>
                      <w:color w:val="auto"/>
                      <w:sz w:val="21"/>
                      <w:szCs w:val="21"/>
                    </w:rPr>
                    <w:t>日期</w:t>
                  </w:r>
                </w:p>
              </w:tc>
              <w:tc>
                <w:tcPr>
                  <w:tcW w:w="859" w:type="pct"/>
                  <w:vMerge w:val="restart"/>
                  <w:vAlign w:val="center"/>
                </w:tcPr>
                <w:p w14:paraId="0F8F61E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检测项目</w:t>
                  </w:r>
                </w:p>
              </w:tc>
              <w:tc>
                <w:tcPr>
                  <w:tcW w:w="760" w:type="pct"/>
                  <w:vMerge w:val="restart"/>
                  <w:vAlign w:val="center"/>
                </w:tcPr>
                <w:p w14:paraId="0AAC87D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检测频次</w:t>
                  </w:r>
                </w:p>
              </w:tc>
              <w:tc>
                <w:tcPr>
                  <w:tcW w:w="2601" w:type="pct"/>
                  <w:gridSpan w:val="4"/>
                  <w:vAlign w:val="center"/>
                </w:tcPr>
                <w:p w14:paraId="17E3BBD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检测点位</w:t>
                  </w:r>
                </w:p>
              </w:tc>
            </w:tr>
            <w:tr w14:paraId="6A5C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0F63DE9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bCs/>
                      <w:color w:val="auto"/>
                      <w:sz w:val="21"/>
                      <w:szCs w:val="21"/>
                    </w:rPr>
                  </w:pPr>
                </w:p>
              </w:tc>
              <w:tc>
                <w:tcPr>
                  <w:tcW w:w="859" w:type="pct"/>
                  <w:vMerge w:val="continue"/>
                  <w:vAlign w:val="center"/>
                </w:tcPr>
                <w:p w14:paraId="055ED58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vMerge w:val="continue"/>
                  <w:vAlign w:val="center"/>
                </w:tcPr>
                <w:p w14:paraId="2233000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650" w:type="pct"/>
                  <w:vAlign w:val="center"/>
                </w:tcPr>
                <w:p w14:paraId="214BB3B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上风向1#</w:t>
                  </w:r>
                </w:p>
              </w:tc>
              <w:tc>
                <w:tcPr>
                  <w:tcW w:w="650" w:type="pct"/>
                  <w:shd w:val="clear" w:color="auto" w:fill="auto"/>
                  <w:vAlign w:val="center"/>
                </w:tcPr>
                <w:p w14:paraId="7039CEE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下风向2#</w:t>
                  </w:r>
                </w:p>
              </w:tc>
              <w:tc>
                <w:tcPr>
                  <w:tcW w:w="650" w:type="pct"/>
                  <w:shd w:val="clear" w:color="auto" w:fill="auto"/>
                  <w:vAlign w:val="center"/>
                </w:tcPr>
                <w:p w14:paraId="74C3CEA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下风向3#</w:t>
                  </w:r>
                </w:p>
              </w:tc>
              <w:tc>
                <w:tcPr>
                  <w:tcW w:w="651" w:type="pct"/>
                  <w:shd w:val="clear" w:color="auto" w:fill="auto"/>
                  <w:vAlign w:val="center"/>
                </w:tcPr>
                <w:p w14:paraId="5EB6ABC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下风向4#</w:t>
                  </w:r>
                </w:p>
              </w:tc>
            </w:tr>
            <w:tr w14:paraId="5F9A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restart"/>
                  <w:vAlign w:val="center"/>
                </w:tcPr>
                <w:p w14:paraId="58D5EE0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2025-03-14</w:t>
                  </w:r>
                </w:p>
              </w:tc>
              <w:tc>
                <w:tcPr>
                  <w:tcW w:w="859" w:type="pct"/>
                  <w:vMerge w:val="restart"/>
                  <w:vAlign w:val="center"/>
                </w:tcPr>
                <w:p w14:paraId="164D457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氨</w:t>
                  </w:r>
                </w:p>
                <w:p w14:paraId="0A90F55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bCs/>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760" w:type="pct"/>
                  <w:vAlign w:val="center"/>
                </w:tcPr>
                <w:p w14:paraId="0D416EB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第一次</w:t>
                  </w:r>
                </w:p>
              </w:tc>
              <w:tc>
                <w:tcPr>
                  <w:tcW w:w="650" w:type="pct"/>
                  <w:vAlign w:val="center"/>
                </w:tcPr>
                <w:p w14:paraId="743E4F5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0" w:type="pct"/>
                  <w:vAlign w:val="center"/>
                </w:tcPr>
                <w:p w14:paraId="01EEEA7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0.19</w:t>
                  </w:r>
                </w:p>
              </w:tc>
              <w:tc>
                <w:tcPr>
                  <w:tcW w:w="650" w:type="pct"/>
                  <w:vAlign w:val="center"/>
                </w:tcPr>
                <w:p w14:paraId="3DA11C5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0.17</w:t>
                  </w:r>
                </w:p>
              </w:tc>
              <w:tc>
                <w:tcPr>
                  <w:tcW w:w="651" w:type="pct"/>
                  <w:vAlign w:val="center"/>
                </w:tcPr>
                <w:p w14:paraId="398F2E7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r>
            <w:tr w14:paraId="331D7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77C8D72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6485C81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vAlign w:val="center"/>
                </w:tcPr>
                <w:p w14:paraId="6CBECE7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第二次</w:t>
                  </w:r>
                </w:p>
              </w:tc>
              <w:tc>
                <w:tcPr>
                  <w:tcW w:w="650" w:type="pct"/>
                  <w:vAlign w:val="center"/>
                </w:tcPr>
                <w:p w14:paraId="66D1B62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w:t>
                  </w:r>
                </w:p>
              </w:tc>
              <w:tc>
                <w:tcPr>
                  <w:tcW w:w="650" w:type="pct"/>
                  <w:vAlign w:val="center"/>
                </w:tcPr>
                <w:p w14:paraId="0CB479F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0.13</w:t>
                  </w:r>
                </w:p>
              </w:tc>
              <w:tc>
                <w:tcPr>
                  <w:tcW w:w="650" w:type="pct"/>
                  <w:vAlign w:val="center"/>
                </w:tcPr>
                <w:p w14:paraId="4B728D7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w:t>
                  </w:r>
                </w:p>
              </w:tc>
              <w:tc>
                <w:tcPr>
                  <w:tcW w:w="651" w:type="pct"/>
                  <w:vAlign w:val="center"/>
                </w:tcPr>
                <w:p w14:paraId="0EE53E1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r>
            <w:tr w14:paraId="3F6C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49326CD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2852AAE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vAlign w:val="center"/>
                </w:tcPr>
                <w:p w14:paraId="3C56C73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第三次</w:t>
                  </w:r>
                </w:p>
              </w:tc>
              <w:tc>
                <w:tcPr>
                  <w:tcW w:w="650" w:type="pct"/>
                  <w:vAlign w:val="center"/>
                </w:tcPr>
                <w:p w14:paraId="5E8931F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0" w:type="pct"/>
                  <w:vAlign w:val="center"/>
                </w:tcPr>
                <w:p w14:paraId="7EA1C78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0.13</w:t>
                  </w:r>
                </w:p>
              </w:tc>
              <w:tc>
                <w:tcPr>
                  <w:tcW w:w="650" w:type="pct"/>
                  <w:vAlign w:val="center"/>
                </w:tcPr>
                <w:p w14:paraId="7FEE490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0.15</w:t>
                  </w:r>
                </w:p>
              </w:tc>
              <w:tc>
                <w:tcPr>
                  <w:tcW w:w="651" w:type="pct"/>
                  <w:vAlign w:val="center"/>
                </w:tcPr>
                <w:p w14:paraId="23E92B9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0.12</w:t>
                  </w:r>
                </w:p>
              </w:tc>
            </w:tr>
            <w:tr w14:paraId="77AF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restart"/>
                  <w:vAlign w:val="center"/>
                </w:tcPr>
                <w:p w14:paraId="71131AC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2025-03-15</w:t>
                  </w:r>
                </w:p>
              </w:tc>
              <w:tc>
                <w:tcPr>
                  <w:tcW w:w="859" w:type="pct"/>
                  <w:vMerge w:val="continue"/>
                  <w:vAlign w:val="center"/>
                </w:tcPr>
                <w:p w14:paraId="1359216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2E5305D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第一次</w:t>
                  </w:r>
                </w:p>
              </w:tc>
              <w:tc>
                <w:tcPr>
                  <w:tcW w:w="650" w:type="pct"/>
                  <w:vAlign w:val="center"/>
                </w:tcPr>
                <w:p w14:paraId="0590846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0.04</w:t>
                  </w:r>
                </w:p>
              </w:tc>
              <w:tc>
                <w:tcPr>
                  <w:tcW w:w="650" w:type="pct"/>
                  <w:vAlign w:val="center"/>
                </w:tcPr>
                <w:p w14:paraId="7C2B6C7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w:t>
                  </w:r>
                </w:p>
              </w:tc>
              <w:tc>
                <w:tcPr>
                  <w:tcW w:w="650" w:type="pct"/>
                  <w:vAlign w:val="center"/>
                </w:tcPr>
                <w:p w14:paraId="53201A3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0.17</w:t>
                  </w:r>
                </w:p>
              </w:tc>
              <w:tc>
                <w:tcPr>
                  <w:tcW w:w="651" w:type="pct"/>
                  <w:vAlign w:val="center"/>
                </w:tcPr>
                <w:p w14:paraId="2E24640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r>
            <w:tr w14:paraId="1578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0" w:hRule="atLeast"/>
                <w:jc w:val="center"/>
              </w:trPr>
              <w:tc>
                <w:tcPr>
                  <w:tcW w:w="779" w:type="pct"/>
                  <w:vMerge w:val="continue"/>
                  <w:vAlign w:val="center"/>
                </w:tcPr>
                <w:p w14:paraId="6945A55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3C4B035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0271F1C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第二次</w:t>
                  </w:r>
                </w:p>
              </w:tc>
              <w:tc>
                <w:tcPr>
                  <w:tcW w:w="650" w:type="pct"/>
                  <w:vAlign w:val="center"/>
                </w:tcPr>
                <w:p w14:paraId="78543B9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0" w:type="pct"/>
                  <w:vAlign w:val="center"/>
                </w:tcPr>
                <w:p w14:paraId="6651718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c>
                <w:tcPr>
                  <w:tcW w:w="650" w:type="pct"/>
                  <w:vAlign w:val="center"/>
                </w:tcPr>
                <w:p w14:paraId="77BAD1F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0.12</w:t>
                  </w:r>
                </w:p>
              </w:tc>
              <w:tc>
                <w:tcPr>
                  <w:tcW w:w="651" w:type="pct"/>
                  <w:vAlign w:val="center"/>
                </w:tcPr>
                <w:p w14:paraId="6578C4C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w:t>
                  </w:r>
                </w:p>
              </w:tc>
            </w:tr>
            <w:tr w14:paraId="718C5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50B46E6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658F525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6B5177E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第三次</w:t>
                  </w:r>
                </w:p>
              </w:tc>
              <w:tc>
                <w:tcPr>
                  <w:tcW w:w="650" w:type="pct"/>
                  <w:vAlign w:val="center"/>
                </w:tcPr>
                <w:p w14:paraId="3B83A21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0" w:type="pct"/>
                  <w:vAlign w:val="center"/>
                </w:tcPr>
                <w:p w14:paraId="249ED3C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0.14</w:t>
                  </w:r>
                </w:p>
              </w:tc>
              <w:tc>
                <w:tcPr>
                  <w:tcW w:w="650" w:type="pct"/>
                  <w:vAlign w:val="center"/>
                </w:tcPr>
                <w:p w14:paraId="3884205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0.16</w:t>
                  </w:r>
                </w:p>
              </w:tc>
              <w:tc>
                <w:tcPr>
                  <w:tcW w:w="651" w:type="pct"/>
                  <w:vAlign w:val="center"/>
                </w:tcPr>
                <w:p w14:paraId="229758C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0.12</w:t>
                  </w:r>
                </w:p>
              </w:tc>
            </w:tr>
            <w:tr w14:paraId="1881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restart"/>
                  <w:shd w:val="clear" w:color="auto" w:fill="auto"/>
                  <w:vAlign w:val="center"/>
                </w:tcPr>
                <w:p w14:paraId="68EE0E2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2025-03-14</w:t>
                  </w:r>
                </w:p>
              </w:tc>
              <w:tc>
                <w:tcPr>
                  <w:tcW w:w="859" w:type="pct"/>
                  <w:vMerge w:val="restart"/>
                  <w:shd w:val="clear" w:color="auto" w:fill="auto"/>
                  <w:vAlign w:val="center"/>
                </w:tcPr>
                <w:p w14:paraId="6D4BBC9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硫化氢</w:t>
                  </w:r>
                </w:p>
                <w:p w14:paraId="03E9189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default" w:ascii="Times New Roman" w:hAnsi="Times New Roman" w:eastAsia="宋体" w:cs="Times New Roman"/>
                      <w:bCs/>
                      <w:color w:val="auto"/>
                      <w:sz w:val="21"/>
                      <w:szCs w:val="21"/>
                    </w:rPr>
                    <w:t>mg/m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760" w:type="pct"/>
                  <w:shd w:val="clear" w:color="auto" w:fill="auto"/>
                  <w:vAlign w:val="center"/>
                </w:tcPr>
                <w:p w14:paraId="7A00912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第一次</w:t>
                  </w:r>
                </w:p>
              </w:tc>
              <w:tc>
                <w:tcPr>
                  <w:tcW w:w="650" w:type="pct"/>
                  <w:vAlign w:val="center"/>
                </w:tcPr>
                <w:p w14:paraId="5FC45C1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50" w:type="pct"/>
                  <w:vAlign w:val="center"/>
                </w:tcPr>
                <w:p w14:paraId="6435DED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0" w:type="pct"/>
                  <w:vAlign w:val="center"/>
                </w:tcPr>
                <w:p w14:paraId="69AD14B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c>
                <w:tcPr>
                  <w:tcW w:w="651" w:type="pct"/>
                  <w:vAlign w:val="center"/>
                </w:tcPr>
                <w:p w14:paraId="47D6F2C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14:paraId="4CA48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1C147C7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3EF13B5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3A10F8F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第二次</w:t>
                  </w:r>
                </w:p>
              </w:tc>
              <w:tc>
                <w:tcPr>
                  <w:tcW w:w="650" w:type="pct"/>
                  <w:vAlign w:val="center"/>
                </w:tcPr>
                <w:p w14:paraId="476B369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50" w:type="pct"/>
                  <w:vAlign w:val="center"/>
                </w:tcPr>
                <w:p w14:paraId="553D1C5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0" w:type="pct"/>
                  <w:vAlign w:val="center"/>
                </w:tcPr>
                <w:p w14:paraId="3D6151A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1" w:type="pct"/>
                  <w:vAlign w:val="center"/>
                </w:tcPr>
                <w:p w14:paraId="6BD71C1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14:paraId="29D1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5AE3DA6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4972B4E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630AB1A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第三次</w:t>
                  </w:r>
                </w:p>
              </w:tc>
              <w:tc>
                <w:tcPr>
                  <w:tcW w:w="650" w:type="pct"/>
                  <w:vAlign w:val="center"/>
                </w:tcPr>
                <w:p w14:paraId="36FB657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50" w:type="pct"/>
                  <w:vAlign w:val="center"/>
                </w:tcPr>
                <w:p w14:paraId="6428A85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c>
                <w:tcPr>
                  <w:tcW w:w="650" w:type="pct"/>
                  <w:vAlign w:val="center"/>
                </w:tcPr>
                <w:p w14:paraId="1771EC0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c>
                <w:tcPr>
                  <w:tcW w:w="651" w:type="pct"/>
                  <w:vAlign w:val="center"/>
                </w:tcPr>
                <w:p w14:paraId="4395E6F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0.07</w:t>
                  </w:r>
                </w:p>
              </w:tc>
            </w:tr>
            <w:tr w14:paraId="457C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restart"/>
                  <w:shd w:val="clear" w:color="auto" w:fill="auto"/>
                  <w:vAlign w:val="center"/>
                </w:tcPr>
                <w:p w14:paraId="61A25F5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2025-03-15</w:t>
                  </w:r>
                </w:p>
              </w:tc>
              <w:tc>
                <w:tcPr>
                  <w:tcW w:w="859" w:type="pct"/>
                  <w:vMerge w:val="continue"/>
                  <w:vAlign w:val="center"/>
                </w:tcPr>
                <w:p w14:paraId="7B2DFA3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6757D1B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第一次</w:t>
                  </w:r>
                </w:p>
              </w:tc>
              <w:tc>
                <w:tcPr>
                  <w:tcW w:w="650" w:type="pct"/>
                  <w:vAlign w:val="center"/>
                </w:tcPr>
                <w:p w14:paraId="243D52B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50" w:type="pct"/>
                  <w:vAlign w:val="center"/>
                </w:tcPr>
                <w:p w14:paraId="13A32FF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0" w:type="pct"/>
                  <w:vAlign w:val="center"/>
                </w:tcPr>
                <w:p w14:paraId="2C10B63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1" w:type="pct"/>
                  <w:vAlign w:val="center"/>
                </w:tcPr>
                <w:p w14:paraId="3632F41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r>
            <w:tr w14:paraId="2C06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76BB034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03A8004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788E0D7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第二次</w:t>
                  </w:r>
                </w:p>
              </w:tc>
              <w:tc>
                <w:tcPr>
                  <w:tcW w:w="650" w:type="pct"/>
                  <w:vAlign w:val="center"/>
                </w:tcPr>
                <w:p w14:paraId="16EA264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50" w:type="pct"/>
                  <w:vAlign w:val="center"/>
                </w:tcPr>
                <w:p w14:paraId="5CDECA4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c>
                <w:tcPr>
                  <w:tcW w:w="650" w:type="pct"/>
                  <w:vAlign w:val="center"/>
                </w:tcPr>
                <w:p w14:paraId="07BA086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c>
                <w:tcPr>
                  <w:tcW w:w="651" w:type="pct"/>
                  <w:vAlign w:val="center"/>
                </w:tcPr>
                <w:p w14:paraId="42C94FD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0.07</w:t>
                  </w:r>
                </w:p>
              </w:tc>
            </w:tr>
            <w:tr w14:paraId="6F8A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286748D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04F4A4F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2B4910A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第三次</w:t>
                  </w:r>
                </w:p>
              </w:tc>
              <w:tc>
                <w:tcPr>
                  <w:tcW w:w="650" w:type="pct"/>
                  <w:vAlign w:val="center"/>
                </w:tcPr>
                <w:p w14:paraId="072BE22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w:t>
                  </w:r>
                </w:p>
              </w:tc>
              <w:tc>
                <w:tcPr>
                  <w:tcW w:w="650" w:type="pct"/>
                  <w:vAlign w:val="center"/>
                </w:tcPr>
                <w:p w14:paraId="49A873C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0.06</w:t>
                  </w:r>
                </w:p>
              </w:tc>
              <w:tc>
                <w:tcPr>
                  <w:tcW w:w="650" w:type="pct"/>
                  <w:vAlign w:val="center"/>
                </w:tcPr>
                <w:p w14:paraId="079F998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0.05</w:t>
                  </w:r>
                </w:p>
              </w:tc>
              <w:tc>
                <w:tcPr>
                  <w:tcW w:w="651" w:type="pct"/>
                  <w:vAlign w:val="center"/>
                </w:tcPr>
                <w:p w14:paraId="441E5FF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0.07</w:t>
                  </w:r>
                </w:p>
              </w:tc>
            </w:tr>
            <w:tr w14:paraId="5D0C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restart"/>
                  <w:vAlign w:val="center"/>
                </w:tcPr>
                <w:p w14:paraId="52E443F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2025-03-14</w:t>
                  </w:r>
                </w:p>
              </w:tc>
              <w:tc>
                <w:tcPr>
                  <w:tcW w:w="859" w:type="pct"/>
                  <w:vMerge w:val="restart"/>
                  <w:vAlign w:val="center"/>
                </w:tcPr>
                <w:p w14:paraId="2DBB99A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臭气浓度</w:t>
                  </w:r>
                </w:p>
                <w:p w14:paraId="13CF8DE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（无量纲）</w:t>
                  </w:r>
                </w:p>
              </w:tc>
              <w:tc>
                <w:tcPr>
                  <w:tcW w:w="760" w:type="pct"/>
                  <w:vAlign w:val="center"/>
                </w:tcPr>
                <w:p w14:paraId="3BC66FB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第一次</w:t>
                  </w:r>
                </w:p>
              </w:tc>
              <w:tc>
                <w:tcPr>
                  <w:tcW w:w="650" w:type="pct"/>
                  <w:shd w:val="clear" w:color="auto" w:fill="auto"/>
                  <w:vAlign w:val="center"/>
                </w:tcPr>
                <w:p w14:paraId="7634BC1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650" w:type="pct"/>
                  <w:shd w:val="clear" w:color="auto" w:fill="auto"/>
                  <w:vAlign w:val="center"/>
                </w:tcPr>
                <w:p w14:paraId="431564A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650" w:type="pct"/>
                  <w:shd w:val="clear" w:color="auto" w:fill="auto"/>
                  <w:vAlign w:val="center"/>
                </w:tcPr>
                <w:p w14:paraId="5D08970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51" w:type="pct"/>
                  <w:shd w:val="clear" w:color="auto" w:fill="auto"/>
                  <w:vAlign w:val="center"/>
                </w:tcPr>
                <w:p w14:paraId="20B79B5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15</w:t>
                  </w:r>
                </w:p>
              </w:tc>
            </w:tr>
            <w:tr w14:paraId="4F9F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1D37921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6F25D28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vAlign w:val="center"/>
                </w:tcPr>
                <w:p w14:paraId="22639F1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第二次</w:t>
                  </w:r>
                </w:p>
              </w:tc>
              <w:tc>
                <w:tcPr>
                  <w:tcW w:w="650" w:type="pct"/>
                  <w:shd w:val="clear" w:color="auto" w:fill="auto"/>
                  <w:vAlign w:val="center"/>
                </w:tcPr>
                <w:p w14:paraId="2E2492F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650" w:type="pct"/>
                  <w:shd w:val="clear" w:color="auto" w:fill="auto"/>
                  <w:vAlign w:val="center"/>
                </w:tcPr>
                <w:p w14:paraId="074D833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650" w:type="pct"/>
                  <w:shd w:val="clear" w:color="auto" w:fill="auto"/>
                  <w:vAlign w:val="center"/>
                </w:tcPr>
                <w:p w14:paraId="67F1E5C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51" w:type="pct"/>
                  <w:shd w:val="clear" w:color="auto" w:fill="auto"/>
                  <w:vAlign w:val="center"/>
                </w:tcPr>
                <w:p w14:paraId="6F97336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r>
            <w:tr w14:paraId="66BE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45F322C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6EFDD0D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vAlign w:val="center"/>
                </w:tcPr>
                <w:p w14:paraId="19D9A02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第三次</w:t>
                  </w:r>
                </w:p>
              </w:tc>
              <w:tc>
                <w:tcPr>
                  <w:tcW w:w="650" w:type="pct"/>
                  <w:shd w:val="clear" w:color="auto" w:fill="auto"/>
                  <w:vAlign w:val="center"/>
                </w:tcPr>
                <w:p w14:paraId="7D5D298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650" w:type="pct"/>
                  <w:shd w:val="clear" w:color="auto" w:fill="auto"/>
                  <w:vAlign w:val="center"/>
                </w:tcPr>
                <w:p w14:paraId="13559CA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50" w:type="pct"/>
                  <w:shd w:val="clear" w:color="auto" w:fill="auto"/>
                  <w:vAlign w:val="center"/>
                </w:tcPr>
                <w:p w14:paraId="7B95DDC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12</w:t>
                  </w:r>
                </w:p>
              </w:tc>
              <w:tc>
                <w:tcPr>
                  <w:tcW w:w="651" w:type="pct"/>
                  <w:shd w:val="clear" w:color="auto" w:fill="auto"/>
                  <w:vAlign w:val="center"/>
                </w:tcPr>
                <w:p w14:paraId="7C1BAF0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r>
            <w:tr w14:paraId="30BD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restart"/>
                  <w:vAlign w:val="center"/>
                </w:tcPr>
                <w:p w14:paraId="417D85C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eastAsia="zh-CN"/>
                    </w:rPr>
                    <w:t>2025-03-15</w:t>
                  </w:r>
                </w:p>
              </w:tc>
              <w:tc>
                <w:tcPr>
                  <w:tcW w:w="859" w:type="pct"/>
                  <w:vMerge w:val="continue"/>
                  <w:vAlign w:val="center"/>
                </w:tcPr>
                <w:p w14:paraId="187DB02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09326E6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第一次</w:t>
                  </w:r>
                </w:p>
              </w:tc>
              <w:tc>
                <w:tcPr>
                  <w:tcW w:w="650" w:type="pct"/>
                  <w:shd w:val="clear" w:color="auto" w:fill="auto"/>
                  <w:vAlign w:val="center"/>
                </w:tcPr>
                <w:p w14:paraId="3B0F96F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650" w:type="pct"/>
                  <w:shd w:val="clear" w:color="auto" w:fill="auto"/>
                  <w:vAlign w:val="center"/>
                </w:tcPr>
                <w:p w14:paraId="5C48121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11</w:t>
                  </w:r>
                </w:p>
              </w:tc>
              <w:tc>
                <w:tcPr>
                  <w:tcW w:w="650" w:type="pct"/>
                  <w:shd w:val="clear" w:color="auto" w:fill="auto"/>
                  <w:vAlign w:val="center"/>
                </w:tcPr>
                <w:p w14:paraId="4D38CFB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51" w:type="pct"/>
                  <w:shd w:val="clear" w:color="auto" w:fill="auto"/>
                  <w:vAlign w:val="center"/>
                </w:tcPr>
                <w:p w14:paraId="15CBB07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r>
            <w:tr w14:paraId="26E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2523F81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2F39426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05554AF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第二次</w:t>
                  </w:r>
                </w:p>
              </w:tc>
              <w:tc>
                <w:tcPr>
                  <w:tcW w:w="650" w:type="pct"/>
                  <w:shd w:val="clear" w:color="auto" w:fill="auto"/>
                  <w:vAlign w:val="center"/>
                </w:tcPr>
                <w:p w14:paraId="4648372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650" w:type="pct"/>
                  <w:shd w:val="clear" w:color="auto" w:fill="auto"/>
                  <w:vAlign w:val="center"/>
                </w:tcPr>
                <w:p w14:paraId="639505C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50" w:type="pct"/>
                  <w:shd w:val="clear" w:color="auto" w:fill="auto"/>
                  <w:vAlign w:val="center"/>
                </w:tcPr>
                <w:p w14:paraId="0D89CD0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51" w:type="pct"/>
                  <w:shd w:val="clear" w:color="auto" w:fill="auto"/>
                  <w:vAlign w:val="center"/>
                </w:tcPr>
                <w:p w14:paraId="5FFCB38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r>
            <w:tr w14:paraId="3561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779" w:type="pct"/>
                  <w:vMerge w:val="continue"/>
                  <w:vAlign w:val="center"/>
                </w:tcPr>
                <w:p w14:paraId="535FA05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859" w:type="pct"/>
                  <w:vMerge w:val="continue"/>
                  <w:vAlign w:val="center"/>
                </w:tcPr>
                <w:p w14:paraId="437A809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p>
              </w:tc>
              <w:tc>
                <w:tcPr>
                  <w:tcW w:w="760" w:type="pct"/>
                  <w:shd w:val="clear" w:color="auto" w:fill="auto"/>
                  <w:vAlign w:val="center"/>
                </w:tcPr>
                <w:p w14:paraId="7207F3C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第三次</w:t>
                  </w:r>
                </w:p>
              </w:tc>
              <w:tc>
                <w:tcPr>
                  <w:tcW w:w="650" w:type="pct"/>
                  <w:shd w:val="clear" w:color="auto" w:fill="auto"/>
                  <w:vAlign w:val="center"/>
                </w:tcPr>
                <w:p w14:paraId="673B56F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＜10</w:t>
                  </w:r>
                </w:p>
              </w:tc>
              <w:tc>
                <w:tcPr>
                  <w:tcW w:w="650" w:type="pct"/>
                  <w:shd w:val="clear" w:color="auto" w:fill="auto"/>
                  <w:vAlign w:val="center"/>
                </w:tcPr>
                <w:p w14:paraId="44ACE95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13</w:t>
                  </w:r>
                </w:p>
              </w:tc>
              <w:tc>
                <w:tcPr>
                  <w:tcW w:w="650" w:type="pct"/>
                  <w:shd w:val="clear" w:color="auto" w:fill="auto"/>
                  <w:vAlign w:val="center"/>
                </w:tcPr>
                <w:p w14:paraId="1556BDB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c>
                <w:tcPr>
                  <w:tcW w:w="651" w:type="pct"/>
                  <w:shd w:val="clear" w:color="auto" w:fill="auto"/>
                  <w:vAlign w:val="center"/>
                </w:tcPr>
                <w:p w14:paraId="4A2FDEF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14</w:t>
                  </w:r>
                </w:p>
              </w:tc>
            </w:tr>
            <w:tr w14:paraId="3B70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1638" w:type="pct"/>
                  <w:gridSpan w:val="2"/>
                  <w:vAlign w:val="center"/>
                </w:tcPr>
                <w:p w14:paraId="2DDDEC7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备注</w:t>
                  </w:r>
                </w:p>
              </w:tc>
              <w:tc>
                <w:tcPr>
                  <w:tcW w:w="3361" w:type="pct"/>
                  <w:gridSpan w:val="5"/>
                  <w:vAlign w:val="center"/>
                </w:tcPr>
                <w:p w14:paraId="4D8997F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ND：未检出</w:t>
                  </w:r>
                </w:p>
              </w:tc>
            </w:tr>
          </w:tbl>
          <w:p w14:paraId="286ED837">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Times New Roman" w:hAnsi="Times New Roman" w:eastAsia="宋体" w:cs="Times New Roman"/>
                <w:color w:val="auto"/>
                <w:kern w:val="2"/>
                <w:sz w:val="24"/>
                <w:szCs w:val="24"/>
                <w:highlight w:val="none"/>
                <w:lang w:eastAsia="zh-CN"/>
              </w:rPr>
            </w:pPr>
            <w:r>
              <w:rPr>
                <w:rFonts w:hint="eastAsia" w:ascii="Times New Roman" w:hAnsi="Times New Roman" w:cs="Times New Roman"/>
                <w:color w:val="auto"/>
                <w:sz w:val="24"/>
                <w:lang w:val="en-US" w:eastAsia="zh-CN"/>
              </w:rPr>
              <w:t>由上表可知，</w:t>
            </w:r>
            <w:r>
              <w:rPr>
                <w:rFonts w:hint="eastAsia"/>
                <w:color w:val="auto"/>
                <w:kern w:val="0"/>
                <w:sz w:val="24"/>
              </w:rPr>
              <w:t>恶臭气体经负压封闭收集后经生物滤池净化装置处理后经15m高排气筒（DA002）排放，废气排放满足《恶臭污染物排放标准》（GB14554</w:t>
            </w:r>
            <w:r>
              <w:rPr>
                <w:rFonts w:hint="eastAsia"/>
                <w:color w:val="auto"/>
                <w:kern w:val="0"/>
                <w:sz w:val="24"/>
                <w:lang w:val="en-US" w:eastAsia="zh-CN"/>
              </w:rPr>
              <w:t>-</w:t>
            </w:r>
            <w:r>
              <w:rPr>
                <w:rFonts w:hint="eastAsia"/>
                <w:color w:val="auto"/>
                <w:kern w:val="0"/>
                <w:sz w:val="24"/>
              </w:rPr>
              <w:t>93），沼气燃烧废气经SCR处理装置脱硝处理后由15m高排气筒（DA003）排放，沼气燃烧废气排放</w:t>
            </w:r>
            <w:r>
              <w:rPr>
                <w:rFonts w:hint="eastAsia"/>
                <w:color w:val="auto"/>
                <w:kern w:val="0"/>
                <w:sz w:val="24"/>
                <w:lang w:eastAsia="zh-CN"/>
              </w:rPr>
              <w:t>满足</w:t>
            </w:r>
            <w:r>
              <w:rPr>
                <w:rFonts w:hint="eastAsia"/>
                <w:color w:val="auto"/>
                <w:sz w:val="24"/>
              </w:rPr>
              <w:t>《大气污染物综合排放标准》（GB16297-1996）表2中二级标准限值</w:t>
            </w:r>
            <w:r>
              <w:rPr>
                <w:rFonts w:hint="eastAsia" w:ascii="Times New Roman" w:hAnsi="Times New Roman" w:eastAsia="宋体" w:cs="Times New Roman"/>
                <w:color w:val="auto"/>
                <w:kern w:val="2"/>
                <w:sz w:val="24"/>
                <w:szCs w:val="24"/>
                <w:highlight w:val="none"/>
                <w:lang w:eastAsia="zh-CN"/>
              </w:rPr>
              <w:t>，属于达标排放。</w:t>
            </w:r>
          </w:p>
          <w:p w14:paraId="15ABD6EA">
            <w:pPr>
              <w:spacing w:line="360" w:lineRule="auto"/>
              <w:ind w:firstLine="480" w:firstLineChars="200"/>
              <w:rPr>
                <w:rFonts w:hint="default" w:ascii="Times New Roman" w:hAnsi="Times New Roman" w:eastAsia="宋体" w:cs="Times New Roman"/>
                <w:b w:val="0"/>
                <w:bCs w:val="0"/>
                <w:color w:val="auto"/>
                <w:kern w:val="18"/>
                <w:sz w:val="24"/>
                <w:szCs w:val="24"/>
                <w:highlight w:val="none"/>
              </w:rPr>
            </w:pPr>
            <w:r>
              <w:rPr>
                <w:rFonts w:hint="eastAsia" w:ascii="Times New Roman" w:hAnsi="Times New Roman" w:eastAsia="宋体" w:cs="Times New Roman"/>
                <w:b w:val="0"/>
                <w:bCs w:val="0"/>
                <w:color w:val="auto"/>
                <w:sz w:val="24"/>
                <w:szCs w:val="24"/>
                <w:lang w:val="en-US" w:eastAsia="zh-CN"/>
              </w:rPr>
              <w:t>③</w:t>
            </w:r>
            <w:r>
              <w:rPr>
                <w:rFonts w:hint="default" w:ascii="Times New Roman" w:hAnsi="Times New Roman" w:eastAsia="宋体" w:cs="Times New Roman"/>
                <w:b w:val="0"/>
                <w:bCs w:val="0"/>
                <w:color w:val="auto"/>
                <w:kern w:val="18"/>
                <w:sz w:val="24"/>
                <w:szCs w:val="24"/>
                <w:highlight w:val="none"/>
              </w:rPr>
              <w:t>噪声</w:t>
            </w:r>
          </w:p>
          <w:p w14:paraId="2072BF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color w:val="auto"/>
                <w:sz w:val="24"/>
              </w:rPr>
              <w:t>根据</w:t>
            </w:r>
            <w:r>
              <w:rPr>
                <w:rFonts w:hint="eastAsia" w:ascii="Times New Roman" w:hAnsi="Times New Roman" w:cs="Times New Roman"/>
                <w:color w:val="auto"/>
                <w:sz w:val="24"/>
                <w:szCs w:val="24"/>
                <w:lang w:val="en-US" w:eastAsia="zh-CN"/>
              </w:rPr>
              <w:t>《架河循环产业园秸秆粪便资源化利用（一期）项目竣工环境保护验收监测报告表（阶段性）》中的</w:t>
            </w:r>
            <w:r>
              <w:rPr>
                <w:rFonts w:hint="eastAsia" w:cs="Times New Roman"/>
                <w:color w:val="auto"/>
                <w:sz w:val="24"/>
                <w:szCs w:val="24"/>
                <w:lang w:val="en-US" w:eastAsia="zh-CN"/>
              </w:rPr>
              <w:t>检测报告</w:t>
            </w:r>
            <w:r>
              <w:rPr>
                <w:color w:val="auto"/>
                <w:sz w:val="24"/>
              </w:rPr>
              <w:t>，其结果见下表：</w:t>
            </w:r>
          </w:p>
          <w:p w14:paraId="33569C7E">
            <w:pPr>
              <w:adjustRightInd w:val="0"/>
              <w:snapToGrid w:val="0"/>
              <w:jc w:val="center"/>
              <w:rPr>
                <w:b/>
                <w:bCs/>
                <w:color w:val="auto"/>
                <w:szCs w:val="21"/>
              </w:rPr>
            </w:pPr>
            <w:r>
              <w:rPr>
                <w:b/>
                <w:bCs/>
                <w:color w:val="auto"/>
                <w:szCs w:val="21"/>
              </w:rPr>
              <w:t>表</w:t>
            </w:r>
            <w:r>
              <w:rPr>
                <w:rFonts w:hint="eastAsia"/>
                <w:b/>
                <w:bCs/>
                <w:color w:val="auto"/>
                <w:szCs w:val="21"/>
                <w:lang w:val="en-US" w:eastAsia="zh-CN"/>
              </w:rPr>
              <w:t xml:space="preserve">2-10 </w:t>
            </w:r>
            <w:r>
              <w:rPr>
                <w:b/>
                <w:bCs/>
                <w:color w:val="auto"/>
                <w:szCs w:val="21"/>
              </w:rPr>
              <w:t>厂界噪声预测结果</w:t>
            </w:r>
            <w:r>
              <w:rPr>
                <w:rFonts w:hint="eastAsia"/>
                <w:b/>
                <w:bCs/>
                <w:color w:val="auto"/>
                <w:szCs w:val="21"/>
                <w:lang w:val="en-US" w:eastAsia="zh-CN"/>
              </w:rPr>
              <w:t xml:space="preserve">  </w:t>
            </w:r>
            <w:r>
              <w:rPr>
                <w:b/>
                <w:bCs/>
                <w:color w:val="auto"/>
                <w:szCs w:val="21"/>
              </w:rPr>
              <w:t>单位：dB（A）</w:t>
            </w:r>
          </w:p>
          <w:tbl>
            <w:tblPr>
              <w:tblStyle w:val="3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938"/>
              <w:gridCol w:w="681"/>
              <w:gridCol w:w="1188"/>
              <w:gridCol w:w="1062"/>
              <w:gridCol w:w="921"/>
              <w:gridCol w:w="1306"/>
            </w:tblGrid>
            <w:tr w14:paraId="2879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Align w:val="center"/>
                </w:tcPr>
                <w:p w14:paraId="5DA2DA8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测点名称</w:t>
                  </w:r>
                </w:p>
              </w:tc>
              <w:tc>
                <w:tcPr>
                  <w:tcW w:w="1938" w:type="dxa"/>
                  <w:vAlign w:val="center"/>
                </w:tcPr>
                <w:p w14:paraId="23AD07C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监测日期</w:t>
                  </w:r>
                </w:p>
              </w:tc>
              <w:tc>
                <w:tcPr>
                  <w:tcW w:w="681" w:type="dxa"/>
                  <w:vAlign w:val="center"/>
                </w:tcPr>
                <w:p w14:paraId="4B998D0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时段</w:t>
                  </w:r>
                </w:p>
              </w:tc>
              <w:tc>
                <w:tcPr>
                  <w:tcW w:w="1188" w:type="dxa"/>
                  <w:vAlign w:val="center"/>
                </w:tcPr>
                <w:p w14:paraId="16B0714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标准值dB(A)</w:t>
                  </w:r>
                </w:p>
              </w:tc>
              <w:tc>
                <w:tcPr>
                  <w:tcW w:w="1062" w:type="dxa"/>
                  <w:vAlign w:val="center"/>
                </w:tcPr>
                <w:p w14:paraId="38B4922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声级值dB(A)</w:t>
                  </w:r>
                </w:p>
              </w:tc>
              <w:tc>
                <w:tcPr>
                  <w:tcW w:w="921" w:type="dxa"/>
                  <w:vAlign w:val="center"/>
                </w:tcPr>
                <w:p w14:paraId="76B9C89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评价</w:t>
                  </w:r>
                </w:p>
              </w:tc>
              <w:tc>
                <w:tcPr>
                  <w:tcW w:w="1306" w:type="dxa"/>
                  <w:vAlign w:val="center"/>
                </w:tcPr>
                <w:p w14:paraId="01D1E70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主要噪声源</w:t>
                  </w:r>
                </w:p>
              </w:tc>
            </w:tr>
            <w:tr w14:paraId="45371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restart"/>
                  <w:vAlign w:val="center"/>
                </w:tcPr>
                <w:p w14:paraId="0A8BED8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厂界西1#</w:t>
                  </w:r>
                </w:p>
              </w:tc>
              <w:tc>
                <w:tcPr>
                  <w:tcW w:w="1938" w:type="dxa"/>
                  <w:vAlign w:val="center"/>
                </w:tcPr>
                <w:p w14:paraId="403EA0D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021D779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vAlign w:val="center"/>
                </w:tcPr>
                <w:p w14:paraId="4213936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2199565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w:t>
                  </w:r>
                </w:p>
              </w:tc>
              <w:tc>
                <w:tcPr>
                  <w:tcW w:w="921" w:type="dxa"/>
                  <w:vAlign w:val="center"/>
                </w:tcPr>
                <w:p w14:paraId="6F90FA3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2C38A32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4873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4A384D7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p>
              </w:tc>
              <w:tc>
                <w:tcPr>
                  <w:tcW w:w="1938" w:type="dxa"/>
                  <w:vAlign w:val="center"/>
                </w:tcPr>
                <w:p w14:paraId="78B1C13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5301067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vAlign w:val="center"/>
                </w:tcPr>
                <w:p w14:paraId="05D7F28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33EB21F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921" w:type="dxa"/>
                  <w:vAlign w:val="center"/>
                </w:tcPr>
                <w:p w14:paraId="2D64ECC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2012028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CC0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304AEE0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p>
              </w:tc>
              <w:tc>
                <w:tcPr>
                  <w:tcW w:w="1938" w:type="dxa"/>
                  <w:vAlign w:val="center"/>
                </w:tcPr>
                <w:p w14:paraId="0B5417E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shd w:val="clear" w:color="auto" w:fill="auto"/>
                  <w:vAlign w:val="center"/>
                </w:tcPr>
                <w:p w14:paraId="6340191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vAlign w:val="center"/>
                </w:tcPr>
                <w:p w14:paraId="11AFD78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75BE723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53</w:t>
                  </w:r>
                </w:p>
              </w:tc>
              <w:tc>
                <w:tcPr>
                  <w:tcW w:w="921" w:type="dxa"/>
                  <w:shd w:val="clear" w:color="auto" w:fill="auto"/>
                  <w:vAlign w:val="center"/>
                </w:tcPr>
                <w:p w14:paraId="53743F3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688E324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371A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29920F9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p>
              </w:tc>
              <w:tc>
                <w:tcPr>
                  <w:tcW w:w="1938" w:type="dxa"/>
                  <w:vAlign w:val="center"/>
                </w:tcPr>
                <w:p w14:paraId="704ED5F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shd w:val="clear" w:color="auto" w:fill="auto"/>
                  <w:vAlign w:val="center"/>
                </w:tcPr>
                <w:p w14:paraId="12C1548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vAlign w:val="center"/>
                </w:tcPr>
                <w:p w14:paraId="710EC2C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11137BA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921" w:type="dxa"/>
                  <w:shd w:val="clear" w:color="auto" w:fill="auto"/>
                  <w:vAlign w:val="center"/>
                </w:tcPr>
                <w:p w14:paraId="4C5BECF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3FB27C2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2053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restart"/>
                  <w:vAlign w:val="center"/>
                </w:tcPr>
                <w:p w14:paraId="7DE4B35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厂界北2#</w:t>
                  </w:r>
                </w:p>
              </w:tc>
              <w:tc>
                <w:tcPr>
                  <w:tcW w:w="1938" w:type="dxa"/>
                  <w:vAlign w:val="center"/>
                </w:tcPr>
                <w:p w14:paraId="00AB0F9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3D2B99D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vAlign w:val="center"/>
                </w:tcPr>
                <w:p w14:paraId="53935C6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5D17F8F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w:t>
                  </w:r>
                </w:p>
              </w:tc>
              <w:tc>
                <w:tcPr>
                  <w:tcW w:w="921" w:type="dxa"/>
                  <w:vAlign w:val="center"/>
                </w:tcPr>
                <w:p w14:paraId="355087D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286EEDC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51BA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03036D7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p>
              </w:tc>
              <w:tc>
                <w:tcPr>
                  <w:tcW w:w="1938" w:type="dxa"/>
                  <w:vAlign w:val="center"/>
                </w:tcPr>
                <w:p w14:paraId="221F8D5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3697F9F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vAlign w:val="center"/>
                </w:tcPr>
                <w:p w14:paraId="7BD4F23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6DF2D2B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w:t>
                  </w:r>
                </w:p>
              </w:tc>
              <w:tc>
                <w:tcPr>
                  <w:tcW w:w="921" w:type="dxa"/>
                  <w:vAlign w:val="center"/>
                </w:tcPr>
                <w:p w14:paraId="012049D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4122564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7BD8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4D4044D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p>
              </w:tc>
              <w:tc>
                <w:tcPr>
                  <w:tcW w:w="1938" w:type="dxa"/>
                  <w:vAlign w:val="center"/>
                </w:tcPr>
                <w:p w14:paraId="00A4935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vAlign w:val="center"/>
                </w:tcPr>
                <w:p w14:paraId="3ED9CA9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shd w:val="clear" w:color="auto" w:fill="auto"/>
                  <w:vAlign w:val="center"/>
                </w:tcPr>
                <w:p w14:paraId="641D4A2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0BFA952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921" w:type="dxa"/>
                  <w:shd w:val="clear" w:color="auto" w:fill="auto"/>
                  <w:vAlign w:val="center"/>
                </w:tcPr>
                <w:p w14:paraId="3DFA0CAA">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0AE6A44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249F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4277276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p>
              </w:tc>
              <w:tc>
                <w:tcPr>
                  <w:tcW w:w="1938" w:type="dxa"/>
                  <w:vAlign w:val="center"/>
                </w:tcPr>
                <w:p w14:paraId="5B3BD0C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vAlign w:val="center"/>
                </w:tcPr>
                <w:p w14:paraId="1FAE063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shd w:val="clear" w:color="auto" w:fill="auto"/>
                  <w:vAlign w:val="center"/>
                </w:tcPr>
                <w:p w14:paraId="23B1048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2D8BD73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46</w:t>
                  </w:r>
                </w:p>
              </w:tc>
              <w:tc>
                <w:tcPr>
                  <w:tcW w:w="921" w:type="dxa"/>
                  <w:shd w:val="clear" w:color="auto" w:fill="auto"/>
                  <w:vAlign w:val="center"/>
                </w:tcPr>
                <w:p w14:paraId="57BC36F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275728A8">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4657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restart"/>
                  <w:vAlign w:val="center"/>
                </w:tcPr>
                <w:p w14:paraId="08B6483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厂界东3#</w:t>
                  </w:r>
                </w:p>
              </w:tc>
              <w:tc>
                <w:tcPr>
                  <w:tcW w:w="1938" w:type="dxa"/>
                  <w:vAlign w:val="center"/>
                </w:tcPr>
                <w:p w14:paraId="2466FC1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0460F94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vAlign w:val="center"/>
                </w:tcPr>
                <w:p w14:paraId="6AE0563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229A2BC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57</w:t>
                  </w:r>
                </w:p>
              </w:tc>
              <w:tc>
                <w:tcPr>
                  <w:tcW w:w="921" w:type="dxa"/>
                  <w:vAlign w:val="center"/>
                </w:tcPr>
                <w:p w14:paraId="51AD948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436CFA8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2F8C6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6F74D17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p>
              </w:tc>
              <w:tc>
                <w:tcPr>
                  <w:tcW w:w="1938" w:type="dxa"/>
                  <w:vAlign w:val="center"/>
                </w:tcPr>
                <w:p w14:paraId="614924C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141C683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vAlign w:val="center"/>
                </w:tcPr>
                <w:p w14:paraId="253D8F0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07F4C8C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921" w:type="dxa"/>
                  <w:vAlign w:val="center"/>
                </w:tcPr>
                <w:p w14:paraId="42D894C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1932DB0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645E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093B0A4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p>
              </w:tc>
              <w:tc>
                <w:tcPr>
                  <w:tcW w:w="1938" w:type="dxa"/>
                  <w:vAlign w:val="center"/>
                </w:tcPr>
                <w:p w14:paraId="511AF08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vAlign w:val="center"/>
                </w:tcPr>
                <w:p w14:paraId="23A7C85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shd w:val="clear" w:color="auto" w:fill="auto"/>
                  <w:vAlign w:val="center"/>
                </w:tcPr>
                <w:p w14:paraId="513AFD5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23A7FA8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w:t>
                  </w:r>
                </w:p>
              </w:tc>
              <w:tc>
                <w:tcPr>
                  <w:tcW w:w="921" w:type="dxa"/>
                  <w:shd w:val="clear" w:color="auto" w:fill="auto"/>
                  <w:vAlign w:val="center"/>
                </w:tcPr>
                <w:p w14:paraId="3FBA0A3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11D16EA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2E33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2463E23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p>
              </w:tc>
              <w:tc>
                <w:tcPr>
                  <w:tcW w:w="1938" w:type="dxa"/>
                  <w:vAlign w:val="center"/>
                </w:tcPr>
                <w:p w14:paraId="36CB52F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vAlign w:val="center"/>
                </w:tcPr>
                <w:p w14:paraId="6EF944B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shd w:val="clear" w:color="auto" w:fill="auto"/>
                  <w:vAlign w:val="center"/>
                </w:tcPr>
                <w:p w14:paraId="32E9854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2170098D">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w:t>
                  </w:r>
                </w:p>
              </w:tc>
              <w:tc>
                <w:tcPr>
                  <w:tcW w:w="921" w:type="dxa"/>
                  <w:shd w:val="clear" w:color="auto" w:fill="auto"/>
                  <w:vAlign w:val="center"/>
                </w:tcPr>
                <w:p w14:paraId="23122A1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61E932F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7AFB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restart"/>
                  <w:vAlign w:val="center"/>
                </w:tcPr>
                <w:p w14:paraId="17198A9E">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厂界南4#</w:t>
                  </w:r>
                </w:p>
              </w:tc>
              <w:tc>
                <w:tcPr>
                  <w:tcW w:w="1938" w:type="dxa"/>
                  <w:shd w:val="clear" w:color="auto" w:fill="auto"/>
                  <w:vAlign w:val="center"/>
                </w:tcPr>
                <w:p w14:paraId="60AD41B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44C7FB11">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vAlign w:val="center"/>
                </w:tcPr>
                <w:p w14:paraId="0DF6906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42CA73F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55</w:t>
                  </w:r>
                </w:p>
              </w:tc>
              <w:tc>
                <w:tcPr>
                  <w:tcW w:w="921" w:type="dxa"/>
                  <w:vAlign w:val="center"/>
                </w:tcPr>
                <w:p w14:paraId="09CB04B9">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27E53C0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46D4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54DAFB2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p>
              </w:tc>
              <w:tc>
                <w:tcPr>
                  <w:tcW w:w="1938" w:type="dxa"/>
                  <w:shd w:val="clear" w:color="auto" w:fill="auto"/>
                  <w:vAlign w:val="center"/>
                </w:tcPr>
                <w:p w14:paraId="7ED228D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2025-03-14/15</w:t>
                  </w:r>
                </w:p>
              </w:tc>
              <w:tc>
                <w:tcPr>
                  <w:tcW w:w="681" w:type="dxa"/>
                  <w:vAlign w:val="center"/>
                </w:tcPr>
                <w:p w14:paraId="20DD490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vAlign w:val="center"/>
                </w:tcPr>
                <w:p w14:paraId="0EBB1B5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5539C145">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44</w:t>
                  </w:r>
                </w:p>
              </w:tc>
              <w:tc>
                <w:tcPr>
                  <w:tcW w:w="921" w:type="dxa"/>
                  <w:vAlign w:val="center"/>
                </w:tcPr>
                <w:p w14:paraId="07C42BB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36B04AA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1D5A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057BF3F2">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p>
              </w:tc>
              <w:tc>
                <w:tcPr>
                  <w:tcW w:w="1938" w:type="dxa"/>
                  <w:shd w:val="clear" w:color="auto" w:fill="auto"/>
                  <w:vAlign w:val="center"/>
                </w:tcPr>
                <w:p w14:paraId="641D477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vAlign w:val="center"/>
                </w:tcPr>
                <w:p w14:paraId="4C041CDC">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昼</w:t>
                  </w:r>
                </w:p>
              </w:tc>
              <w:tc>
                <w:tcPr>
                  <w:tcW w:w="1188" w:type="dxa"/>
                  <w:shd w:val="clear" w:color="auto" w:fill="auto"/>
                  <w:vAlign w:val="center"/>
                </w:tcPr>
                <w:p w14:paraId="49CB781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60</w:t>
                  </w:r>
                </w:p>
              </w:tc>
              <w:tc>
                <w:tcPr>
                  <w:tcW w:w="1062" w:type="dxa"/>
                  <w:vAlign w:val="center"/>
                </w:tcPr>
                <w:p w14:paraId="44CDC75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54</w:t>
                  </w:r>
                </w:p>
              </w:tc>
              <w:tc>
                <w:tcPr>
                  <w:tcW w:w="921" w:type="dxa"/>
                  <w:shd w:val="clear" w:color="auto" w:fill="auto"/>
                  <w:vAlign w:val="center"/>
                </w:tcPr>
                <w:p w14:paraId="064C6214">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4507BA8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r w14:paraId="18A5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200" w:type="dxa"/>
                  <w:vMerge w:val="continue"/>
                  <w:vAlign w:val="center"/>
                </w:tcPr>
                <w:p w14:paraId="1B12879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p>
              </w:tc>
              <w:tc>
                <w:tcPr>
                  <w:tcW w:w="1938" w:type="dxa"/>
                  <w:shd w:val="clear" w:color="auto" w:fill="auto"/>
                  <w:vAlign w:val="center"/>
                </w:tcPr>
                <w:p w14:paraId="345746D6">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2025-03-15/16</w:t>
                  </w:r>
                </w:p>
              </w:tc>
              <w:tc>
                <w:tcPr>
                  <w:tcW w:w="681" w:type="dxa"/>
                  <w:vAlign w:val="center"/>
                </w:tcPr>
                <w:p w14:paraId="2217D9DF">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夜</w:t>
                  </w:r>
                </w:p>
              </w:tc>
              <w:tc>
                <w:tcPr>
                  <w:tcW w:w="1188" w:type="dxa"/>
                  <w:shd w:val="clear" w:color="auto" w:fill="auto"/>
                  <w:vAlign w:val="center"/>
                </w:tcPr>
                <w:p w14:paraId="38FAEE87">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1062" w:type="dxa"/>
                  <w:vAlign w:val="center"/>
                </w:tcPr>
                <w:p w14:paraId="7251DD1B">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43</w:t>
                  </w:r>
                </w:p>
              </w:tc>
              <w:tc>
                <w:tcPr>
                  <w:tcW w:w="921" w:type="dxa"/>
                  <w:shd w:val="clear" w:color="auto" w:fill="auto"/>
                  <w:vAlign w:val="center"/>
                </w:tcPr>
                <w:p w14:paraId="0286BF33">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达标</w:t>
                  </w:r>
                </w:p>
              </w:tc>
              <w:tc>
                <w:tcPr>
                  <w:tcW w:w="1306" w:type="dxa"/>
                  <w:vAlign w:val="center"/>
                </w:tcPr>
                <w:p w14:paraId="7E314560">
                  <w:pPr>
                    <w:keepNext w:val="0"/>
                    <w:keepLines w:val="0"/>
                    <w:pageBreakBefore w:val="0"/>
                    <w:widowControl/>
                    <w:kinsoku/>
                    <w:wordWrap/>
                    <w:overflowPunct/>
                    <w:topLinePunct w:val="0"/>
                    <w:autoSpaceDE/>
                    <w:autoSpaceDN/>
                    <w:bidi w:val="0"/>
                    <w:adjustRightInd w:val="0"/>
                    <w:snapToGrid w:val="0"/>
                    <w:spacing w:before="60" w:after="60" w:line="240"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r>
          </w:tbl>
          <w:p w14:paraId="1117A08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ascii="Times New Roman" w:hAnsi="Times New Roman" w:cs="Times New Roman"/>
                <w:color w:val="auto"/>
                <w:sz w:val="24"/>
                <w:lang w:val="en-US" w:eastAsia="zh-CN"/>
              </w:rPr>
            </w:pPr>
            <w:r>
              <w:rPr>
                <w:bCs/>
                <w:color w:val="auto"/>
                <w:sz w:val="24"/>
              </w:rPr>
              <w:t>结果表明，经建筑物的隔声、距离的衰减后，</w:t>
            </w:r>
            <w:r>
              <w:rPr>
                <w:rFonts w:hint="eastAsia"/>
                <w:bCs/>
                <w:color w:val="auto"/>
                <w:sz w:val="24"/>
              </w:rPr>
              <w:t>本项目</w:t>
            </w:r>
            <w:r>
              <w:rPr>
                <w:bCs/>
                <w:color w:val="auto"/>
                <w:sz w:val="24"/>
              </w:rPr>
              <w:t>厂界环境噪声能够满足《工业企业厂界环境噪声排放标准》</w:t>
            </w:r>
            <w:r>
              <w:rPr>
                <w:rFonts w:hint="eastAsia"/>
                <w:bCs/>
                <w:color w:val="auto"/>
                <w:sz w:val="24"/>
              </w:rPr>
              <w:t>（</w:t>
            </w:r>
            <w:r>
              <w:rPr>
                <w:bCs/>
                <w:color w:val="auto"/>
                <w:sz w:val="24"/>
              </w:rPr>
              <w:t>GB12348-2008</w:t>
            </w:r>
            <w:r>
              <w:rPr>
                <w:rFonts w:hint="eastAsia"/>
                <w:bCs/>
                <w:color w:val="auto"/>
                <w:sz w:val="24"/>
              </w:rPr>
              <w:t>）</w:t>
            </w:r>
            <w:r>
              <w:rPr>
                <w:bCs/>
                <w:color w:val="auto"/>
                <w:sz w:val="24"/>
              </w:rPr>
              <w:t>2类标准</w:t>
            </w:r>
            <w:r>
              <w:rPr>
                <w:rFonts w:hint="eastAsia"/>
                <w:bCs/>
                <w:color w:val="auto"/>
                <w:sz w:val="24"/>
                <w:lang w:eastAsia="zh-CN"/>
              </w:rPr>
              <w:t>，属于达标排放</w:t>
            </w:r>
            <w:r>
              <w:rPr>
                <w:rFonts w:hint="eastAsia" w:ascii="Times New Roman" w:hAnsi="Times New Roman" w:cs="Times New Roman"/>
                <w:color w:val="auto"/>
                <w:sz w:val="24"/>
                <w:lang w:val="en-US" w:eastAsia="zh-CN"/>
              </w:rPr>
              <w:t>。</w:t>
            </w:r>
          </w:p>
          <w:p w14:paraId="62E26F65">
            <w:pPr>
              <w:spacing w:line="360" w:lineRule="auto"/>
              <w:ind w:firstLine="480" w:firstLineChars="200"/>
              <w:rPr>
                <w:rFonts w:hint="default" w:ascii="Times New Roman" w:hAnsi="Times New Roman" w:eastAsia="宋体" w:cs="Times New Roman"/>
                <w:b w:val="0"/>
                <w:bCs w:val="0"/>
                <w:color w:val="auto"/>
                <w:kern w:val="18"/>
                <w:sz w:val="24"/>
                <w:szCs w:val="24"/>
                <w:highlight w:val="none"/>
              </w:rPr>
            </w:pPr>
            <w:r>
              <w:rPr>
                <w:rFonts w:hint="eastAsia" w:ascii="Times New Roman" w:hAnsi="Times New Roman" w:eastAsia="宋体" w:cs="Times New Roman"/>
                <w:b w:val="0"/>
                <w:bCs w:val="0"/>
                <w:color w:val="auto"/>
                <w:sz w:val="24"/>
                <w:szCs w:val="24"/>
                <w:lang w:val="en-US" w:eastAsia="zh-CN"/>
              </w:rPr>
              <w:t>④</w:t>
            </w:r>
            <w:r>
              <w:rPr>
                <w:rFonts w:hint="default" w:ascii="Times New Roman" w:hAnsi="Times New Roman" w:eastAsia="宋体" w:cs="Times New Roman"/>
                <w:b w:val="0"/>
                <w:bCs w:val="0"/>
                <w:color w:val="auto"/>
                <w:kern w:val="18"/>
                <w:sz w:val="24"/>
                <w:szCs w:val="24"/>
                <w:highlight w:val="none"/>
              </w:rPr>
              <w:t>固废</w:t>
            </w:r>
          </w:p>
          <w:p w14:paraId="47AE0203">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right="-30" w:firstLine="482"/>
              <w:textAlignment w:val="auto"/>
              <w:rPr>
                <w:rFonts w:hint="default" w:ascii="Times New Roman" w:hAnsi="Times New Roman" w:eastAsia="宋体" w:cs="Times New Roman"/>
                <w:snapToGrid/>
                <w:color w:val="auto"/>
                <w:sz w:val="21"/>
                <w:szCs w:val="21"/>
              </w:rPr>
            </w:pPr>
            <w:r>
              <w:rPr>
                <w:rFonts w:hint="eastAsia" w:ascii="Times New Roman" w:hAnsi="Times New Roman" w:eastAsia="宋体" w:cs="Times New Roman"/>
                <w:color w:val="auto"/>
                <w:sz w:val="24"/>
                <w:szCs w:val="24"/>
                <w:lang w:eastAsia="zh-CN"/>
              </w:rPr>
              <w:t>现有</w:t>
            </w:r>
            <w:r>
              <w:rPr>
                <w:rFonts w:hint="default" w:ascii="Times New Roman" w:hAnsi="Times New Roman" w:eastAsia="宋体" w:cs="Times New Roman"/>
                <w:color w:val="auto"/>
                <w:sz w:val="24"/>
                <w:szCs w:val="24"/>
              </w:rPr>
              <w:t>项目区主要固废包括一般固废、危险固废和员工生活垃圾。</w:t>
            </w:r>
            <w:r>
              <w:rPr>
                <w:rFonts w:hint="eastAsia" w:ascii="Times New Roman" w:hAnsi="Times New Roman" w:eastAsia="宋体" w:cs="Times New Roman"/>
                <w:color w:val="auto"/>
                <w:sz w:val="24"/>
                <w:szCs w:val="24"/>
                <w:lang w:eastAsia="zh-CN"/>
              </w:rPr>
              <w:t>现有</w:t>
            </w:r>
            <w:r>
              <w:rPr>
                <w:rFonts w:hint="default" w:ascii="Times New Roman" w:hAnsi="Times New Roman" w:eastAsia="宋体" w:cs="Times New Roman"/>
                <w:color w:val="auto"/>
                <w:sz w:val="24"/>
                <w:szCs w:val="24"/>
              </w:rPr>
              <w:t>项目区固废产排情况一览表如下：</w:t>
            </w:r>
          </w:p>
          <w:p w14:paraId="149877E5">
            <w:pPr>
              <w:spacing w:line="240" w:lineRule="auto"/>
              <w:jc w:val="center"/>
              <w:rPr>
                <w:rFonts w:hint="default" w:ascii="Times New Roman" w:hAnsi="Times New Roman" w:eastAsia="宋体" w:cs="Times New Roman"/>
                <w:b/>
                <w:bCs/>
                <w:color w:val="auto"/>
                <w:kern w:val="0"/>
                <w:sz w:val="21"/>
                <w:szCs w:val="21"/>
                <w:lang w:eastAsia="zh-CN"/>
              </w:rPr>
            </w:pPr>
            <w:r>
              <w:rPr>
                <w:rFonts w:hint="default" w:ascii="Times New Roman" w:hAnsi="Times New Roman" w:eastAsia="宋体" w:cs="Times New Roman"/>
                <w:b/>
                <w:bCs/>
                <w:color w:val="auto"/>
                <w:kern w:val="0"/>
                <w:sz w:val="21"/>
                <w:szCs w:val="21"/>
                <w:lang w:eastAsia="zh-CN"/>
              </w:rPr>
              <w:t>表</w:t>
            </w:r>
            <w:r>
              <w:rPr>
                <w:rFonts w:hint="eastAsia" w:ascii="Times New Roman" w:hAnsi="Times New Roman" w:eastAsia="宋体" w:cs="Times New Roman"/>
                <w:b/>
                <w:bCs/>
                <w:color w:val="auto"/>
                <w:kern w:val="0"/>
                <w:sz w:val="21"/>
                <w:szCs w:val="21"/>
                <w:lang w:val="en-US" w:eastAsia="zh-CN"/>
              </w:rPr>
              <w:t>2-</w:t>
            </w:r>
            <w:r>
              <w:rPr>
                <w:rFonts w:hint="eastAsia" w:cs="Times New Roman"/>
                <w:b/>
                <w:bCs/>
                <w:color w:val="auto"/>
                <w:kern w:val="0"/>
                <w:sz w:val="21"/>
                <w:szCs w:val="21"/>
                <w:lang w:val="en-US" w:eastAsia="zh-CN"/>
              </w:rPr>
              <w:t xml:space="preserve">11 </w:t>
            </w:r>
            <w:r>
              <w:rPr>
                <w:rFonts w:hint="default" w:ascii="Times New Roman" w:hAnsi="Times New Roman" w:eastAsia="宋体" w:cs="Times New Roman"/>
                <w:b/>
                <w:bCs/>
                <w:color w:val="auto"/>
                <w:kern w:val="0"/>
                <w:sz w:val="21"/>
                <w:szCs w:val="21"/>
                <w:lang w:val="en-US" w:eastAsia="zh-CN"/>
              </w:rPr>
              <w:t xml:space="preserve"> </w:t>
            </w:r>
            <w:r>
              <w:rPr>
                <w:rFonts w:hint="eastAsia" w:ascii="Times New Roman" w:hAnsi="Times New Roman" w:eastAsia="宋体" w:cs="Times New Roman"/>
                <w:b/>
                <w:bCs/>
                <w:color w:val="auto"/>
                <w:kern w:val="0"/>
                <w:sz w:val="21"/>
                <w:szCs w:val="21"/>
                <w:lang w:val="en-US" w:eastAsia="zh-CN"/>
              </w:rPr>
              <w:t>现有</w:t>
            </w:r>
            <w:r>
              <w:rPr>
                <w:rFonts w:hint="default" w:ascii="Times New Roman" w:hAnsi="Times New Roman" w:eastAsia="宋体" w:cs="Times New Roman"/>
                <w:b/>
                <w:bCs/>
                <w:color w:val="auto"/>
                <w:kern w:val="0"/>
                <w:sz w:val="21"/>
                <w:szCs w:val="21"/>
                <w:lang w:eastAsia="zh-CN"/>
              </w:rPr>
              <w:t>项目固废产排情况汇总表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373"/>
              <w:gridCol w:w="728"/>
              <w:gridCol w:w="661"/>
              <w:gridCol w:w="617"/>
              <w:gridCol w:w="1061"/>
              <w:gridCol w:w="605"/>
              <w:gridCol w:w="825"/>
              <w:gridCol w:w="472"/>
              <w:gridCol w:w="840"/>
              <w:gridCol w:w="672"/>
              <w:gridCol w:w="714"/>
              <w:gridCol w:w="728"/>
            </w:tblGrid>
            <w:tr w14:paraId="55E9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65B30588">
                  <w:pPr>
                    <w:adjustRightInd w:val="0"/>
                    <w:snapToGrid w:val="0"/>
                    <w:spacing w:before="60" w:after="60"/>
                    <w:jc w:val="center"/>
                    <w:rPr>
                      <w:b/>
                      <w:bCs/>
                      <w:color w:val="auto"/>
                      <w:szCs w:val="21"/>
                    </w:rPr>
                  </w:pPr>
                  <w:r>
                    <w:rPr>
                      <w:b/>
                      <w:bCs/>
                      <w:color w:val="auto"/>
                      <w:szCs w:val="21"/>
                    </w:rPr>
                    <w:t>序号</w:t>
                  </w:r>
                </w:p>
              </w:tc>
              <w:tc>
                <w:tcPr>
                  <w:tcW w:w="711" w:type="dxa"/>
                  <w:tcBorders>
                    <w:tl2br w:val="nil"/>
                    <w:tr2bl w:val="nil"/>
                  </w:tcBorders>
                  <w:noWrap/>
                  <w:vAlign w:val="center"/>
                </w:tcPr>
                <w:p w14:paraId="4890385F">
                  <w:pPr>
                    <w:adjustRightInd w:val="0"/>
                    <w:snapToGrid w:val="0"/>
                    <w:spacing w:before="60" w:after="60"/>
                    <w:jc w:val="center"/>
                    <w:rPr>
                      <w:b/>
                      <w:bCs/>
                      <w:color w:val="auto"/>
                      <w:szCs w:val="21"/>
                    </w:rPr>
                  </w:pPr>
                  <w:r>
                    <w:rPr>
                      <w:b/>
                      <w:bCs/>
                      <w:color w:val="auto"/>
                      <w:szCs w:val="21"/>
                    </w:rPr>
                    <w:t>固废名称</w:t>
                  </w:r>
                </w:p>
              </w:tc>
              <w:tc>
                <w:tcPr>
                  <w:tcW w:w="645" w:type="dxa"/>
                  <w:tcBorders>
                    <w:tl2br w:val="nil"/>
                    <w:tr2bl w:val="nil"/>
                  </w:tcBorders>
                  <w:noWrap/>
                  <w:vAlign w:val="center"/>
                </w:tcPr>
                <w:p w14:paraId="28D5CCCD">
                  <w:pPr>
                    <w:adjustRightInd w:val="0"/>
                    <w:snapToGrid w:val="0"/>
                    <w:spacing w:before="60" w:after="60"/>
                    <w:jc w:val="center"/>
                    <w:rPr>
                      <w:b/>
                      <w:bCs/>
                      <w:color w:val="auto"/>
                      <w:szCs w:val="21"/>
                    </w:rPr>
                  </w:pPr>
                  <w:r>
                    <w:rPr>
                      <w:b/>
                      <w:bCs/>
                      <w:color w:val="auto"/>
                      <w:szCs w:val="21"/>
                    </w:rPr>
                    <w:t>产生环节</w:t>
                  </w:r>
                </w:p>
              </w:tc>
              <w:tc>
                <w:tcPr>
                  <w:tcW w:w="602" w:type="dxa"/>
                  <w:tcBorders>
                    <w:tl2br w:val="nil"/>
                    <w:tr2bl w:val="nil"/>
                  </w:tcBorders>
                  <w:noWrap/>
                  <w:vAlign w:val="center"/>
                </w:tcPr>
                <w:p w14:paraId="57DC3328">
                  <w:pPr>
                    <w:adjustRightInd w:val="0"/>
                    <w:snapToGrid w:val="0"/>
                    <w:spacing w:before="60" w:after="60"/>
                    <w:jc w:val="center"/>
                    <w:rPr>
                      <w:b/>
                      <w:bCs/>
                      <w:color w:val="auto"/>
                      <w:szCs w:val="21"/>
                    </w:rPr>
                  </w:pPr>
                  <w:r>
                    <w:rPr>
                      <w:b/>
                      <w:bCs/>
                      <w:color w:val="auto"/>
                      <w:szCs w:val="21"/>
                    </w:rPr>
                    <w:t>属性</w:t>
                  </w:r>
                </w:p>
              </w:tc>
              <w:tc>
                <w:tcPr>
                  <w:tcW w:w="1023" w:type="dxa"/>
                  <w:tcBorders>
                    <w:tl2br w:val="nil"/>
                    <w:tr2bl w:val="nil"/>
                  </w:tcBorders>
                  <w:noWrap/>
                  <w:vAlign w:val="center"/>
                </w:tcPr>
                <w:p w14:paraId="3A4AD034">
                  <w:pPr>
                    <w:adjustRightInd w:val="0"/>
                    <w:snapToGrid w:val="0"/>
                    <w:spacing w:before="60" w:after="60"/>
                    <w:jc w:val="center"/>
                    <w:rPr>
                      <w:b/>
                      <w:bCs/>
                      <w:color w:val="auto"/>
                      <w:szCs w:val="21"/>
                    </w:rPr>
                  </w:pPr>
                  <w:r>
                    <w:rPr>
                      <w:b/>
                      <w:bCs/>
                      <w:color w:val="auto"/>
                      <w:szCs w:val="21"/>
                    </w:rPr>
                    <w:t>固废/危废代码</w:t>
                  </w:r>
                </w:p>
              </w:tc>
              <w:tc>
                <w:tcPr>
                  <w:tcW w:w="591" w:type="dxa"/>
                  <w:tcBorders>
                    <w:tl2br w:val="nil"/>
                    <w:tr2bl w:val="nil"/>
                  </w:tcBorders>
                  <w:noWrap/>
                  <w:vAlign w:val="center"/>
                </w:tcPr>
                <w:p w14:paraId="44E176A3">
                  <w:pPr>
                    <w:adjustRightInd w:val="0"/>
                    <w:snapToGrid w:val="0"/>
                    <w:spacing w:before="60" w:after="60"/>
                    <w:jc w:val="center"/>
                    <w:rPr>
                      <w:b/>
                      <w:bCs/>
                      <w:color w:val="auto"/>
                      <w:szCs w:val="21"/>
                    </w:rPr>
                  </w:pPr>
                  <w:r>
                    <w:rPr>
                      <w:b/>
                      <w:bCs/>
                      <w:color w:val="auto"/>
                      <w:szCs w:val="21"/>
                    </w:rPr>
                    <w:t>物理性状</w:t>
                  </w:r>
                </w:p>
              </w:tc>
              <w:tc>
                <w:tcPr>
                  <w:tcW w:w="805" w:type="dxa"/>
                  <w:tcBorders>
                    <w:tl2br w:val="nil"/>
                    <w:tr2bl w:val="nil"/>
                  </w:tcBorders>
                  <w:noWrap/>
                  <w:vAlign w:val="center"/>
                </w:tcPr>
                <w:p w14:paraId="18FF5AAE">
                  <w:pPr>
                    <w:adjustRightInd w:val="0"/>
                    <w:snapToGrid w:val="0"/>
                    <w:spacing w:before="60" w:after="60"/>
                    <w:jc w:val="center"/>
                    <w:rPr>
                      <w:b/>
                      <w:bCs/>
                      <w:color w:val="auto"/>
                      <w:szCs w:val="21"/>
                    </w:rPr>
                  </w:pPr>
                  <w:r>
                    <w:rPr>
                      <w:b/>
                      <w:color w:val="auto"/>
                      <w:szCs w:val="21"/>
                    </w:rPr>
                    <w:t>主要成分/有害成分</w:t>
                  </w:r>
                </w:p>
              </w:tc>
              <w:tc>
                <w:tcPr>
                  <w:tcW w:w="461" w:type="dxa"/>
                  <w:tcBorders>
                    <w:tl2br w:val="nil"/>
                    <w:tr2bl w:val="nil"/>
                  </w:tcBorders>
                  <w:noWrap/>
                  <w:vAlign w:val="center"/>
                </w:tcPr>
                <w:p w14:paraId="0E99A050">
                  <w:pPr>
                    <w:adjustRightInd w:val="0"/>
                    <w:snapToGrid w:val="0"/>
                    <w:spacing w:before="60" w:after="60"/>
                    <w:jc w:val="center"/>
                    <w:rPr>
                      <w:b/>
                      <w:bCs/>
                      <w:color w:val="auto"/>
                      <w:szCs w:val="21"/>
                    </w:rPr>
                  </w:pPr>
                  <w:r>
                    <w:rPr>
                      <w:b/>
                      <w:bCs/>
                      <w:color w:val="auto"/>
                      <w:szCs w:val="21"/>
                    </w:rPr>
                    <w:t>危险特性</w:t>
                  </w:r>
                </w:p>
              </w:tc>
              <w:tc>
                <w:tcPr>
                  <w:tcW w:w="820" w:type="dxa"/>
                  <w:tcBorders>
                    <w:tl2br w:val="nil"/>
                    <w:tr2bl w:val="nil"/>
                  </w:tcBorders>
                  <w:noWrap/>
                  <w:vAlign w:val="center"/>
                </w:tcPr>
                <w:p w14:paraId="318A771A">
                  <w:pPr>
                    <w:adjustRightInd w:val="0"/>
                    <w:snapToGrid w:val="0"/>
                    <w:spacing w:before="60" w:after="60"/>
                    <w:jc w:val="center"/>
                    <w:rPr>
                      <w:b/>
                      <w:bCs/>
                      <w:color w:val="auto"/>
                      <w:szCs w:val="21"/>
                    </w:rPr>
                  </w:pPr>
                  <w:r>
                    <w:rPr>
                      <w:b/>
                      <w:bCs/>
                      <w:color w:val="auto"/>
                      <w:szCs w:val="21"/>
                    </w:rPr>
                    <w:t>产生量（t/a）</w:t>
                  </w:r>
                </w:p>
              </w:tc>
              <w:tc>
                <w:tcPr>
                  <w:tcW w:w="656" w:type="dxa"/>
                  <w:tcBorders>
                    <w:tl2br w:val="nil"/>
                    <w:tr2bl w:val="nil"/>
                  </w:tcBorders>
                  <w:noWrap/>
                  <w:vAlign w:val="center"/>
                </w:tcPr>
                <w:p w14:paraId="3094F9DD">
                  <w:pPr>
                    <w:adjustRightInd w:val="0"/>
                    <w:snapToGrid w:val="0"/>
                    <w:spacing w:before="60" w:after="60"/>
                    <w:jc w:val="center"/>
                    <w:rPr>
                      <w:b/>
                      <w:bCs/>
                      <w:color w:val="auto"/>
                      <w:szCs w:val="21"/>
                    </w:rPr>
                  </w:pPr>
                  <w:r>
                    <w:rPr>
                      <w:b/>
                      <w:bCs/>
                      <w:color w:val="auto"/>
                      <w:szCs w:val="21"/>
                    </w:rPr>
                    <w:t>贮存方式</w:t>
                  </w:r>
                </w:p>
              </w:tc>
              <w:tc>
                <w:tcPr>
                  <w:tcW w:w="697" w:type="dxa"/>
                  <w:tcBorders>
                    <w:tl2br w:val="nil"/>
                    <w:tr2bl w:val="nil"/>
                  </w:tcBorders>
                  <w:noWrap/>
                  <w:vAlign w:val="center"/>
                </w:tcPr>
                <w:p w14:paraId="4970180E">
                  <w:pPr>
                    <w:adjustRightInd w:val="0"/>
                    <w:snapToGrid w:val="0"/>
                    <w:spacing w:before="60" w:after="60"/>
                    <w:jc w:val="center"/>
                    <w:rPr>
                      <w:b/>
                      <w:bCs/>
                      <w:color w:val="auto"/>
                      <w:szCs w:val="21"/>
                    </w:rPr>
                  </w:pPr>
                  <w:r>
                    <w:rPr>
                      <w:b/>
                      <w:bCs/>
                      <w:color w:val="auto"/>
                      <w:szCs w:val="21"/>
                    </w:rPr>
                    <w:t>利用处置方式和去向</w:t>
                  </w:r>
                </w:p>
              </w:tc>
              <w:tc>
                <w:tcPr>
                  <w:tcW w:w="667" w:type="dxa"/>
                  <w:tcBorders>
                    <w:tl2br w:val="nil"/>
                    <w:tr2bl w:val="nil"/>
                  </w:tcBorders>
                  <w:noWrap/>
                  <w:vAlign w:val="center"/>
                </w:tcPr>
                <w:p w14:paraId="7BAF48FD">
                  <w:pPr>
                    <w:adjustRightInd w:val="0"/>
                    <w:snapToGrid w:val="0"/>
                    <w:spacing w:before="60" w:after="60"/>
                    <w:jc w:val="center"/>
                    <w:rPr>
                      <w:b/>
                      <w:bCs/>
                      <w:color w:val="auto"/>
                      <w:szCs w:val="21"/>
                    </w:rPr>
                  </w:pPr>
                  <w:r>
                    <w:rPr>
                      <w:b/>
                      <w:bCs/>
                      <w:color w:val="auto"/>
                      <w:szCs w:val="21"/>
                    </w:rPr>
                    <w:t>利用或处置量（t/a）</w:t>
                  </w:r>
                </w:p>
              </w:tc>
            </w:tr>
            <w:tr w14:paraId="11B3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6FC1FCA1">
                  <w:pPr>
                    <w:adjustRightInd w:val="0"/>
                    <w:snapToGrid w:val="0"/>
                    <w:spacing w:before="60" w:after="60"/>
                    <w:jc w:val="center"/>
                    <w:rPr>
                      <w:color w:val="auto"/>
                      <w:szCs w:val="21"/>
                    </w:rPr>
                  </w:pPr>
                  <w:r>
                    <w:rPr>
                      <w:rFonts w:hint="eastAsia"/>
                      <w:color w:val="auto"/>
                      <w:szCs w:val="21"/>
                    </w:rPr>
                    <w:t>1</w:t>
                  </w:r>
                </w:p>
              </w:tc>
              <w:tc>
                <w:tcPr>
                  <w:tcW w:w="711" w:type="dxa"/>
                  <w:tcBorders>
                    <w:tl2br w:val="nil"/>
                    <w:tr2bl w:val="nil"/>
                  </w:tcBorders>
                  <w:noWrap/>
                  <w:vAlign w:val="center"/>
                </w:tcPr>
                <w:p w14:paraId="1CE8DF3A">
                  <w:pPr>
                    <w:adjustRightInd w:val="0"/>
                    <w:snapToGrid w:val="0"/>
                    <w:spacing w:before="60" w:after="60"/>
                    <w:jc w:val="center"/>
                    <w:rPr>
                      <w:color w:val="auto"/>
                      <w:szCs w:val="21"/>
                    </w:rPr>
                  </w:pPr>
                  <w:r>
                    <w:rPr>
                      <w:rFonts w:hint="eastAsia"/>
                      <w:color w:val="auto"/>
                    </w:rPr>
                    <w:t>废脱硫剂</w:t>
                  </w:r>
                </w:p>
              </w:tc>
              <w:tc>
                <w:tcPr>
                  <w:tcW w:w="645" w:type="dxa"/>
                  <w:tcBorders>
                    <w:tl2br w:val="nil"/>
                    <w:tr2bl w:val="nil"/>
                  </w:tcBorders>
                  <w:noWrap/>
                  <w:vAlign w:val="center"/>
                </w:tcPr>
                <w:p w14:paraId="3065A6C1">
                  <w:pPr>
                    <w:adjustRightInd w:val="0"/>
                    <w:snapToGrid w:val="0"/>
                    <w:spacing w:before="60" w:after="60"/>
                    <w:jc w:val="center"/>
                    <w:rPr>
                      <w:color w:val="auto"/>
                      <w:szCs w:val="21"/>
                    </w:rPr>
                  </w:pPr>
                  <w:r>
                    <w:rPr>
                      <w:rFonts w:hint="eastAsia"/>
                      <w:color w:val="auto"/>
                      <w:szCs w:val="21"/>
                    </w:rPr>
                    <w:t>沼气脱硫</w:t>
                  </w:r>
                </w:p>
              </w:tc>
              <w:tc>
                <w:tcPr>
                  <w:tcW w:w="602" w:type="dxa"/>
                  <w:tcBorders>
                    <w:tl2br w:val="nil"/>
                    <w:tr2bl w:val="nil"/>
                  </w:tcBorders>
                  <w:noWrap/>
                  <w:vAlign w:val="center"/>
                </w:tcPr>
                <w:p w14:paraId="2DAE2827">
                  <w:pPr>
                    <w:adjustRightInd w:val="0"/>
                    <w:snapToGrid w:val="0"/>
                    <w:spacing w:before="60" w:after="60"/>
                    <w:jc w:val="center"/>
                    <w:rPr>
                      <w:color w:val="auto"/>
                      <w:szCs w:val="21"/>
                    </w:rPr>
                  </w:pPr>
                  <w:r>
                    <w:rPr>
                      <w:rFonts w:hint="eastAsia"/>
                      <w:color w:val="auto"/>
                      <w:szCs w:val="21"/>
                    </w:rPr>
                    <w:t>一般固废</w:t>
                  </w:r>
                </w:p>
              </w:tc>
              <w:tc>
                <w:tcPr>
                  <w:tcW w:w="1023" w:type="dxa"/>
                  <w:tcBorders>
                    <w:tl2br w:val="nil"/>
                    <w:tr2bl w:val="nil"/>
                  </w:tcBorders>
                  <w:noWrap/>
                  <w:vAlign w:val="center"/>
                </w:tcPr>
                <w:p w14:paraId="7C5864FD">
                  <w:pPr>
                    <w:adjustRightInd w:val="0"/>
                    <w:snapToGrid w:val="0"/>
                    <w:spacing w:before="60" w:after="60"/>
                    <w:jc w:val="center"/>
                    <w:rPr>
                      <w:color w:val="auto"/>
                      <w:szCs w:val="21"/>
                    </w:rPr>
                  </w:pPr>
                  <w:r>
                    <w:rPr>
                      <w:color w:val="auto"/>
                      <w:szCs w:val="21"/>
                    </w:rPr>
                    <w:t>441</w:t>
                  </w:r>
                  <w:r>
                    <w:rPr>
                      <w:rFonts w:hint="eastAsia"/>
                      <w:color w:val="auto"/>
                      <w:szCs w:val="21"/>
                    </w:rPr>
                    <w:t>-001-</w:t>
                  </w:r>
                  <w:r>
                    <w:rPr>
                      <w:color w:val="auto"/>
                      <w:szCs w:val="21"/>
                    </w:rPr>
                    <w:t>54</w:t>
                  </w:r>
                </w:p>
              </w:tc>
              <w:tc>
                <w:tcPr>
                  <w:tcW w:w="591" w:type="dxa"/>
                  <w:tcBorders>
                    <w:tl2br w:val="nil"/>
                    <w:tr2bl w:val="nil"/>
                  </w:tcBorders>
                  <w:noWrap/>
                  <w:vAlign w:val="center"/>
                </w:tcPr>
                <w:p w14:paraId="3AC29873">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7C04F8FC">
                  <w:pPr>
                    <w:adjustRightInd w:val="0"/>
                    <w:snapToGrid w:val="0"/>
                    <w:spacing w:before="60" w:after="60"/>
                    <w:jc w:val="center"/>
                    <w:rPr>
                      <w:color w:val="auto"/>
                      <w:szCs w:val="21"/>
                    </w:rPr>
                  </w:pPr>
                  <w:r>
                    <w:rPr>
                      <w:rFonts w:hint="eastAsia"/>
                      <w:color w:val="auto"/>
                      <w:szCs w:val="21"/>
                    </w:rPr>
                    <w:t>金属等</w:t>
                  </w:r>
                </w:p>
              </w:tc>
              <w:tc>
                <w:tcPr>
                  <w:tcW w:w="461" w:type="dxa"/>
                  <w:tcBorders>
                    <w:tl2br w:val="nil"/>
                    <w:tr2bl w:val="nil"/>
                  </w:tcBorders>
                  <w:noWrap/>
                  <w:vAlign w:val="center"/>
                </w:tcPr>
                <w:p w14:paraId="3C4632EE">
                  <w:pPr>
                    <w:adjustRightInd w:val="0"/>
                    <w:snapToGrid w:val="0"/>
                    <w:spacing w:before="60" w:after="60"/>
                    <w:jc w:val="center"/>
                    <w:rPr>
                      <w:color w:val="auto"/>
                      <w:szCs w:val="21"/>
                    </w:rPr>
                  </w:pPr>
                  <w:r>
                    <w:rPr>
                      <w:rFonts w:hint="eastAsia"/>
                      <w:color w:val="auto"/>
                      <w:szCs w:val="21"/>
                    </w:rPr>
                    <w:t>/</w:t>
                  </w:r>
                </w:p>
              </w:tc>
              <w:tc>
                <w:tcPr>
                  <w:tcW w:w="820" w:type="dxa"/>
                  <w:tcBorders>
                    <w:tl2br w:val="nil"/>
                    <w:tr2bl w:val="nil"/>
                  </w:tcBorders>
                  <w:noWrap/>
                  <w:vAlign w:val="center"/>
                </w:tcPr>
                <w:p w14:paraId="2DCD373C">
                  <w:pPr>
                    <w:adjustRightInd w:val="0"/>
                    <w:snapToGrid w:val="0"/>
                    <w:spacing w:before="60" w:after="60"/>
                    <w:jc w:val="center"/>
                    <w:rPr>
                      <w:color w:val="auto"/>
                      <w:szCs w:val="21"/>
                    </w:rPr>
                  </w:pPr>
                  <w:r>
                    <w:rPr>
                      <w:rFonts w:hint="eastAsia"/>
                      <w:color w:val="auto"/>
                    </w:rPr>
                    <w:t>0.600</w:t>
                  </w:r>
                </w:p>
              </w:tc>
              <w:tc>
                <w:tcPr>
                  <w:tcW w:w="656" w:type="dxa"/>
                  <w:tcBorders>
                    <w:tl2br w:val="nil"/>
                    <w:tr2bl w:val="nil"/>
                  </w:tcBorders>
                  <w:noWrap/>
                  <w:vAlign w:val="center"/>
                </w:tcPr>
                <w:p w14:paraId="4A6D90BC">
                  <w:pPr>
                    <w:adjustRightInd w:val="0"/>
                    <w:snapToGrid w:val="0"/>
                    <w:spacing w:before="60" w:after="60"/>
                    <w:jc w:val="center"/>
                    <w:rPr>
                      <w:color w:val="auto"/>
                      <w:szCs w:val="21"/>
                    </w:rPr>
                  </w:pPr>
                  <w:r>
                    <w:rPr>
                      <w:color w:val="auto"/>
                      <w:szCs w:val="21"/>
                    </w:rPr>
                    <w:t>袋装，暂存于固废间</w:t>
                  </w:r>
                </w:p>
              </w:tc>
              <w:tc>
                <w:tcPr>
                  <w:tcW w:w="697" w:type="dxa"/>
                  <w:tcBorders>
                    <w:tl2br w:val="nil"/>
                    <w:tr2bl w:val="nil"/>
                  </w:tcBorders>
                  <w:noWrap/>
                  <w:vAlign w:val="center"/>
                </w:tcPr>
                <w:p w14:paraId="259D802C">
                  <w:pPr>
                    <w:adjustRightInd w:val="0"/>
                    <w:snapToGrid w:val="0"/>
                    <w:spacing w:before="60" w:after="60"/>
                    <w:jc w:val="center"/>
                    <w:rPr>
                      <w:color w:val="auto"/>
                      <w:szCs w:val="21"/>
                    </w:rPr>
                  </w:pPr>
                  <w:r>
                    <w:rPr>
                      <w:rFonts w:hint="eastAsia"/>
                      <w:color w:val="auto"/>
                      <w:szCs w:val="21"/>
                    </w:rPr>
                    <w:t>由生产厂家回收利用</w:t>
                  </w:r>
                </w:p>
              </w:tc>
              <w:tc>
                <w:tcPr>
                  <w:tcW w:w="667" w:type="dxa"/>
                  <w:tcBorders>
                    <w:tl2br w:val="nil"/>
                    <w:tr2bl w:val="nil"/>
                  </w:tcBorders>
                  <w:noWrap/>
                  <w:vAlign w:val="center"/>
                </w:tcPr>
                <w:p w14:paraId="53E54076">
                  <w:pPr>
                    <w:adjustRightInd w:val="0"/>
                    <w:snapToGrid w:val="0"/>
                    <w:spacing w:before="60" w:after="60"/>
                    <w:jc w:val="center"/>
                    <w:rPr>
                      <w:color w:val="auto"/>
                      <w:szCs w:val="21"/>
                    </w:rPr>
                  </w:pPr>
                  <w:r>
                    <w:rPr>
                      <w:rFonts w:hint="eastAsia"/>
                      <w:color w:val="auto"/>
                    </w:rPr>
                    <w:t>0.600</w:t>
                  </w:r>
                </w:p>
              </w:tc>
            </w:tr>
            <w:tr w14:paraId="74C28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24464547">
                  <w:pPr>
                    <w:adjustRightInd w:val="0"/>
                    <w:snapToGrid w:val="0"/>
                    <w:spacing w:before="60" w:after="60"/>
                    <w:jc w:val="center"/>
                    <w:rPr>
                      <w:color w:val="auto"/>
                      <w:szCs w:val="21"/>
                    </w:rPr>
                  </w:pPr>
                  <w:r>
                    <w:rPr>
                      <w:rFonts w:hint="eastAsia"/>
                      <w:color w:val="auto"/>
                      <w:szCs w:val="21"/>
                    </w:rPr>
                    <w:t>2</w:t>
                  </w:r>
                </w:p>
              </w:tc>
              <w:tc>
                <w:tcPr>
                  <w:tcW w:w="711" w:type="dxa"/>
                  <w:tcBorders>
                    <w:tl2br w:val="nil"/>
                    <w:tr2bl w:val="nil"/>
                  </w:tcBorders>
                  <w:noWrap/>
                  <w:vAlign w:val="center"/>
                </w:tcPr>
                <w:p w14:paraId="0BF5172B">
                  <w:pPr>
                    <w:adjustRightInd w:val="0"/>
                    <w:snapToGrid w:val="0"/>
                    <w:spacing w:before="60" w:after="60"/>
                    <w:jc w:val="center"/>
                    <w:rPr>
                      <w:color w:val="auto"/>
                      <w:szCs w:val="21"/>
                    </w:rPr>
                  </w:pPr>
                  <w:r>
                    <w:rPr>
                      <w:rFonts w:hint="eastAsia"/>
                      <w:color w:val="auto"/>
                      <w:szCs w:val="21"/>
                    </w:rPr>
                    <w:t>生活垃圾</w:t>
                  </w:r>
                </w:p>
              </w:tc>
              <w:tc>
                <w:tcPr>
                  <w:tcW w:w="645" w:type="dxa"/>
                  <w:tcBorders>
                    <w:tl2br w:val="nil"/>
                    <w:tr2bl w:val="nil"/>
                  </w:tcBorders>
                  <w:noWrap/>
                  <w:vAlign w:val="center"/>
                </w:tcPr>
                <w:p w14:paraId="37ED3B83">
                  <w:pPr>
                    <w:adjustRightInd w:val="0"/>
                    <w:snapToGrid w:val="0"/>
                    <w:spacing w:before="60" w:after="60"/>
                    <w:jc w:val="center"/>
                    <w:rPr>
                      <w:color w:val="auto"/>
                      <w:szCs w:val="21"/>
                    </w:rPr>
                  </w:pPr>
                  <w:r>
                    <w:rPr>
                      <w:rFonts w:hint="eastAsia"/>
                      <w:color w:val="auto"/>
                      <w:szCs w:val="21"/>
                    </w:rPr>
                    <w:t>员工生活</w:t>
                  </w:r>
                </w:p>
              </w:tc>
              <w:tc>
                <w:tcPr>
                  <w:tcW w:w="602" w:type="dxa"/>
                  <w:tcBorders>
                    <w:tl2br w:val="nil"/>
                    <w:tr2bl w:val="nil"/>
                  </w:tcBorders>
                  <w:noWrap/>
                  <w:vAlign w:val="center"/>
                </w:tcPr>
                <w:p w14:paraId="3EEACE62">
                  <w:pPr>
                    <w:adjustRightInd w:val="0"/>
                    <w:snapToGrid w:val="0"/>
                    <w:spacing w:before="60" w:after="60"/>
                    <w:jc w:val="center"/>
                    <w:rPr>
                      <w:color w:val="auto"/>
                      <w:szCs w:val="21"/>
                    </w:rPr>
                  </w:pPr>
                  <w:r>
                    <w:rPr>
                      <w:rFonts w:hint="eastAsia"/>
                      <w:color w:val="auto"/>
                      <w:szCs w:val="21"/>
                    </w:rPr>
                    <w:t>一般固废</w:t>
                  </w:r>
                </w:p>
              </w:tc>
              <w:tc>
                <w:tcPr>
                  <w:tcW w:w="1023" w:type="dxa"/>
                  <w:tcBorders>
                    <w:tl2br w:val="nil"/>
                    <w:tr2bl w:val="nil"/>
                  </w:tcBorders>
                  <w:noWrap/>
                  <w:vAlign w:val="center"/>
                </w:tcPr>
                <w:p w14:paraId="238BE708">
                  <w:pPr>
                    <w:adjustRightInd w:val="0"/>
                    <w:snapToGrid w:val="0"/>
                    <w:spacing w:before="60" w:after="60"/>
                    <w:jc w:val="center"/>
                    <w:rPr>
                      <w:color w:val="auto"/>
                    </w:rPr>
                  </w:pPr>
                  <w:r>
                    <w:rPr>
                      <w:rFonts w:hint="eastAsia"/>
                      <w:color w:val="auto"/>
                    </w:rPr>
                    <w:t>900-999-99</w:t>
                  </w:r>
                </w:p>
              </w:tc>
              <w:tc>
                <w:tcPr>
                  <w:tcW w:w="591" w:type="dxa"/>
                  <w:tcBorders>
                    <w:tl2br w:val="nil"/>
                    <w:tr2bl w:val="nil"/>
                  </w:tcBorders>
                  <w:noWrap/>
                  <w:vAlign w:val="center"/>
                </w:tcPr>
                <w:p w14:paraId="3DFA98C8">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51AB6684">
                  <w:pPr>
                    <w:adjustRightInd w:val="0"/>
                    <w:snapToGrid w:val="0"/>
                    <w:spacing w:before="60" w:after="60"/>
                    <w:jc w:val="center"/>
                    <w:rPr>
                      <w:color w:val="auto"/>
                      <w:szCs w:val="21"/>
                    </w:rPr>
                  </w:pPr>
                  <w:r>
                    <w:rPr>
                      <w:rFonts w:hint="eastAsia"/>
                      <w:color w:val="auto"/>
                      <w:szCs w:val="21"/>
                    </w:rPr>
                    <w:t>/</w:t>
                  </w:r>
                </w:p>
              </w:tc>
              <w:tc>
                <w:tcPr>
                  <w:tcW w:w="461" w:type="dxa"/>
                  <w:tcBorders>
                    <w:tl2br w:val="nil"/>
                    <w:tr2bl w:val="nil"/>
                  </w:tcBorders>
                  <w:noWrap/>
                  <w:vAlign w:val="center"/>
                </w:tcPr>
                <w:p w14:paraId="1F8E0E91">
                  <w:pPr>
                    <w:adjustRightInd w:val="0"/>
                    <w:snapToGrid w:val="0"/>
                    <w:spacing w:before="60" w:after="60"/>
                    <w:jc w:val="center"/>
                    <w:rPr>
                      <w:color w:val="auto"/>
                      <w:szCs w:val="21"/>
                    </w:rPr>
                  </w:pPr>
                  <w:r>
                    <w:rPr>
                      <w:rFonts w:hint="eastAsia"/>
                      <w:color w:val="auto"/>
                      <w:szCs w:val="21"/>
                    </w:rPr>
                    <w:t>/</w:t>
                  </w:r>
                </w:p>
              </w:tc>
              <w:tc>
                <w:tcPr>
                  <w:tcW w:w="820" w:type="dxa"/>
                  <w:tcBorders>
                    <w:tl2br w:val="nil"/>
                    <w:tr2bl w:val="nil"/>
                  </w:tcBorders>
                  <w:noWrap/>
                  <w:vAlign w:val="center"/>
                </w:tcPr>
                <w:p w14:paraId="119AA1F7">
                  <w:pPr>
                    <w:adjustRightInd w:val="0"/>
                    <w:snapToGrid w:val="0"/>
                    <w:spacing w:before="60" w:after="60"/>
                    <w:jc w:val="center"/>
                    <w:rPr>
                      <w:color w:val="auto"/>
                      <w:szCs w:val="21"/>
                    </w:rPr>
                  </w:pPr>
                  <w:r>
                    <w:rPr>
                      <w:rFonts w:hint="eastAsia"/>
                      <w:color w:val="auto"/>
                      <w:szCs w:val="21"/>
                    </w:rPr>
                    <w:t>0.730</w:t>
                  </w:r>
                </w:p>
              </w:tc>
              <w:tc>
                <w:tcPr>
                  <w:tcW w:w="656" w:type="dxa"/>
                  <w:tcBorders>
                    <w:tl2br w:val="nil"/>
                    <w:tr2bl w:val="nil"/>
                  </w:tcBorders>
                  <w:noWrap/>
                  <w:vAlign w:val="center"/>
                </w:tcPr>
                <w:p w14:paraId="6D5A5C56">
                  <w:pPr>
                    <w:adjustRightInd w:val="0"/>
                    <w:snapToGrid w:val="0"/>
                    <w:spacing w:before="60" w:after="60"/>
                    <w:jc w:val="center"/>
                    <w:rPr>
                      <w:color w:val="auto"/>
                      <w:szCs w:val="21"/>
                    </w:rPr>
                  </w:pPr>
                  <w:r>
                    <w:rPr>
                      <w:rFonts w:hint="eastAsia"/>
                      <w:color w:val="auto"/>
                      <w:szCs w:val="21"/>
                    </w:rPr>
                    <w:t>/</w:t>
                  </w:r>
                </w:p>
              </w:tc>
              <w:tc>
                <w:tcPr>
                  <w:tcW w:w="697" w:type="dxa"/>
                  <w:tcBorders>
                    <w:tl2br w:val="nil"/>
                    <w:tr2bl w:val="nil"/>
                  </w:tcBorders>
                  <w:noWrap/>
                  <w:vAlign w:val="center"/>
                </w:tcPr>
                <w:p w14:paraId="076BD3A0">
                  <w:pPr>
                    <w:adjustRightInd w:val="0"/>
                    <w:snapToGrid w:val="0"/>
                    <w:spacing w:before="60" w:after="60"/>
                    <w:jc w:val="center"/>
                    <w:rPr>
                      <w:color w:val="auto"/>
                      <w:szCs w:val="21"/>
                    </w:rPr>
                  </w:pPr>
                  <w:r>
                    <w:rPr>
                      <w:rFonts w:hint="eastAsia"/>
                      <w:color w:val="auto"/>
                      <w:szCs w:val="21"/>
                    </w:rPr>
                    <w:t>环卫部门回收</w:t>
                  </w:r>
                </w:p>
              </w:tc>
              <w:tc>
                <w:tcPr>
                  <w:tcW w:w="667" w:type="dxa"/>
                  <w:tcBorders>
                    <w:tl2br w:val="nil"/>
                    <w:tr2bl w:val="nil"/>
                  </w:tcBorders>
                  <w:noWrap/>
                  <w:vAlign w:val="center"/>
                </w:tcPr>
                <w:p w14:paraId="7A9EACC4">
                  <w:pPr>
                    <w:adjustRightInd w:val="0"/>
                    <w:snapToGrid w:val="0"/>
                    <w:spacing w:before="60" w:after="60"/>
                    <w:jc w:val="center"/>
                    <w:rPr>
                      <w:color w:val="auto"/>
                      <w:szCs w:val="21"/>
                    </w:rPr>
                  </w:pPr>
                  <w:r>
                    <w:rPr>
                      <w:rFonts w:hint="eastAsia"/>
                      <w:color w:val="auto"/>
                      <w:szCs w:val="21"/>
                    </w:rPr>
                    <w:t>0.365</w:t>
                  </w:r>
                </w:p>
              </w:tc>
            </w:tr>
            <w:tr w14:paraId="4F6E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364" w:type="dxa"/>
                  <w:tcBorders>
                    <w:tl2br w:val="nil"/>
                    <w:tr2bl w:val="nil"/>
                  </w:tcBorders>
                  <w:noWrap/>
                  <w:vAlign w:val="center"/>
                </w:tcPr>
                <w:p w14:paraId="2482AF89">
                  <w:pPr>
                    <w:adjustRightInd w:val="0"/>
                    <w:snapToGrid w:val="0"/>
                    <w:spacing w:before="60" w:after="60"/>
                    <w:jc w:val="center"/>
                    <w:rPr>
                      <w:color w:val="auto"/>
                      <w:szCs w:val="21"/>
                    </w:rPr>
                  </w:pPr>
                  <w:r>
                    <w:rPr>
                      <w:rFonts w:hint="eastAsia"/>
                      <w:color w:val="auto"/>
                      <w:szCs w:val="21"/>
                    </w:rPr>
                    <w:t>3</w:t>
                  </w:r>
                </w:p>
              </w:tc>
              <w:tc>
                <w:tcPr>
                  <w:tcW w:w="711" w:type="dxa"/>
                  <w:tcBorders>
                    <w:tl2br w:val="nil"/>
                    <w:tr2bl w:val="nil"/>
                  </w:tcBorders>
                  <w:noWrap/>
                  <w:vAlign w:val="center"/>
                </w:tcPr>
                <w:p w14:paraId="3DD41944">
                  <w:pPr>
                    <w:adjustRightInd w:val="0"/>
                    <w:snapToGrid w:val="0"/>
                    <w:spacing w:before="60" w:after="60"/>
                    <w:jc w:val="center"/>
                    <w:rPr>
                      <w:color w:val="auto"/>
                      <w:szCs w:val="21"/>
                    </w:rPr>
                  </w:pPr>
                  <w:r>
                    <w:rPr>
                      <w:rFonts w:hint="eastAsia"/>
                      <w:color w:val="auto"/>
                      <w:szCs w:val="21"/>
                    </w:rPr>
                    <w:t>布袋除尘器收集的粉尘</w:t>
                  </w:r>
                </w:p>
              </w:tc>
              <w:tc>
                <w:tcPr>
                  <w:tcW w:w="645" w:type="dxa"/>
                  <w:tcBorders>
                    <w:tl2br w:val="nil"/>
                    <w:tr2bl w:val="nil"/>
                  </w:tcBorders>
                  <w:noWrap/>
                  <w:vAlign w:val="center"/>
                </w:tcPr>
                <w:p w14:paraId="72EC960E">
                  <w:pPr>
                    <w:adjustRightInd w:val="0"/>
                    <w:snapToGrid w:val="0"/>
                    <w:spacing w:before="60" w:after="60"/>
                    <w:jc w:val="center"/>
                    <w:rPr>
                      <w:color w:val="auto"/>
                      <w:szCs w:val="21"/>
                    </w:rPr>
                  </w:pPr>
                  <w:r>
                    <w:rPr>
                      <w:rFonts w:hint="eastAsia"/>
                      <w:color w:val="auto"/>
                      <w:szCs w:val="21"/>
                    </w:rPr>
                    <w:t>废气治理</w:t>
                  </w:r>
                </w:p>
              </w:tc>
              <w:tc>
                <w:tcPr>
                  <w:tcW w:w="602" w:type="dxa"/>
                  <w:tcBorders>
                    <w:tl2br w:val="nil"/>
                    <w:tr2bl w:val="nil"/>
                  </w:tcBorders>
                  <w:noWrap/>
                  <w:vAlign w:val="center"/>
                </w:tcPr>
                <w:p w14:paraId="7EF76C7B">
                  <w:pPr>
                    <w:adjustRightInd w:val="0"/>
                    <w:snapToGrid w:val="0"/>
                    <w:spacing w:before="60" w:after="60"/>
                    <w:jc w:val="center"/>
                    <w:rPr>
                      <w:color w:val="auto"/>
                      <w:szCs w:val="21"/>
                    </w:rPr>
                  </w:pPr>
                  <w:r>
                    <w:rPr>
                      <w:rFonts w:hint="eastAsia"/>
                      <w:color w:val="auto"/>
                      <w:szCs w:val="21"/>
                    </w:rPr>
                    <w:t>一般固废</w:t>
                  </w:r>
                </w:p>
              </w:tc>
              <w:tc>
                <w:tcPr>
                  <w:tcW w:w="1023" w:type="dxa"/>
                  <w:tcBorders>
                    <w:tl2br w:val="nil"/>
                    <w:tr2bl w:val="nil"/>
                  </w:tcBorders>
                  <w:noWrap/>
                  <w:vAlign w:val="center"/>
                </w:tcPr>
                <w:p w14:paraId="76637F46">
                  <w:pPr>
                    <w:adjustRightInd w:val="0"/>
                    <w:snapToGrid w:val="0"/>
                    <w:spacing w:before="60" w:after="60"/>
                    <w:jc w:val="center"/>
                    <w:rPr>
                      <w:color w:val="auto"/>
                    </w:rPr>
                  </w:pPr>
                  <w:r>
                    <w:rPr>
                      <w:rFonts w:hint="eastAsia"/>
                      <w:color w:val="auto"/>
                    </w:rPr>
                    <w:t>900-999-66</w:t>
                  </w:r>
                </w:p>
              </w:tc>
              <w:tc>
                <w:tcPr>
                  <w:tcW w:w="591" w:type="dxa"/>
                  <w:tcBorders>
                    <w:tl2br w:val="nil"/>
                    <w:tr2bl w:val="nil"/>
                  </w:tcBorders>
                  <w:noWrap/>
                  <w:vAlign w:val="center"/>
                </w:tcPr>
                <w:p w14:paraId="30A54DD9">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266BC039">
                  <w:pPr>
                    <w:adjustRightInd w:val="0"/>
                    <w:snapToGrid w:val="0"/>
                    <w:spacing w:before="60" w:after="60"/>
                    <w:jc w:val="center"/>
                    <w:rPr>
                      <w:color w:val="auto"/>
                      <w:szCs w:val="21"/>
                    </w:rPr>
                  </w:pPr>
                  <w:r>
                    <w:rPr>
                      <w:rFonts w:hint="eastAsia"/>
                      <w:color w:val="auto"/>
                      <w:szCs w:val="21"/>
                    </w:rPr>
                    <w:t>木质纤维</w:t>
                  </w:r>
                </w:p>
              </w:tc>
              <w:tc>
                <w:tcPr>
                  <w:tcW w:w="461" w:type="dxa"/>
                  <w:tcBorders>
                    <w:tl2br w:val="nil"/>
                    <w:tr2bl w:val="nil"/>
                  </w:tcBorders>
                  <w:noWrap/>
                  <w:vAlign w:val="center"/>
                </w:tcPr>
                <w:p w14:paraId="13773D70">
                  <w:pPr>
                    <w:adjustRightInd w:val="0"/>
                    <w:snapToGrid w:val="0"/>
                    <w:spacing w:before="60" w:after="60"/>
                    <w:jc w:val="center"/>
                    <w:rPr>
                      <w:color w:val="auto"/>
                      <w:szCs w:val="21"/>
                    </w:rPr>
                  </w:pPr>
                  <w:r>
                    <w:rPr>
                      <w:rFonts w:hint="eastAsia"/>
                      <w:color w:val="auto"/>
                      <w:szCs w:val="21"/>
                    </w:rPr>
                    <w:t>/</w:t>
                  </w:r>
                </w:p>
              </w:tc>
              <w:tc>
                <w:tcPr>
                  <w:tcW w:w="820" w:type="dxa"/>
                  <w:tcBorders>
                    <w:tl2br w:val="nil"/>
                    <w:tr2bl w:val="nil"/>
                  </w:tcBorders>
                  <w:noWrap/>
                  <w:vAlign w:val="center"/>
                </w:tcPr>
                <w:p w14:paraId="6A265340">
                  <w:pPr>
                    <w:adjustRightInd w:val="0"/>
                    <w:snapToGrid w:val="0"/>
                    <w:spacing w:before="60" w:after="60"/>
                    <w:jc w:val="center"/>
                    <w:rPr>
                      <w:color w:val="auto"/>
                      <w:szCs w:val="21"/>
                    </w:rPr>
                  </w:pPr>
                  <w:r>
                    <w:rPr>
                      <w:rFonts w:hint="eastAsia"/>
                      <w:color w:val="auto"/>
                      <w:szCs w:val="21"/>
                    </w:rPr>
                    <w:t>0.7749</w:t>
                  </w:r>
                </w:p>
              </w:tc>
              <w:tc>
                <w:tcPr>
                  <w:tcW w:w="656" w:type="dxa"/>
                  <w:tcBorders>
                    <w:tl2br w:val="nil"/>
                    <w:tr2bl w:val="nil"/>
                  </w:tcBorders>
                  <w:noWrap/>
                  <w:vAlign w:val="center"/>
                </w:tcPr>
                <w:p w14:paraId="6E77B115">
                  <w:pPr>
                    <w:adjustRightInd w:val="0"/>
                    <w:snapToGrid w:val="0"/>
                    <w:spacing w:before="60" w:after="60"/>
                    <w:jc w:val="center"/>
                    <w:rPr>
                      <w:color w:val="auto"/>
                      <w:szCs w:val="21"/>
                    </w:rPr>
                  </w:pPr>
                  <w:r>
                    <w:rPr>
                      <w:color w:val="auto"/>
                      <w:szCs w:val="21"/>
                    </w:rPr>
                    <w:t>袋装，暂存于固废间</w:t>
                  </w:r>
                </w:p>
              </w:tc>
              <w:tc>
                <w:tcPr>
                  <w:tcW w:w="697" w:type="dxa"/>
                  <w:tcBorders>
                    <w:tl2br w:val="nil"/>
                    <w:tr2bl w:val="nil"/>
                  </w:tcBorders>
                  <w:noWrap/>
                  <w:vAlign w:val="center"/>
                </w:tcPr>
                <w:p w14:paraId="48804EDE">
                  <w:pPr>
                    <w:adjustRightInd w:val="0"/>
                    <w:snapToGrid w:val="0"/>
                    <w:spacing w:before="60" w:after="60"/>
                    <w:jc w:val="center"/>
                    <w:rPr>
                      <w:color w:val="auto"/>
                      <w:szCs w:val="21"/>
                    </w:rPr>
                  </w:pPr>
                  <w:r>
                    <w:rPr>
                      <w:rFonts w:hint="eastAsia"/>
                      <w:color w:val="auto"/>
                      <w:szCs w:val="21"/>
                    </w:rPr>
                    <w:t>回用于生产</w:t>
                  </w:r>
                </w:p>
              </w:tc>
              <w:tc>
                <w:tcPr>
                  <w:tcW w:w="667" w:type="dxa"/>
                  <w:tcBorders>
                    <w:tl2br w:val="nil"/>
                    <w:tr2bl w:val="nil"/>
                  </w:tcBorders>
                  <w:noWrap/>
                  <w:vAlign w:val="center"/>
                </w:tcPr>
                <w:p w14:paraId="214844EA">
                  <w:pPr>
                    <w:adjustRightInd w:val="0"/>
                    <w:snapToGrid w:val="0"/>
                    <w:spacing w:before="60" w:after="60"/>
                    <w:jc w:val="center"/>
                    <w:rPr>
                      <w:color w:val="auto"/>
                      <w:szCs w:val="21"/>
                    </w:rPr>
                  </w:pPr>
                  <w:r>
                    <w:rPr>
                      <w:rFonts w:hint="eastAsia"/>
                      <w:color w:val="auto"/>
                      <w:szCs w:val="21"/>
                    </w:rPr>
                    <w:t>0.7749</w:t>
                  </w:r>
                </w:p>
              </w:tc>
            </w:tr>
            <w:tr w14:paraId="5617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52FC7976">
                  <w:pPr>
                    <w:adjustRightInd w:val="0"/>
                    <w:snapToGrid w:val="0"/>
                    <w:spacing w:before="60" w:after="60"/>
                    <w:jc w:val="center"/>
                    <w:rPr>
                      <w:color w:val="auto"/>
                      <w:szCs w:val="21"/>
                    </w:rPr>
                  </w:pPr>
                  <w:r>
                    <w:rPr>
                      <w:rFonts w:hint="eastAsia"/>
                      <w:color w:val="auto"/>
                      <w:szCs w:val="21"/>
                    </w:rPr>
                    <w:t>4</w:t>
                  </w:r>
                </w:p>
              </w:tc>
              <w:tc>
                <w:tcPr>
                  <w:tcW w:w="711" w:type="dxa"/>
                  <w:tcBorders>
                    <w:tl2br w:val="nil"/>
                    <w:tr2bl w:val="nil"/>
                  </w:tcBorders>
                  <w:noWrap/>
                  <w:vAlign w:val="center"/>
                </w:tcPr>
                <w:p w14:paraId="5B22CB76">
                  <w:pPr>
                    <w:adjustRightInd w:val="0"/>
                    <w:snapToGrid w:val="0"/>
                    <w:spacing w:before="60" w:after="60"/>
                    <w:jc w:val="center"/>
                    <w:rPr>
                      <w:color w:val="auto"/>
                      <w:szCs w:val="21"/>
                    </w:rPr>
                  </w:pPr>
                  <w:r>
                    <w:rPr>
                      <w:rFonts w:hint="eastAsia"/>
                      <w:color w:val="auto"/>
                      <w:szCs w:val="21"/>
                    </w:rPr>
                    <w:t>废脱碳膜</w:t>
                  </w:r>
                </w:p>
              </w:tc>
              <w:tc>
                <w:tcPr>
                  <w:tcW w:w="645" w:type="dxa"/>
                  <w:tcBorders>
                    <w:tl2br w:val="nil"/>
                    <w:tr2bl w:val="nil"/>
                  </w:tcBorders>
                  <w:noWrap/>
                  <w:vAlign w:val="center"/>
                </w:tcPr>
                <w:p w14:paraId="0DAE0AA1">
                  <w:pPr>
                    <w:adjustRightInd w:val="0"/>
                    <w:snapToGrid w:val="0"/>
                    <w:spacing w:before="60" w:after="60"/>
                    <w:jc w:val="center"/>
                    <w:rPr>
                      <w:color w:val="auto"/>
                      <w:szCs w:val="21"/>
                    </w:rPr>
                  </w:pPr>
                  <w:r>
                    <w:rPr>
                      <w:rFonts w:hint="eastAsia"/>
                      <w:color w:val="auto"/>
                      <w:szCs w:val="21"/>
                    </w:rPr>
                    <w:t>沼气脱碳</w:t>
                  </w:r>
                </w:p>
              </w:tc>
              <w:tc>
                <w:tcPr>
                  <w:tcW w:w="602" w:type="dxa"/>
                  <w:tcBorders>
                    <w:tl2br w:val="nil"/>
                    <w:tr2bl w:val="nil"/>
                  </w:tcBorders>
                  <w:noWrap/>
                  <w:vAlign w:val="center"/>
                </w:tcPr>
                <w:p w14:paraId="71898926">
                  <w:pPr>
                    <w:adjustRightInd w:val="0"/>
                    <w:snapToGrid w:val="0"/>
                    <w:spacing w:before="60" w:after="60"/>
                    <w:jc w:val="center"/>
                    <w:rPr>
                      <w:color w:val="auto"/>
                      <w:szCs w:val="21"/>
                    </w:rPr>
                  </w:pPr>
                  <w:r>
                    <w:rPr>
                      <w:rFonts w:hint="eastAsia"/>
                      <w:color w:val="auto"/>
                      <w:szCs w:val="21"/>
                    </w:rPr>
                    <w:t>一般固废</w:t>
                  </w:r>
                </w:p>
              </w:tc>
              <w:tc>
                <w:tcPr>
                  <w:tcW w:w="1023" w:type="dxa"/>
                  <w:tcBorders>
                    <w:tl2br w:val="nil"/>
                    <w:tr2bl w:val="nil"/>
                  </w:tcBorders>
                  <w:noWrap/>
                  <w:vAlign w:val="center"/>
                </w:tcPr>
                <w:p w14:paraId="5922F4F3">
                  <w:pPr>
                    <w:adjustRightInd w:val="0"/>
                    <w:snapToGrid w:val="0"/>
                    <w:spacing w:before="60" w:after="60"/>
                    <w:jc w:val="center"/>
                    <w:rPr>
                      <w:color w:val="auto"/>
                    </w:rPr>
                  </w:pPr>
                  <w:r>
                    <w:rPr>
                      <w:color w:val="auto"/>
                      <w:spacing w:val="-1"/>
                    </w:rPr>
                    <w:t>900-999-99</w:t>
                  </w:r>
                </w:p>
              </w:tc>
              <w:tc>
                <w:tcPr>
                  <w:tcW w:w="591" w:type="dxa"/>
                  <w:tcBorders>
                    <w:tl2br w:val="nil"/>
                    <w:tr2bl w:val="nil"/>
                  </w:tcBorders>
                  <w:noWrap/>
                  <w:vAlign w:val="center"/>
                </w:tcPr>
                <w:p w14:paraId="29848FF9">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5A4BC2BA">
                  <w:pPr>
                    <w:adjustRightInd w:val="0"/>
                    <w:snapToGrid w:val="0"/>
                    <w:spacing w:before="60" w:after="60"/>
                    <w:jc w:val="center"/>
                    <w:rPr>
                      <w:color w:val="auto"/>
                      <w:szCs w:val="21"/>
                    </w:rPr>
                  </w:pPr>
                  <w:r>
                    <w:rPr>
                      <w:rFonts w:hint="eastAsia"/>
                      <w:color w:val="auto"/>
                      <w:szCs w:val="21"/>
                    </w:rPr>
                    <w:t>/</w:t>
                  </w:r>
                </w:p>
              </w:tc>
              <w:tc>
                <w:tcPr>
                  <w:tcW w:w="461" w:type="dxa"/>
                  <w:tcBorders>
                    <w:tl2br w:val="nil"/>
                    <w:tr2bl w:val="nil"/>
                  </w:tcBorders>
                  <w:noWrap/>
                  <w:vAlign w:val="center"/>
                </w:tcPr>
                <w:p w14:paraId="54750A82">
                  <w:pPr>
                    <w:adjustRightInd w:val="0"/>
                    <w:snapToGrid w:val="0"/>
                    <w:spacing w:before="60" w:after="60"/>
                    <w:jc w:val="center"/>
                    <w:rPr>
                      <w:color w:val="auto"/>
                      <w:szCs w:val="21"/>
                    </w:rPr>
                  </w:pPr>
                  <w:r>
                    <w:rPr>
                      <w:rFonts w:hint="eastAsia"/>
                      <w:color w:val="auto"/>
                      <w:szCs w:val="21"/>
                    </w:rPr>
                    <w:t>/</w:t>
                  </w:r>
                </w:p>
              </w:tc>
              <w:tc>
                <w:tcPr>
                  <w:tcW w:w="820" w:type="dxa"/>
                  <w:tcBorders>
                    <w:tl2br w:val="nil"/>
                    <w:tr2bl w:val="nil"/>
                  </w:tcBorders>
                  <w:noWrap/>
                  <w:vAlign w:val="center"/>
                </w:tcPr>
                <w:p w14:paraId="1CB2C1F5">
                  <w:pPr>
                    <w:adjustRightInd w:val="0"/>
                    <w:snapToGrid w:val="0"/>
                    <w:spacing w:before="60" w:after="60"/>
                    <w:jc w:val="center"/>
                    <w:rPr>
                      <w:color w:val="auto"/>
                      <w:szCs w:val="21"/>
                    </w:rPr>
                  </w:pPr>
                  <w:r>
                    <w:rPr>
                      <w:rFonts w:hint="eastAsia"/>
                      <w:color w:val="auto"/>
                      <w:szCs w:val="21"/>
                    </w:rPr>
                    <w:t>0.05</w:t>
                  </w:r>
                </w:p>
              </w:tc>
              <w:tc>
                <w:tcPr>
                  <w:tcW w:w="656" w:type="dxa"/>
                  <w:tcBorders>
                    <w:tl2br w:val="nil"/>
                    <w:tr2bl w:val="nil"/>
                  </w:tcBorders>
                  <w:noWrap/>
                  <w:vAlign w:val="center"/>
                </w:tcPr>
                <w:p w14:paraId="4D0C3066">
                  <w:pPr>
                    <w:adjustRightInd w:val="0"/>
                    <w:snapToGrid w:val="0"/>
                    <w:spacing w:before="60" w:after="60"/>
                    <w:jc w:val="center"/>
                    <w:rPr>
                      <w:color w:val="auto"/>
                      <w:szCs w:val="21"/>
                    </w:rPr>
                  </w:pPr>
                  <w:r>
                    <w:rPr>
                      <w:color w:val="auto"/>
                      <w:szCs w:val="21"/>
                    </w:rPr>
                    <w:t>袋装，暂存于固废间</w:t>
                  </w:r>
                </w:p>
              </w:tc>
              <w:tc>
                <w:tcPr>
                  <w:tcW w:w="697" w:type="dxa"/>
                  <w:tcBorders>
                    <w:tl2br w:val="nil"/>
                    <w:tr2bl w:val="nil"/>
                  </w:tcBorders>
                  <w:noWrap/>
                  <w:vAlign w:val="center"/>
                </w:tcPr>
                <w:p w14:paraId="19F21A11">
                  <w:pPr>
                    <w:adjustRightInd w:val="0"/>
                    <w:snapToGrid w:val="0"/>
                    <w:spacing w:before="60" w:after="60"/>
                    <w:jc w:val="center"/>
                    <w:rPr>
                      <w:color w:val="auto"/>
                      <w:szCs w:val="21"/>
                    </w:rPr>
                  </w:pPr>
                  <w:r>
                    <w:rPr>
                      <w:rFonts w:hint="eastAsia"/>
                      <w:color w:val="auto"/>
                      <w:szCs w:val="21"/>
                    </w:rPr>
                    <w:t>厂家回收处理</w:t>
                  </w:r>
                </w:p>
              </w:tc>
              <w:tc>
                <w:tcPr>
                  <w:tcW w:w="667" w:type="dxa"/>
                  <w:tcBorders>
                    <w:tl2br w:val="nil"/>
                    <w:tr2bl w:val="nil"/>
                  </w:tcBorders>
                  <w:noWrap/>
                  <w:vAlign w:val="center"/>
                </w:tcPr>
                <w:p w14:paraId="122A031E">
                  <w:pPr>
                    <w:adjustRightInd w:val="0"/>
                    <w:snapToGrid w:val="0"/>
                    <w:spacing w:before="60" w:after="60"/>
                    <w:jc w:val="center"/>
                    <w:rPr>
                      <w:color w:val="auto"/>
                      <w:szCs w:val="21"/>
                    </w:rPr>
                  </w:pPr>
                  <w:r>
                    <w:rPr>
                      <w:rFonts w:hint="eastAsia"/>
                      <w:color w:val="auto"/>
                      <w:szCs w:val="21"/>
                    </w:rPr>
                    <w:t>0.05</w:t>
                  </w:r>
                </w:p>
              </w:tc>
            </w:tr>
            <w:tr w14:paraId="1F9A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6920FA7E">
                  <w:pPr>
                    <w:adjustRightInd w:val="0"/>
                    <w:snapToGrid w:val="0"/>
                    <w:spacing w:before="60" w:after="60"/>
                    <w:jc w:val="center"/>
                    <w:rPr>
                      <w:color w:val="auto"/>
                      <w:szCs w:val="21"/>
                    </w:rPr>
                  </w:pPr>
                  <w:r>
                    <w:rPr>
                      <w:rFonts w:hint="eastAsia"/>
                      <w:color w:val="auto"/>
                      <w:szCs w:val="21"/>
                    </w:rPr>
                    <w:t>5</w:t>
                  </w:r>
                </w:p>
              </w:tc>
              <w:tc>
                <w:tcPr>
                  <w:tcW w:w="711" w:type="dxa"/>
                  <w:tcBorders>
                    <w:tl2br w:val="nil"/>
                    <w:tr2bl w:val="nil"/>
                  </w:tcBorders>
                  <w:noWrap/>
                  <w:vAlign w:val="center"/>
                </w:tcPr>
                <w:p w14:paraId="62A79D8F">
                  <w:pPr>
                    <w:adjustRightInd w:val="0"/>
                    <w:snapToGrid w:val="0"/>
                    <w:spacing w:before="60" w:after="60"/>
                    <w:jc w:val="center"/>
                    <w:rPr>
                      <w:color w:val="auto"/>
                      <w:szCs w:val="21"/>
                    </w:rPr>
                  </w:pPr>
                  <w:r>
                    <w:rPr>
                      <w:rFonts w:hint="eastAsia"/>
                      <w:color w:val="auto"/>
                      <w:szCs w:val="21"/>
                    </w:rPr>
                    <w:t>滤渣和废过滤膜</w:t>
                  </w:r>
                </w:p>
              </w:tc>
              <w:tc>
                <w:tcPr>
                  <w:tcW w:w="645" w:type="dxa"/>
                  <w:tcBorders>
                    <w:tl2br w:val="nil"/>
                    <w:tr2bl w:val="nil"/>
                  </w:tcBorders>
                  <w:noWrap/>
                  <w:vAlign w:val="center"/>
                </w:tcPr>
                <w:p w14:paraId="4D3E8F40">
                  <w:pPr>
                    <w:adjustRightInd w:val="0"/>
                    <w:snapToGrid w:val="0"/>
                    <w:spacing w:before="60" w:after="60"/>
                    <w:jc w:val="center"/>
                    <w:rPr>
                      <w:color w:val="auto"/>
                      <w:szCs w:val="21"/>
                    </w:rPr>
                  </w:pPr>
                  <w:r>
                    <w:rPr>
                      <w:rFonts w:hint="eastAsia"/>
                      <w:color w:val="auto"/>
                      <w:szCs w:val="21"/>
                    </w:rPr>
                    <w:t>过滤粉尘</w:t>
                  </w:r>
                </w:p>
              </w:tc>
              <w:tc>
                <w:tcPr>
                  <w:tcW w:w="602" w:type="dxa"/>
                  <w:tcBorders>
                    <w:tl2br w:val="nil"/>
                    <w:tr2bl w:val="nil"/>
                  </w:tcBorders>
                  <w:noWrap/>
                  <w:vAlign w:val="center"/>
                </w:tcPr>
                <w:p w14:paraId="57E9DFA9">
                  <w:pPr>
                    <w:adjustRightInd w:val="0"/>
                    <w:snapToGrid w:val="0"/>
                    <w:spacing w:before="60" w:after="60"/>
                    <w:jc w:val="center"/>
                    <w:rPr>
                      <w:color w:val="auto"/>
                      <w:szCs w:val="21"/>
                    </w:rPr>
                  </w:pPr>
                  <w:r>
                    <w:rPr>
                      <w:rFonts w:hint="eastAsia"/>
                      <w:color w:val="auto"/>
                      <w:szCs w:val="21"/>
                    </w:rPr>
                    <w:t>一般固废</w:t>
                  </w:r>
                </w:p>
              </w:tc>
              <w:tc>
                <w:tcPr>
                  <w:tcW w:w="1023" w:type="dxa"/>
                  <w:tcBorders>
                    <w:tl2br w:val="nil"/>
                    <w:tr2bl w:val="nil"/>
                  </w:tcBorders>
                  <w:noWrap/>
                  <w:vAlign w:val="center"/>
                </w:tcPr>
                <w:p w14:paraId="2B9AC05E">
                  <w:pPr>
                    <w:adjustRightInd w:val="0"/>
                    <w:snapToGrid w:val="0"/>
                    <w:spacing w:before="60" w:after="60"/>
                    <w:jc w:val="center"/>
                    <w:rPr>
                      <w:color w:val="auto"/>
                    </w:rPr>
                  </w:pPr>
                  <w:r>
                    <w:rPr>
                      <w:color w:val="auto"/>
                      <w:spacing w:val="-1"/>
                    </w:rPr>
                    <w:t>900-999-99</w:t>
                  </w:r>
                </w:p>
              </w:tc>
              <w:tc>
                <w:tcPr>
                  <w:tcW w:w="591" w:type="dxa"/>
                  <w:tcBorders>
                    <w:tl2br w:val="nil"/>
                    <w:tr2bl w:val="nil"/>
                  </w:tcBorders>
                  <w:noWrap/>
                  <w:vAlign w:val="center"/>
                </w:tcPr>
                <w:p w14:paraId="500BEEB8">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2C9E472C">
                  <w:pPr>
                    <w:adjustRightInd w:val="0"/>
                    <w:snapToGrid w:val="0"/>
                    <w:spacing w:before="60" w:after="60"/>
                    <w:jc w:val="center"/>
                    <w:rPr>
                      <w:color w:val="auto"/>
                      <w:szCs w:val="21"/>
                    </w:rPr>
                  </w:pPr>
                  <w:r>
                    <w:rPr>
                      <w:rFonts w:hint="eastAsia"/>
                      <w:color w:val="auto"/>
                      <w:szCs w:val="21"/>
                    </w:rPr>
                    <w:t>/</w:t>
                  </w:r>
                </w:p>
              </w:tc>
              <w:tc>
                <w:tcPr>
                  <w:tcW w:w="461" w:type="dxa"/>
                  <w:tcBorders>
                    <w:tl2br w:val="nil"/>
                    <w:tr2bl w:val="nil"/>
                  </w:tcBorders>
                  <w:noWrap/>
                  <w:vAlign w:val="center"/>
                </w:tcPr>
                <w:p w14:paraId="3AAED658">
                  <w:pPr>
                    <w:adjustRightInd w:val="0"/>
                    <w:snapToGrid w:val="0"/>
                    <w:spacing w:before="60" w:after="60"/>
                    <w:jc w:val="center"/>
                    <w:rPr>
                      <w:color w:val="auto"/>
                      <w:szCs w:val="21"/>
                    </w:rPr>
                  </w:pPr>
                  <w:r>
                    <w:rPr>
                      <w:rFonts w:hint="eastAsia"/>
                      <w:color w:val="auto"/>
                      <w:szCs w:val="21"/>
                    </w:rPr>
                    <w:t>/</w:t>
                  </w:r>
                </w:p>
              </w:tc>
              <w:tc>
                <w:tcPr>
                  <w:tcW w:w="820" w:type="dxa"/>
                  <w:tcBorders>
                    <w:tl2br w:val="nil"/>
                    <w:tr2bl w:val="nil"/>
                  </w:tcBorders>
                  <w:noWrap/>
                  <w:vAlign w:val="center"/>
                </w:tcPr>
                <w:p w14:paraId="79CB6D6A">
                  <w:pPr>
                    <w:adjustRightInd w:val="0"/>
                    <w:snapToGrid w:val="0"/>
                    <w:spacing w:before="60" w:after="60"/>
                    <w:jc w:val="center"/>
                    <w:rPr>
                      <w:color w:val="auto"/>
                      <w:szCs w:val="21"/>
                    </w:rPr>
                  </w:pPr>
                  <w:r>
                    <w:rPr>
                      <w:rFonts w:hint="eastAsia"/>
                      <w:color w:val="auto"/>
                      <w:szCs w:val="21"/>
                    </w:rPr>
                    <w:t>0.05</w:t>
                  </w:r>
                </w:p>
              </w:tc>
              <w:tc>
                <w:tcPr>
                  <w:tcW w:w="656" w:type="dxa"/>
                  <w:tcBorders>
                    <w:tl2br w:val="nil"/>
                    <w:tr2bl w:val="nil"/>
                  </w:tcBorders>
                  <w:noWrap/>
                  <w:vAlign w:val="center"/>
                </w:tcPr>
                <w:p w14:paraId="17A96A0E">
                  <w:pPr>
                    <w:adjustRightInd w:val="0"/>
                    <w:snapToGrid w:val="0"/>
                    <w:spacing w:before="60" w:after="60"/>
                    <w:jc w:val="center"/>
                    <w:rPr>
                      <w:color w:val="auto"/>
                      <w:szCs w:val="21"/>
                    </w:rPr>
                  </w:pPr>
                  <w:r>
                    <w:rPr>
                      <w:color w:val="auto"/>
                      <w:szCs w:val="21"/>
                    </w:rPr>
                    <w:t>袋装，暂存于固废间</w:t>
                  </w:r>
                </w:p>
              </w:tc>
              <w:tc>
                <w:tcPr>
                  <w:tcW w:w="697" w:type="dxa"/>
                  <w:tcBorders>
                    <w:tl2br w:val="nil"/>
                    <w:tr2bl w:val="nil"/>
                  </w:tcBorders>
                  <w:noWrap/>
                  <w:vAlign w:val="center"/>
                </w:tcPr>
                <w:p w14:paraId="58C1BD42">
                  <w:pPr>
                    <w:adjustRightInd w:val="0"/>
                    <w:snapToGrid w:val="0"/>
                    <w:spacing w:before="60" w:after="60"/>
                    <w:jc w:val="center"/>
                    <w:rPr>
                      <w:color w:val="auto"/>
                      <w:szCs w:val="21"/>
                    </w:rPr>
                  </w:pPr>
                  <w:r>
                    <w:rPr>
                      <w:rFonts w:hint="eastAsia"/>
                      <w:color w:val="auto"/>
                      <w:szCs w:val="21"/>
                    </w:rPr>
                    <w:t>厂家回收处理</w:t>
                  </w:r>
                </w:p>
              </w:tc>
              <w:tc>
                <w:tcPr>
                  <w:tcW w:w="667" w:type="dxa"/>
                  <w:tcBorders>
                    <w:tl2br w:val="nil"/>
                    <w:tr2bl w:val="nil"/>
                  </w:tcBorders>
                  <w:noWrap/>
                  <w:vAlign w:val="center"/>
                </w:tcPr>
                <w:p w14:paraId="642BD654">
                  <w:pPr>
                    <w:adjustRightInd w:val="0"/>
                    <w:snapToGrid w:val="0"/>
                    <w:spacing w:before="60" w:after="60"/>
                    <w:jc w:val="center"/>
                    <w:rPr>
                      <w:color w:val="auto"/>
                      <w:szCs w:val="21"/>
                    </w:rPr>
                  </w:pPr>
                  <w:r>
                    <w:rPr>
                      <w:rFonts w:hint="eastAsia"/>
                      <w:color w:val="auto"/>
                      <w:szCs w:val="21"/>
                    </w:rPr>
                    <w:t>0.05</w:t>
                  </w:r>
                </w:p>
              </w:tc>
            </w:tr>
            <w:tr w14:paraId="4902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6BA81830">
                  <w:pPr>
                    <w:adjustRightInd w:val="0"/>
                    <w:snapToGrid w:val="0"/>
                    <w:spacing w:before="60" w:after="60"/>
                    <w:jc w:val="center"/>
                    <w:rPr>
                      <w:color w:val="auto"/>
                      <w:szCs w:val="21"/>
                    </w:rPr>
                  </w:pPr>
                  <w:r>
                    <w:rPr>
                      <w:rFonts w:hint="eastAsia"/>
                      <w:color w:val="auto"/>
                      <w:szCs w:val="21"/>
                    </w:rPr>
                    <w:t>6</w:t>
                  </w:r>
                </w:p>
              </w:tc>
              <w:tc>
                <w:tcPr>
                  <w:tcW w:w="711" w:type="dxa"/>
                  <w:tcBorders>
                    <w:tl2br w:val="nil"/>
                    <w:tr2bl w:val="nil"/>
                  </w:tcBorders>
                  <w:noWrap/>
                  <w:vAlign w:val="center"/>
                </w:tcPr>
                <w:p w14:paraId="4D64B53C">
                  <w:pPr>
                    <w:adjustRightInd w:val="0"/>
                    <w:snapToGrid w:val="0"/>
                    <w:spacing w:before="60" w:after="60"/>
                    <w:jc w:val="center"/>
                    <w:rPr>
                      <w:color w:val="auto"/>
                      <w:szCs w:val="21"/>
                    </w:rPr>
                  </w:pPr>
                  <w:r>
                    <w:rPr>
                      <w:rFonts w:hint="eastAsia"/>
                      <w:color w:val="auto"/>
                      <w:szCs w:val="21"/>
                    </w:rPr>
                    <w:t>废包装网</w:t>
                  </w:r>
                </w:p>
              </w:tc>
              <w:tc>
                <w:tcPr>
                  <w:tcW w:w="645" w:type="dxa"/>
                  <w:tcBorders>
                    <w:tl2br w:val="nil"/>
                    <w:tr2bl w:val="nil"/>
                  </w:tcBorders>
                  <w:noWrap/>
                  <w:vAlign w:val="center"/>
                </w:tcPr>
                <w:p w14:paraId="170A0A41">
                  <w:pPr>
                    <w:adjustRightInd w:val="0"/>
                    <w:snapToGrid w:val="0"/>
                    <w:spacing w:before="60" w:after="60"/>
                    <w:jc w:val="center"/>
                    <w:rPr>
                      <w:color w:val="auto"/>
                      <w:szCs w:val="21"/>
                    </w:rPr>
                  </w:pPr>
                  <w:r>
                    <w:rPr>
                      <w:rFonts w:hint="eastAsia"/>
                      <w:color w:val="auto"/>
                      <w:szCs w:val="21"/>
                    </w:rPr>
                    <w:t>破碎</w:t>
                  </w:r>
                </w:p>
              </w:tc>
              <w:tc>
                <w:tcPr>
                  <w:tcW w:w="602" w:type="dxa"/>
                  <w:tcBorders>
                    <w:tl2br w:val="nil"/>
                    <w:tr2bl w:val="nil"/>
                  </w:tcBorders>
                  <w:noWrap/>
                  <w:vAlign w:val="center"/>
                </w:tcPr>
                <w:p w14:paraId="3FFD1758">
                  <w:pPr>
                    <w:adjustRightInd w:val="0"/>
                    <w:snapToGrid w:val="0"/>
                    <w:spacing w:before="60" w:after="60"/>
                    <w:jc w:val="center"/>
                    <w:rPr>
                      <w:color w:val="auto"/>
                      <w:szCs w:val="21"/>
                    </w:rPr>
                  </w:pPr>
                  <w:r>
                    <w:rPr>
                      <w:rFonts w:hint="eastAsia"/>
                      <w:color w:val="auto"/>
                      <w:szCs w:val="21"/>
                    </w:rPr>
                    <w:t>一般固废</w:t>
                  </w:r>
                </w:p>
              </w:tc>
              <w:tc>
                <w:tcPr>
                  <w:tcW w:w="1023" w:type="dxa"/>
                  <w:tcBorders>
                    <w:tl2br w:val="nil"/>
                    <w:tr2bl w:val="nil"/>
                  </w:tcBorders>
                  <w:noWrap/>
                  <w:vAlign w:val="center"/>
                </w:tcPr>
                <w:p w14:paraId="6704CEC5">
                  <w:pPr>
                    <w:adjustRightInd w:val="0"/>
                    <w:snapToGrid w:val="0"/>
                    <w:spacing w:before="60" w:after="60"/>
                    <w:jc w:val="center"/>
                    <w:rPr>
                      <w:color w:val="auto"/>
                      <w:spacing w:val="-1"/>
                    </w:rPr>
                  </w:pPr>
                  <w:r>
                    <w:rPr>
                      <w:color w:val="auto"/>
                      <w:spacing w:val="-1"/>
                    </w:rPr>
                    <w:t>900-999-99</w:t>
                  </w:r>
                </w:p>
              </w:tc>
              <w:tc>
                <w:tcPr>
                  <w:tcW w:w="591" w:type="dxa"/>
                  <w:tcBorders>
                    <w:tl2br w:val="nil"/>
                    <w:tr2bl w:val="nil"/>
                  </w:tcBorders>
                  <w:noWrap/>
                  <w:vAlign w:val="center"/>
                </w:tcPr>
                <w:p w14:paraId="7B6E6562">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58B88545">
                  <w:pPr>
                    <w:adjustRightInd w:val="0"/>
                    <w:snapToGrid w:val="0"/>
                    <w:spacing w:before="60" w:after="60"/>
                    <w:jc w:val="center"/>
                    <w:rPr>
                      <w:color w:val="auto"/>
                      <w:szCs w:val="21"/>
                    </w:rPr>
                  </w:pPr>
                  <w:r>
                    <w:rPr>
                      <w:rFonts w:hint="eastAsia"/>
                      <w:color w:val="auto"/>
                      <w:szCs w:val="21"/>
                    </w:rPr>
                    <w:t>聚丙烯塑料</w:t>
                  </w:r>
                </w:p>
              </w:tc>
              <w:tc>
                <w:tcPr>
                  <w:tcW w:w="461" w:type="dxa"/>
                  <w:tcBorders>
                    <w:tl2br w:val="nil"/>
                    <w:tr2bl w:val="nil"/>
                  </w:tcBorders>
                  <w:noWrap/>
                  <w:vAlign w:val="center"/>
                </w:tcPr>
                <w:p w14:paraId="7DDFAB7D">
                  <w:pPr>
                    <w:adjustRightInd w:val="0"/>
                    <w:snapToGrid w:val="0"/>
                    <w:spacing w:before="60" w:after="60"/>
                    <w:jc w:val="center"/>
                    <w:rPr>
                      <w:color w:val="auto"/>
                      <w:szCs w:val="21"/>
                    </w:rPr>
                  </w:pPr>
                  <w:r>
                    <w:rPr>
                      <w:rFonts w:hint="eastAsia"/>
                      <w:color w:val="auto"/>
                      <w:szCs w:val="21"/>
                    </w:rPr>
                    <w:t>/</w:t>
                  </w:r>
                </w:p>
              </w:tc>
              <w:tc>
                <w:tcPr>
                  <w:tcW w:w="820" w:type="dxa"/>
                  <w:tcBorders>
                    <w:tl2br w:val="nil"/>
                    <w:tr2bl w:val="nil"/>
                  </w:tcBorders>
                  <w:noWrap/>
                  <w:vAlign w:val="center"/>
                </w:tcPr>
                <w:p w14:paraId="64732E14">
                  <w:pPr>
                    <w:adjustRightInd w:val="0"/>
                    <w:snapToGrid w:val="0"/>
                    <w:spacing w:before="60" w:after="60"/>
                    <w:jc w:val="center"/>
                    <w:rPr>
                      <w:color w:val="auto"/>
                      <w:szCs w:val="21"/>
                    </w:rPr>
                  </w:pPr>
                  <w:r>
                    <w:rPr>
                      <w:rFonts w:hint="eastAsia"/>
                      <w:color w:val="auto"/>
                      <w:szCs w:val="21"/>
                    </w:rPr>
                    <w:t>1.5</w:t>
                  </w:r>
                </w:p>
              </w:tc>
              <w:tc>
                <w:tcPr>
                  <w:tcW w:w="656" w:type="dxa"/>
                  <w:tcBorders>
                    <w:tl2br w:val="nil"/>
                    <w:tr2bl w:val="nil"/>
                  </w:tcBorders>
                  <w:noWrap/>
                  <w:vAlign w:val="center"/>
                </w:tcPr>
                <w:p w14:paraId="6B8292A4">
                  <w:pPr>
                    <w:adjustRightInd w:val="0"/>
                    <w:snapToGrid w:val="0"/>
                    <w:spacing w:before="60" w:after="60"/>
                    <w:jc w:val="center"/>
                    <w:rPr>
                      <w:color w:val="auto"/>
                      <w:szCs w:val="21"/>
                    </w:rPr>
                  </w:pPr>
                  <w:r>
                    <w:rPr>
                      <w:color w:val="auto"/>
                      <w:szCs w:val="21"/>
                    </w:rPr>
                    <w:t>袋装，暂存于固废间</w:t>
                  </w:r>
                </w:p>
              </w:tc>
              <w:tc>
                <w:tcPr>
                  <w:tcW w:w="697" w:type="dxa"/>
                  <w:tcBorders>
                    <w:tl2br w:val="nil"/>
                    <w:tr2bl w:val="nil"/>
                  </w:tcBorders>
                  <w:noWrap/>
                  <w:vAlign w:val="center"/>
                </w:tcPr>
                <w:p w14:paraId="5272C507">
                  <w:pPr>
                    <w:adjustRightInd w:val="0"/>
                    <w:snapToGrid w:val="0"/>
                    <w:spacing w:before="60" w:after="60"/>
                    <w:jc w:val="center"/>
                    <w:rPr>
                      <w:color w:val="auto"/>
                      <w:szCs w:val="21"/>
                    </w:rPr>
                  </w:pPr>
                  <w:r>
                    <w:rPr>
                      <w:rFonts w:hint="eastAsia"/>
                      <w:color w:val="auto"/>
                      <w:szCs w:val="21"/>
                    </w:rPr>
                    <w:t>外售综合利用</w:t>
                  </w:r>
                </w:p>
              </w:tc>
              <w:tc>
                <w:tcPr>
                  <w:tcW w:w="667" w:type="dxa"/>
                  <w:tcBorders>
                    <w:tl2br w:val="nil"/>
                    <w:tr2bl w:val="nil"/>
                  </w:tcBorders>
                  <w:noWrap/>
                  <w:vAlign w:val="center"/>
                </w:tcPr>
                <w:p w14:paraId="3099D2C8">
                  <w:pPr>
                    <w:adjustRightInd w:val="0"/>
                    <w:snapToGrid w:val="0"/>
                    <w:spacing w:before="60" w:after="60"/>
                    <w:jc w:val="center"/>
                    <w:rPr>
                      <w:color w:val="auto"/>
                      <w:szCs w:val="21"/>
                    </w:rPr>
                  </w:pPr>
                  <w:r>
                    <w:rPr>
                      <w:rFonts w:hint="eastAsia"/>
                      <w:color w:val="auto"/>
                      <w:szCs w:val="21"/>
                    </w:rPr>
                    <w:t>1.5</w:t>
                  </w:r>
                </w:p>
              </w:tc>
            </w:tr>
            <w:tr w14:paraId="08E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5AD4E70B">
                  <w:pPr>
                    <w:adjustRightInd w:val="0"/>
                    <w:snapToGrid w:val="0"/>
                    <w:spacing w:before="60" w:after="60"/>
                    <w:jc w:val="center"/>
                    <w:rPr>
                      <w:color w:val="auto"/>
                      <w:szCs w:val="21"/>
                    </w:rPr>
                  </w:pPr>
                  <w:r>
                    <w:rPr>
                      <w:rFonts w:hint="eastAsia"/>
                      <w:color w:val="auto"/>
                      <w:szCs w:val="21"/>
                    </w:rPr>
                    <w:t>7</w:t>
                  </w:r>
                </w:p>
              </w:tc>
              <w:tc>
                <w:tcPr>
                  <w:tcW w:w="711" w:type="dxa"/>
                  <w:tcBorders>
                    <w:tl2br w:val="nil"/>
                    <w:tr2bl w:val="nil"/>
                  </w:tcBorders>
                  <w:noWrap/>
                  <w:vAlign w:val="center"/>
                </w:tcPr>
                <w:p w14:paraId="1EA78451">
                  <w:pPr>
                    <w:adjustRightInd w:val="0"/>
                    <w:snapToGrid w:val="0"/>
                    <w:spacing w:before="60" w:after="60"/>
                    <w:jc w:val="center"/>
                    <w:rPr>
                      <w:color w:val="auto"/>
                      <w:szCs w:val="21"/>
                    </w:rPr>
                  </w:pPr>
                  <w:r>
                    <w:rPr>
                      <w:rFonts w:hint="eastAsia"/>
                      <w:color w:val="auto"/>
                      <w:szCs w:val="21"/>
                    </w:rPr>
                    <w:t>废含油抹布、手套</w:t>
                  </w:r>
                </w:p>
              </w:tc>
              <w:tc>
                <w:tcPr>
                  <w:tcW w:w="645" w:type="dxa"/>
                  <w:tcBorders>
                    <w:tl2br w:val="nil"/>
                    <w:tr2bl w:val="nil"/>
                  </w:tcBorders>
                  <w:noWrap/>
                  <w:vAlign w:val="center"/>
                </w:tcPr>
                <w:p w14:paraId="4D1D1BC7">
                  <w:pPr>
                    <w:adjustRightInd w:val="0"/>
                    <w:snapToGrid w:val="0"/>
                    <w:spacing w:before="60" w:after="60"/>
                    <w:jc w:val="center"/>
                    <w:rPr>
                      <w:color w:val="auto"/>
                      <w:szCs w:val="21"/>
                    </w:rPr>
                  </w:pPr>
                  <w:r>
                    <w:rPr>
                      <w:rFonts w:hint="eastAsia"/>
                      <w:color w:val="auto"/>
                      <w:szCs w:val="21"/>
                    </w:rPr>
                    <w:t>机器保养</w:t>
                  </w:r>
                </w:p>
              </w:tc>
              <w:tc>
                <w:tcPr>
                  <w:tcW w:w="602" w:type="dxa"/>
                  <w:tcBorders>
                    <w:tl2br w:val="nil"/>
                    <w:tr2bl w:val="nil"/>
                  </w:tcBorders>
                  <w:noWrap/>
                  <w:vAlign w:val="center"/>
                </w:tcPr>
                <w:p w14:paraId="0351E137">
                  <w:pPr>
                    <w:adjustRightInd w:val="0"/>
                    <w:snapToGrid w:val="0"/>
                    <w:spacing w:before="60" w:after="60"/>
                    <w:jc w:val="center"/>
                    <w:rPr>
                      <w:color w:val="auto"/>
                      <w:szCs w:val="21"/>
                    </w:rPr>
                  </w:pPr>
                  <w:r>
                    <w:rPr>
                      <w:rFonts w:hint="eastAsia"/>
                      <w:color w:val="auto"/>
                      <w:szCs w:val="21"/>
                    </w:rPr>
                    <w:t>危险废物</w:t>
                  </w:r>
                </w:p>
              </w:tc>
              <w:tc>
                <w:tcPr>
                  <w:tcW w:w="1023" w:type="dxa"/>
                  <w:tcBorders>
                    <w:tl2br w:val="nil"/>
                    <w:tr2bl w:val="nil"/>
                  </w:tcBorders>
                  <w:noWrap/>
                  <w:vAlign w:val="center"/>
                </w:tcPr>
                <w:p w14:paraId="1D9B28F8">
                  <w:pPr>
                    <w:adjustRightInd w:val="0"/>
                    <w:snapToGrid w:val="0"/>
                    <w:spacing w:before="60" w:after="60"/>
                    <w:jc w:val="center"/>
                    <w:rPr>
                      <w:color w:val="auto"/>
                      <w:szCs w:val="21"/>
                    </w:rPr>
                  </w:pPr>
                  <w:r>
                    <w:rPr>
                      <w:color w:val="auto"/>
                      <w:szCs w:val="21"/>
                    </w:rPr>
                    <w:t>HW08</w:t>
                  </w:r>
                </w:p>
                <w:p w14:paraId="687F4253">
                  <w:pPr>
                    <w:adjustRightInd w:val="0"/>
                    <w:snapToGrid w:val="0"/>
                    <w:spacing w:before="60" w:after="60"/>
                    <w:jc w:val="center"/>
                    <w:rPr>
                      <w:color w:val="auto"/>
                      <w:spacing w:val="-1"/>
                    </w:rPr>
                  </w:pPr>
                  <w:r>
                    <w:rPr>
                      <w:color w:val="auto"/>
                      <w:kern w:val="0"/>
                      <w:szCs w:val="21"/>
                    </w:rPr>
                    <w:t>900-249-08</w:t>
                  </w:r>
                </w:p>
              </w:tc>
              <w:tc>
                <w:tcPr>
                  <w:tcW w:w="591" w:type="dxa"/>
                  <w:tcBorders>
                    <w:tl2br w:val="nil"/>
                    <w:tr2bl w:val="nil"/>
                  </w:tcBorders>
                  <w:noWrap/>
                  <w:vAlign w:val="center"/>
                </w:tcPr>
                <w:p w14:paraId="4E2D2D89">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46E8EE62">
                  <w:pPr>
                    <w:adjustRightInd w:val="0"/>
                    <w:snapToGrid w:val="0"/>
                    <w:spacing w:before="60" w:after="60"/>
                    <w:jc w:val="center"/>
                    <w:rPr>
                      <w:color w:val="auto"/>
                      <w:szCs w:val="21"/>
                    </w:rPr>
                  </w:pPr>
                  <w:r>
                    <w:rPr>
                      <w:color w:val="auto"/>
                      <w:szCs w:val="21"/>
                    </w:rPr>
                    <w:t>废油</w:t>
                  </w:r>
                </w:p>
              </w:tc>
              <w:tc>
                <w:tcPr>
                  <w:tcW w:w="461" w:type="dxa"/>
                  <w:tcBorders>
                    <w:tl2br w:val="nil"/>
                    <w:tr2bl w:val="nil"/>
                  </w:tcBorders>
                  <w:noWrap/>
                  <w:vAlign w:val="center"/>
                </w:tcPr>
                <w:p w14:paraId="02919980">
                  <w:pPr>
                    <w:adjustRightInd w:val="0"/>
                    <w:snapToGrid w:val="0"/>
                    <w:spacing w:before="60" w:after="60"/>
                    <w:jc w:val="center"/>
                    <w:rPr>
                      <w:color w:val="auto"/>
                      <w:szCs w:val="21"/>
                    </w:rPr>
                  </w:pPr>
                  <w:r>
                    <w:rPr>
                      <w:color w:val="auto"/>
                      <w:szCs w:val="21"/>
                    </w:rPr>
                    <w:t>T，I</w:t>
                  </w:r>
                </w:p>
              </w:tc>
              <w:tc>
                <w:tcPr>
                  <w:tcW w:w="820" w:type="dxa"/>
                  <w:tcBorders>
                    <w:tl2br w:val="nil"/>
                    <w:tr2bl w:val="nil"/>
                  </w:tcBorders>
                  <w:noWrap/>
                  <w:vAlign w:val="center"/>
                </w:tcPr>
                <w:p w14:paraId="68007D0C">
                  <w:pPr>
                    <w:adjustRightInd w:val="0"/>
                    <w:snapToGrid w:val="0"/>
                    <w:spacing w:before="60" w:after="60"/>
                    <w:jc w:val="center"/>
                    <w:rPr>
                      <w:color w:val="auto"/>
                      <w:szCs w:val="21"/>
                    </w:rPr>
                  </w:pPr>
                  <w:r>
                    <w:rPr>
                      <w:rFonts w:hint="eastAsia"/>
                      <w:color w:val="auto"/>
                      <w:szCs w:val="21"/>
                    </w:rPr>
                    <w:t>0.01</w:t>
                  </w:r>
                </w:p>
              </w:tc>
              <w:tc>
                <w:tcPr>
                  <w:tcW w:w="656" w:type="dxa"/>
                  <w:tcBorders>
                    <w:tl2br w:val="nil"/>
                    <w:tr2bl w:val="nil"/>
                  </w:tcBorders>
                  <w:noWrap/>
                  <w:vAlign w:val="center"/>
                </w:tcPr>
                <w:p w14:paraId="3F9B84B5">
                  <w:pPr>
                    <w:adjustRightInd w:val="0"/>
                    <w:snapToGrid w:val="0"/>
                    <w:spacing w:before="60" w:after="60"/>
                    <w:jc w:val="center"/>
                    <w:rPr>
                      <w:color w:val="auto"/>
                      <w:szCs w:val="21"/>
                    </w:rPr>
                  </w:pPr>
                  <w:r>
                    <w:rPr>
                      <w:rFonts w:hint="eastAsia"/>
                      <w:color w:val="auto"/>
                      <w:szCs w:val="21"/>
                    </w:rPr>
                    <w:t>/</w:t>
                  </w:r>
                </w:p>
              </w:tc>
              <w:tc>
                <w:tcPr>
                  <w:tcW w:w="697" w:type="dxa"/>
                  <w:tcBorders>
                    <w:tl2br w:val="nil"/>
                    <w:tr2bl w:val="nil"/>
                  </w:tcBorders>
                  <w:noWrap/>
                  <w:vAlign w:val="center"/>
                </w:tcPr>
                <w:p w14:paraId="41D41D8E">
                  <w:pPr>
                    <w:adjustRightInd w:val="0"/>
                    <w:snapToGrid w:val="0"/>
                    <w:spacing w:before="60" w:after="60"/>
                    <w:jc w:val="center"/>
                    <w:rPr>
                      <w:color w:val="auto"/>
                      <w:szCs w:val="21"/>
                    </w:rPr>
                  </w:pPr>
                  <w:r>
                    <w:rPr>
                      <w:rFonts w:hint="eastAsia"/>
                      <w:color w:val="auto"/>
                      <w:szCs w:val="21"/>
                    </w:rPr>
                    <w:t>环卫部门回收</w:t>
                  </w:r>
                </w:p>
              </w:tc>
              <w:tc>
                <w:tcPr>
                  <w:tcW w:w="667" w:type="dxa"/>
                  <w:tcBorders>
                    <w:tl2br w:val="nil"/>
                    <w:tr2bl w:val="nil"/>
                  </w:tcBorders>
                  <w:noWrap/>
                  <w:vAlign w:val="center"/>
                </w:tcPr>
                <w:p w14:paraId="57EA4533">
                  <w:pPr>
                    <w:adjustRightInd w:val="0"/>
                    <w:snapToGrid w:val="0"/>
                    <w:spacing w:before="60" w:after="60"/>
                    <w:jc w:val="center"/>
                    <w:rPr>
                      <w:color w:val="auto"/>
                      <w:szCs w:val="21"/>
                    </w:rPr>
                  </w:pPr>
                  <w:r>
                    <w:rPr>
                      <w:rFonts w:hint="eastAsia"/>
                      <w:color w:val="auto"/>
                      <w:szCs w:val="21"/>
                    </w:rPr>
                    <w:t>0.01</w:t>
                  </w:r>
                </w:p>
              </w:tc>
            </w:tr>
            <w:tr w14:paraId="2240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022D8D3D">
                  <w:pPr>
                    <w:adjustRightInd w:val="0"/>
                    <w:snapToGrid w:val="0"/>
                    <w:spacing w:before="60" w:after="60"/>
                    <w:jc w:val="center"/>
                    <w:rPr>
                      <w:color w:val="auto"/>
                      <w:szCs w:val="21"/>
                    </w:rPr>
                  </w:pPr>
                  <w:r>
                    <w:rPr>
                      <w:rFonts w:hint="eastAsia"/>
                      <w:color w:val="auto"/>
                      <w:szCs w:val="21"/>
                    </w:rPr>
                    <w:t>8</w:t>
                  </w:r>
                </w:p>
              </w:tc>
              <w:tc>
                <w:tcPr>
                  <w:tcW w:w="711" w:type="dxa"/>
                  <w:tcBorders>
                    <w:tl2br w:val="nil"/>
                    <w:tr2bl w:val="nil"/>
                  </w:tcBorders>
                  <w:noWrap/>
                  <w:vAlign w:val="center"/>
                </w:tcPr>
                <w:p w14:paraId="790595C9">
                  <w:pPr>
                    <w:adjustRightInd w:val="0"/>
                    <w:snapToGrid w:val="0"/>
                    <w:spacing w:before="60" w:after="60"/>
                    <w:jc w:val="center"/>
                    <w:rPr>
                      <w:color w:val="auto"/>
                      <w:szCs w:val="21"/>
                    </w:rPr>
                  </w:pPr>
                  <w:r>
                    <w:rPr>
                      <w:color w:val="auto"/>
                    </w:rPr>
                    <w:t>废</w:t>
                  </w:r>
                  <w:r>
                    <w:rPr>
                      <w:rFonts w:hint="eastAsia"/>
                      <w:color w:val="auto"/>
                    </w:rPr>
                    <w:t>润滑油</w:t>
                  </w:r>
                </w:p>
              </w:tc>
              <w:tc>
                <w:tcPr>
                  <w:tcW w:w="645" w:type="dxa"/>
                  <w:tcBorders>
                    <w:tl2br w:val="nil"/>
                    <w:tr2bl w:val="nil"/>
                  </w:tcBorders>
                  <w:noWrap/>
                  <w:vAlign w:val="center"/>
                </w:tcPr>
                <w:p w14:paraId="611BD0BB">
                  <w:pPr>
                    <w:adjustRightInd w:val="0"/>
                    <w:snapToGrid w:val="0"/>
                    <w:spacing w:before="60" w:after="60"/>
                    <w:jc w:val="center"/>
                    <w:rPr>
                      <w:color w:val="auto"/>
                      <w:szCs w:val="21"/>
                    </w:rPr>
                  </w:pPr>
                  <w:r>
                    <w:rPr>
                      <w:rFonts w:hint="eastAsia"/>
                      <w:color w:val="auto"/>
                      <w:szCs w:val="21"/>
                    </w:rPr>
                    <w:t>机器保养</w:t>
                  </w:r>
                </w:p>
              </w:tc>
              <w:tc>
                <w:tcPr>
                  <w:tcW w:w="602" w:type="dxa"/>
                  <w:tcBorders>
                    <w:tl2br w:val="nil"/>
                    <w:tr2bl w:val="nil"/>
                  </w:tcBorders>
                  <w:noWrap/>
                  <w:vAlign w:val="center"/>
                </w:tcPr>
                <w:p w14:paraId="5F157015">
                  <w:pPr>
                    <w:adjustRightInd w:val="0"/>
                    <w:snapToGrid w:val="0"/>
                    <w:spacing w:before="60" w:after="60"/>
                    <w:jc w:val="center"/>
                    <w:rPr>
                      <w:color w:val="auto"/>
                      <w:szCs w:val="21"/>
                    </w:rPr>
                  </w:pPr>
                  <w:r>
                    <w:rPr>
                      <w:rFonts w:hint="eastAsia"/>
                      <w:color w:val="auto"/>
                      <w:szCs w:val="21"/>
                    </w:rPr>
                    <w:t>危险废物</w:t>
                  </w:r>
                </w:p>
              </w:tc>
              <w:tc>
                <w:tcPr>
                  <w:tcW w:w="1023" w:type="dxa"/>
                  <w:tcBorders>
                    <w:tl2br w:val="nil"/>
                    <w:tr2bl w:val="nil"/>
                  </w:tcBorders>
                  <w:noWrap/>
                  <w:vAlign w:val="center"/>
                </w:tcPr>
                <w:p w14:paraId="6283562B">
                  <w:pPr>
                    <w:adjustRightInd w:val="0"/>
                    <w:snapToGrid w:val="0"/>
                    <w:spacing w:before="60" w:after="60"/>
                    <w:jc w:val="center"/>
                    <w:rPr>
                      <w:color w:val="auto"/>
                      <w:szCs w:val="21"/>
                    </w:rPr>
                  </w:pPr>
                  <w:r>
                    <w:rPr>
                      <w:color w:val="auto"/>
                      <w:szCs w:val="21"/>
                    </w:rPr>
                    <w:t>HW08</w:t>
                  </w:r>
                </w:p>
                <w:p w14:paraId="583D7DB3">
                  <w:pPr>
                    <w:adjustRightInd w:val="0"/>
                    <w:snapToGrid w:val="0"/>
                    <w:spacing w:before="60" w:after="60"/>
                    <w:jc w:val="center"/>
                    <w:rPr>
                      <w:color w:val="auto"/>
                      <w:szCs w:val="21"/>
                    </w:rPr>
                  </w:pPr>
                  <w:r>
                    <w:rPr>
                      <w:color w:val="auto"/>
                      <w:kern w:val="0"/>
                      <w:szCs w:val="21"/>
                    </w:rPr>
                    <w:t>900-217-08</w:t>
                  </w:r>
                </w:p>
              </w:tc>
              <w:tc>
                <w:tcPr>
                  <w:tcW w:w="591" w:type="dxa"/>
                  <w:tcBorders>
                    <w:tl2br w:val="nil"/>
                    <w:tr2bl w:val="nil"/>
                  </w:tcBorders>
                  <w:noWrap/>
                  <w:vAlign w:val="center"/>
                </w:tcPr>
                <w:p w14:paraId="58A455EB">
                  <w:pPr>
                    <w:adjustRightInd w:val="0"/>
                    <w:snapToGrid w:val="0"/>
                    <w:spacing w:before="60" w:after="60"/>
                    <w:jc w:val="center"/>
                    <w:rPr>
                      <w:color w:val="auto"/>
                      <w:szCs w:val="21"/>
                    </w:rPr>
                  </w:pPr>
                  <w:r>
                    <w:rPr>
                      <w:color w:val="auto"/>
                      <w:szCs w:val="21"/>
                    </w:rPr>
                    <w:t>液态</w:t>
                  </w:r>
                </w:p>
              </w:tc>
              <w:tc>
                <w:tcPr>
                  <w:tcW w:w="805" w:type="dxa"/>
                  <w:tcBorders>
                    <w:tl2br w:val="nil"/>
                    <w:tr2bl w:val="nil"/>
                  </w:tcBorders>
                  <w:noWrap/>
                  <w:vAlign w:val="center"/>
                </w:tcPr>
                <w:p w14:paraId="64178A93">
                  <w:pPr>
                    <w:adjustRightInd w:val="0"/>
                    <w:snapToGrid w:val="0"/>
                    <w:spacing w:before="60" w:after="60"/>
                    <w:jc w:val="center"/>
                    <w:rPr>
                      <w:color w:val="auto"/>
                      <w:szCs w:val="21"/>
                    </w:rPr>
                  </w:pPr>
                  <w:r>
                    <w:rPr>
                      <w:color w:val="auto"/>
                      <w:szCs w:val="21"/>
                    </w:rPr>
                    <w:t>废矿物油等</w:t>
                  </w:r>
                </w:p>
              </w:tc>
              <w:tc>
                <w:tcPr>
                  <w:tcW w:w="461" w:type="dxa"/>
                  <w:tcBorders>
                    <w:tl2br w:val="nil"/>
                    <w:tr2bl w:val="nil"/>
                  </w:tcBorders>
                  <w:noWrap/>
                  <w:vAlign w:val="center"/>
                </w:tcPr>
                <w:p w14:paraId="6B52E7DD">
                  <w:pPr>
                    <w:adjustRightInd w:val="0"/>
                    <w:snapToGrid w:val="0"/>
                    <w:spacing w:before="60" w:after="60"/>
                    <w:jc w:val="center"/>
                    <w:rPr>
                      <w:color w:val="auto"/>
                      <w:szCs w:val="21"/>
                    </w:rPr>
                  </w:pPr>
                  <w:r>
                    <w:rPr>
                      <w:color w:val="auto"/>
                      <w:szCs w:val="21"/>
                    </w:rPr>
                    <w:t>T，I</w:t>
                  </w:r>
                </w:p>
              </w:tc>
              <w:tc>
                <w:tcPr>
                  <w:tcW w:w="820" w:type="dxa"/>
                  <w:tcBorders>
                    <w:tl2br w:val="nil"/>
                    <w:tr2bl w:val="nil"/>
                  </w:tcBorders>
                  <w:noWrap/>
                  <w:vAlign w:val="center"/>
                </w:tcPr>
                <w:p w14:paraId="484C5820">
                  <w:pPr>
                    <w:widowControl/>
                    <w:adjustRightInd w:val="0"/>
                    <w:snapToGrid w:val="0"/>
                    <w:spacing w:before="60" w:after="60"/>
                    <w:jc w:val="center"/>
                    <w:rPr>
                      <w:color w:val="auto"/>
                      <w:szCs w:val="21"/>
                    </w:rPr>
                  </w:pPr>
                  <w:r>
                    <w:rPr>
                      <w:rFonts w:hint="eastAsia"/>
                      <w:color w:val="auto"/>
                      <w:szCs w:val="21"/>
                    </w:rPr>
                    <w:t>0.01</w:t>
                  </w:r>
                </w:p>
              </w:tc>
              <w:tc>
                <w:tcPr>
                  <w:tcW w:w="656" w:type="dxa"/>
                  <w:tcBorders>
                    <w:tl2br w:val="nil"/>
                    <w:tr2bl w:val="nil"/>
                  </w:tcBorders>
                  <w:noWrap/>
                  <w:vAlign w:val="center"/>
                </w:tcPr>
                <w:p w14:paraId="4B0B62A1">
                  <w:pPr>
                    <w:adjustRightInd w:val="0"/>
                    <w:snapToGrid w:val="0"/>
                    <w:spacing w:before="60" w:after="60"/>
                    <w:jc w:val="center"/>
                    <w:rPr>
                      <w:color w:val="auto"/>
                      <w:szCs w:val="21"/>
                    </w:rPr>
                  </w:pPr>
                  <w:r>
                    <w:rPr>
                      <w:color w:val="auto"/>
                      <w:szCs w:val="21"/>
                    </w:rPr>
                    <w:t>桶装，暂存于危废间</w:t>
                  </w:r>
                </w:p>
              </w:tc>
              <w:tc>
                <w:tcPr>
                  <w:tcW w:w="697" w:type="dxa"/>
                  <w:tcBorders>
                    <w:tl2br w:val="nil"/>
                    <w:tr2bl w:val="nil"/>
                  </w:tcBorders>
                  <w:noWrap/>
                  <w:vAlign w:val="center"/>
                </w:tcPr>
                <w:p w14:paraId="0CF99A31">
                  <w:pPr>
                    <w:adjustRightInd w:val="0"/>
                    <w:snapToGrid w:val="0"/>
                    <w:spacing w:before="60" w:after="60"/>
                    <w:jc w:val="center"/>
                    <w:rPr>
                      <w:color w:val="auto"/>
                      <w:szCs w:val="21"/>
                    </w:rPr>
                  </w:pPr>
                  <w:r>
                    <w:rPr>
                      <w:color w:val="auto"/>
                      <w:szCs w:val="21"/>
                    </w:rPr>
                    <w:t>委托有资质单位处置</w:t>
                  </w:r>
                </w:p>
              </w:tc>
              <w:tc>
                <w:tcPr>
                  <w:tcW w:w="667" w:type="dxa"/>
                  <w:tcBorders>
                    <w:tl2br w:val="nil"/>
                    <w:tr2bl w:val="nil"/>
                  </w:tcBorders>
                  <w:noWrap/>
                  <w:vAlign w:val="center"/>
                </w:tcPr>
                <w:p w14:paraId="0DC486C4">
                  <w:pPr>
                    <w:adjustRightInd w:val="0"/>
                    <w:snapToGrid w:val="0"/>
                    <w:spacing w:before="60" w:after="60"/>
                    <w:jc w:val="center"/>
                    <w:rPr>
                      <w:color w:val="auto"/>
                      <w:szCs w:val="21"/>
                    </w:rPr>
                  </w:pPr>
                  <w:r>
                    <w:rPr>
                      <w:rFonts w:hint="eastAsia"/>
                      <w:color w:val="auto"/>
                      <w:szCs w:val="21"/>
                    </w:rPr>
                    <w:t>0.01</w:t>
                  </w:r>
                </w:p>
              </w:tc>
            </w:tr>
            <w:tr w14:paraId="2F92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1FE3FD30">
                  <w:pPr>
                    <w:adjustRightInd w:val="0"/>
                    <w:snapToGrid w:val="0"/>
                    <w:spacing w:before="60" w:after="60"/>
                    <w:jc w:val="center"/>
                    <w:rPr>
                      <w:color w:val="auto"/>
                      <w:szCs w:val="21"/>
                    </w:rPr>
                  </w:pPr>
                  <w:r>
                    <w:rPr>
                      <w:rFonts w:hint="eastAsia"/>
                      <w:color w:val="auto"/>
                      <w:szCs w:val="21"/>
                    </w:rPr>
                    <w:t>9</w:t>
                  </w:r>
                </w:p>
              </w:tc>
              <w:tc>
                <w:tcPr>
                  <w:tcW w:w="711" w:type="dxa"/>
                  <w:tcBorders>
                    <w:tl2br w:val="nil"/>
                    <w:tr2bl w:val="nil"/>
                  </w:tcBorders>
                  <w:noWrap/>
                  <w:vAlign w:val="center"/>
                </w:tcPr>
                <w:p w14:paraId="297983A8">
                  <w:pPr>
                    <w:adjustRightInd w:val="0"/>
                    <w:snapToGrid w:val="0"/>
                    <w:spacing w:before="60" w:after="60"/>
                    <w:jc w:val="center"/>
                    <w:rPr>
                      <w:color w:val="auto"/>
                      <w:szCs w:val="21"/>
                    </w:rPr>
                  </w:pPr>
                  <w:r>
                    <w:rPr>
                      <w:rFonts w:hint="eastAsia"/>
                      <w:color w:val="auto"/>
                    </w:rPr>
                    <w:t>废油桶</w:t>
                  </w:r>
                </w:p>
              </w:tc>
              <w:tc>
                <w:tcPr>
                  <w:tcW w:w="645" w:type="dxa"/>
                  <w:tcBorders>
                    <w:tl2br w:val="nil"/>
                    <w:tr2bl w:val="nil"/>
                  </w:tcBorders>
                  <w:noWrap/>
                  <w:vAlign w:val="center"/>
                </w:tcPr>
                <w:p w14:paraId="27100928">
                  <w:pPr>
                    <w:adjustRightInd w:val="0"/>
                    <w:snapToGrid w:val="0"/>
                    <w:spacing w:before="60" w:after="60"/>
                    <w:jc w:val="center"/>
                    <w:rPr>
                      <w:color w:val="auto"/>
                      <w:szCs w:val="21"/>
                    </w:rPr>
                  </w:pPr>
                  <w:r>
                    <w:rPr>
                      <w:rFonts w:hint="eastAsia"/>
                      <w:color w:val="auto"/>
                      <w:szCs w:val="21"/>
                    </w:rPr>
                    <w:t>润滑油包装</w:t>
                  </w:r>
                </w:p>
              </w:tc>
              <w:tc>
                <w:tcPr>
                  <w:tcW w:w="602" w:type="dxa"/>
                  <w:tcBorders>
                    <w:tl2br w:val="nil"/>
                    <w:tr2bl w:val="nil"/>
                  </w:tcBorders>
                  <w:noWrap/>
                  <w:vAlign w:val="center"/>
                </w:tcPr>
                <w:p w14:paraId="7F995006">
                  <w:pPr>
                    <w:adjustRightInd w:val="0"/>
                    <w:snapToGrid w:val="0"/>
                    <w:spacing w:before="60" w:after="60"/>
                    <w:jc w:val="center"/>
                    <w:rPr>
                      <w:color w:val="auto"/>
                      <w:szCs w:val="21"/>
                    </w:rPr>
                  </w:pPr>
                  <w:r>
                    <w:rPr>
                      <w:color w:val="auto"/>
                      <w:szCs w:val="21"/>
                    </w:rPr>
                    <w:t>危险废物</w:t>
                  </w:r>
                </w:p>
              </w:tc>
              <w:tc>
                <w:tcPr>
                  <w:tcW w:w="1023" w:type="dxa"/>
                  <w:tcBorders>
                    <w:tl2br w:val="nil"/>
                    <w:tr2bl w:val="nil"/>
                  </w:tcBorders>
                  <w:noWrap/>
                  <w:vAlign w:val="center"/>
                </w:tcPr>
                <w:p w14:paraId="1DE1C395">
                  <w:pPr>
                    <w:adjustRightInd w:val="0"/>
                    <w:snapToGrid w:val="0"/>
                    <w:spacing w:before="60" w:after="60"/>
                    <w:jc w:val="center"/>
                    <w:rPr>
                      <w:color w:val="auto"/>
                      <w:szCs w:val="21"/>
                    </w:rPr>
                  </w:pPr>
                  <w:r>
                    <w:rPr>
                      <w:color w:val="auto"/>
                      <w:szCs w:val="21"/>
                    </w:rPr>
                    <w:t>HW08</w:t>
                  </w:r>
                </w:p>
                <w:p w14:paraId="5D106A08">
                  <w:pPr>
                    <w:adjustRightInd w:val="0"/>
                    <w:snapToGrid w:val="0"/>
                    <w:spacing w:before="60" w:after="60"/>
                    <w:jc w:val="center"/>
                    <w:rPr>
                      <w:color w:val="auto"/>
                      <w:szCs w:val="21"/>
                    </w:rPr>
                  </w:pPr>
                  <w:r>
                    <w:rPr>
                      <w:color w:val="auto"/>
                      <w:kern w:val="0"/>
                      <w:szCs w:val="21"/>
                    </w:rPr>
                    <w:t>900-249-08</w:t>
                  </w:r>
                </w:p>
              </w:tc>
              <w:tc>
                <w:tcPr>
                  <w:tcW w:w="591" w:type="dxa"/>
                  <w:tcBorders>
                    <w:tl2br w:val="nil"/>
                    <w:tr2bl w:val="nil"/>
                  </w:tcBorders>
                  <w:noWrap/>
                  <w:vAlign w:val="center"/>
                </w:tcPr>
                <w:p w14:paraId="46E9E5F0">
                  <w:pPr>
                    <w:adjustRightInd w:val="0"/>
                    <w:snapToGrid w:val="0"/>
                    <w:spacing w:before="60" w:after="60"/>
                    <w:jc w:val="center"/>
                    <w:rPr>
                      <w:color w:val="auto"/>
                      <w:szCs w:val="21"/>
                    </w:rPr>
                  </w:pPr>
                  <w:r>
                    <w:rPr>
                      <w:color w:val="auto"/>
                      <w:szCs w:val="21"/>
                    </w:rPr>
                    <w:t>固态</w:t>
                  </w:r>
                </w:p>
              </w:tc>
              <w:tc>
                <w:tcPr>
                  <w:tcW w:w="805" w:type="dxa"/>
                  <w:tcBorders>
                    <w:tl2br w:val="nil"/>
                    <w:tr2bl w:val="nil"/>
                  </w:tcBorders>
                  <w:noWrap/>
                  <w:vAlign w:val="center"/>
                </w:tcPr>
                <w:p w14:paraId="4016DB0B">
                  <w:pPr>
                    <w:adjustRightInd w:val="0"/>
                    <w:snapToGrid w:val="0"/>
                    <w:spacing w:before="60" w:after="60"/>
                    <w:jc w:val="center"/>
                    <w:rPr>
                      <w:color w:val="auto"/>
                      <w:szCs w:val="21"/>
                    </w:rPr>
                  </w:pPr>
                  <w:r>
                    <w:rPr>
                      <w:color w:val="auto"/>
                      <w:szCs w:val="21"/>
                    </w:rPr>
                    <w:t>废油</w:t>
                  </w:r>
                </w:p>
              </w:tc>
              <w:tc>
                <w:tcPr>
                  <w:tcW w:w="461" w:type="dxa"/>
                  <w:tcBorders>
                    <w:tl2br w:val="nil"/>
                    <w:tr2bl w:val="nil"/>
                  </w:tcBorders>
                  <w:noWrap/>
                  <w:vAlign w:val="center"/>
                </w:tcPr>
                <w:p w14:paraId="46549363">
                  <w:pPr>
                    <w:adjustRightInd w:val="0"/>
                    <w:snapToGrid w:val="0"/>
                    <w:spacing w:before="60" w:after="60"/>
                    <w:jc w:val="center"/>
                    <w:rPr>
                      <w:color w:val="auto"/>
                      <w:szCs w:val="21"/>
                    </w:rPr>
                  </w:pPr>
                  <w:r>
                    <w:rPr>
                      <w:color w:val="auto"/>
                      <w:szCs w:val="21"/>
                    </w:rPr>
                    <w:t>T，I</w:t>
                  </w:r>
                </w:p>
              </w:tc>
              <w:tc>
                <w:tcPr>
                  <w:tcW w:w="820" w:type="dxa"/>
                  <w:tcBorders>
                    <w:tl2br w:val="nil"/>
                    <w:tr2bl w:val="nil"/>
                  </w:tcBorders>
                  <w:noWrap/>
                  <w:vAlign w:val="center"/>
                </w:tcPr>
                <w:p w14:paraId="6C52072E">
                  <w:pPr>
                    <w:widowControl/>
                    <w:adjustRightInd w:val="0"/>
                    <w:snapToGrid w:val="0"/>
                    <w:spacing w:before="60" w:after="60"/>
                    <w:jc w:val="center"/>
                    <w:rPr>
                      <w:color w:val="auto"/>
                      <w:szCs w:val="21"/>
                    </w:rPr>
                  </w:pPr>
                  <w:r>
                    <w:rPr>
                      <w:color w:val="auto"/>
                      <w:szCs w:val="21"/>
                    </w:rPr>
                    <w:t>0.</w:t>
                  </w:r>
                  <w:r>
                    <w:rPr>
                      <w:rFonts w:hint="eastAsia"/>
                      <w:color w:val="auto"/>
                      <w:szCs w:val="21"/>
                    </w:rPr>
                    <w:t>002</w:t>
                  </w:r>
                </w:p>
              </w:tc>
              <w:tc>
                <w:tcPr>
                  <w:tcW w:w="656" w:type="dxa"/>
                  <w:tcBorders>
                    <w:tl2br w:val="nil"/>
                    <w:tr2bl w:val="nil"/>
                  </w:tcBorders>
                  <w:noWrap/>
                  <w:vAlign w:val="center"/>
                </w:tcPr>
                <w:p w14:paraId="5F316F76">
                  <w:pPr>
                    <w:adjustRightInd w:val="0"/>
                    <w:snapToGrid w:val="0"/>
                    <w:spacing w:before="60" w:after="60"/>
                    <w:jc w:val="center"/>
                    <w:rPr>
                      <w:color w:val="auto"/>
                      <w:szCs w:val="21"/>
                    </w:rPr>
                  </w:pPr>
                  <w:r>
                    <w:rPr>
                      <w:color w:val="auto"/>
                      <w:szCs w:val="21"/>
                    </w:rPr>
                    <w:t>袋装，暂存于危废间</w:t>
                  </w:r>
                </w:p>
              </w:tc>
              <w:tc>
                <w:tcPr>
                  <w:tcW w:w="697" w:type="dxa"/>
                  <w:tcBorders>
                    <w:tl2br w:val="nil"/>
                    <w:tr2bl w:val="nil"/>
                  </w:tcBorders>
                  <w:noWrap/>
                  <w:vAlign w:val="center"/>
                </w:tcPr>
                <w:p w14:paraId="318C4EB7">
                  <w:pPr>
                    <w:adjustRightInd w:val="0"/>
                    <w:snapToGrid w:val="0"/>
                    <w:spacing w:before="60" w:after="60"/>
                    <w:jc w:val="center"/>
                    <w:rPr>
                      <w:color w:val="auto"/>
                      <w:szCs w:val="21"/>
                    </w:rPr>
                  </w:pPr>
                  <w:r>
                    <w:rPr>
                      <w:color w:val="auto"/>
                      <w:szCs w:val="21"/>
                    </w:rPr>
                    <w:t>委托有资质单位处置</w:t>
                  </w:r>
                </w:p>
              </w:tc>
              <w:tc>
                <w:tcPr>
                  <w:tcW w:w="667" w:type="dxa"/>
                  <w:tcBorders>
                    <w:tl2br w:val="nil"/>
                    <w:tr2bl w:val="nil"/>
                  </w:tcBorders>
                  <w:noWrap/>
                  <w:vAlign w:val="center"/>
                </w:tcPr>
                <w:p w14:paraId="1777CF16">
                  <w:pPr>
                    <w:adjustRightInd w:val="0"/>
                    <w:snapToGrid w:val="0"/>
                    <w:spacing w:before="60" w:after="60"/>
                    <w:jc w:val="center"/>
                    <w:rPr>
                      <w:color w:val="auto"/>
                      <w:szCs w:val="21"/>
                    </w:rPr>
                  </w:pPr>
                  <w:r>
                    <w:rPr>
                      <w:rFonts w:hint="eastAsia"/>
                      <w:color w:val="auto"/>
                      <w:szCs w:val="21"/>
                    </w:rPr>
                    <w:t>0.002</w:t>
                  </w:r>
                </w:p>
              </w:tc>
            </w:tr>
            <w:tr w14:paraId="18DE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64" w:type="dxa"/>
                  <w:tcBorders>
                    <w:tl2br w:val="nil"/>
                    <w:tr2bl w:val="nil"/>
                  </w:tcBorders>
                  <w:noWrap/>
                  <w:vAlign w:val="center"/>
                </w:tcPr>
                <w:p w14:paraId="5B729D42">
                  <w:pPr>
                    <w:adjustRightInd w:val="0"/>
                    <w:snapToGrid w:val="0"/>
                    <w:spacing w:before="60" w:after="60"/>
                    <w:jc w:val="center"/>
                    <w:rPr>
                      <w:color w:val="auto"/>
                      <w:szCs w:val="21"/>
                    </w:rPr>
                  </w:pPr>
                  <w:r>
                    <w:rPr>
                      <w:rFonts w:hint="eastAsia"/>
                      <w:color w:val="auto"/>
                      <w:szCs w:val="21"/>
                    </w:rPr>
                    <w:t>10</w:t>
                  </w:r>
                </w:p>
              </w:tc>
              <w:tc>
                <w:tcPr>
                  <w:tcW w:w="711" w:type="dxa"/>
                  <w:tcBorders>
                    <w:tl2br w:val="nil"/>
                    <w:tr2bl w:val="nil"/>
                  </w:tcBorders>
                  <w:noWrap/>
                  <w:vAlign w:val="center"/>
                </w:tcPr>
                <w:p w14:paraId="43FC3F39">
                  <w:pPr>
                    <w:adjustRightInd w:val="0"/>
                    <w:snapToGrid w:val="0"/>
                    <w:spacing w:before="60" w:after="60"/>
                    <w:jc w:val="center"/>
                    <w:rPr>
                      <w:color w:val="auto"/>
                      <w:szCs w:val="21"/>
                    </w:rPr>
                  </w:pPr>
                  <w:r>
                    <w:rPr>
                      <w:rFonts w:hint="eastAsia"/>
                      <w:color w:val="auto"/>
                    </w:rPr>
                    <w:t>废催化剂</w:t>
                  </w:r>
                </w:p>
              </w:tc>
              <w:tc>
                <w:tcPr>
                  <w:tcW w:w="645" w:type="dxa"/>
                  <w:tcBorders>
                    <w:tl2br w:val="nil"/>
                    <w:tr2bl w:val="nil"/>
                  </w:tcBorders>
                  <w:noWrap/>
                  <w:vAlign w:val="center"/>
                </w:tcPr>
                <w:p w14:paraId="18B72595">
                  <w:pPr>
                    <w:adjustRightInd w:val="0"/>
                    <w:snapToGrid w:val="0"/>
                    <w:spacing w:before="60" w:after="60"/>
                    <w:jc w:val="center"/>
                    <w:rPr>
                      <w:color w:val="auto"/>
                      <w:szCs w:val="21"/>
                    </w:rPr>
                  </w:pPr>
                  <w:r>
                    <w:rPr>
                      <w:rFonts w:hint="eastAsia"/>
                      <w:color w:val="auto"/>
                      <w:szCs w:val="21"/>
                    </w:rPr>
                    <w:t>脱硝</w:t>
                  </w:r>
                </w:p>
              </w:tc>
              <w:tc>
                <w:tcPr>
                  <w:tcW w:w="602" w:type="dxa"/>
                  <w:tcBorders>
                    <w:tl2br w:val="nil"/>
                    <w:tr2bl w:val="nil"/>
                  </w:tcBorders>
                  <w:noWrap/>
                  <w:vAlign w:val="center"/>
                </w:tcPr>
                <w:p w14:paraId="1D111260">
                  <w:pPr>
                    <w:adjustRightInd w:val="0"/>
                    <w:snapToGrid w:val="0"/>
                    <w:spacing w:before="60" w:after="60"/>
                    <w:jc w:val="center"/>
                    <w:rPr>
                      <w:color w:val="auto"/>
                      <w:szCs w:val="21"/>
                    </w:rPr>
                  </w:pPr>
                  <w:r>
                    <w:rPr>
                      <w:color w:val="auto"/>
                      <w:szCs w:val="21"/>
                    </w:rPr>
                    <w:t>危险废物</w:t>
                  </w:r>
                </w:p>
              </w:tc>
              <w:tc>
                <w:tcPr>
                  <w:tcW w:w="1023" w:type="dxa"/>
                  <w:tcBorders>
                    <w:tl2br w:val="nil"/>
                    <w:tr2bl w:val="nil"/>
                  </w:tcBorders>
                  <w:noWrap/>
                  <w:vAlign w:val="center"/>
                </w:tcPr>
                <w:p w14:paraId="41290EEE">
                  <w:pPr>
                    <w:adjustRightInd w:val="0"/>
                    <w:snapToGrid w:val="0"/>
                    <w:spacing w:before="60" w:after="60"/>
                    <w:jc w:val="center"/>
                    <w:rPr>
                      <w:color w:val="auto"/>
                    </w:rPr>
                  </w:pPr>
                  <w:r>
                    <w:rPr>
                      <w:rFonts w:hint="eastAsia"/>
                      <w:color w:val="auto"/>
                    </w:rPr>
                    <w:t>HW50</w:t>
                  </w:r>
                </w:p>
                <w:p w14:paraId="3CD79BB5">
                  <w:pPr>
                    <w:adjustRightInd w:val="0"/>
                    <w:snapToGrid w:val="0"/>
                    <w:spacing w:before="60" w:after="60"/>
                    <w:jc w:val="center"/>
                    <w:rPr>
                      <w:color w:val="auto"/>
                    </w:rPr>
                  </w:pPr>
                  <w:r>
                    <w:rPr>
                      <w:rFonts w:hint="eastAsia"/>
                      <w:color w:val="auto"/>
                    </w:rPr>
                    <w:t>900-249-08</w:t>
                  </w:r>
                </w:p>
              </w:tc>
              <w:tc>
                <w:tcPr>
                  <w:tcW w:w="591" w:type="dxa"/>
                  <w:tcBorders>
                    <w:tl2br w:val="nil"/>
                    <w:tr2bl w:val="nil"/>
                  </w:tcBorders>
                  <w:noWrap/>
                  <w:vAlign w:val="center"/>
                </w:tcPr>
                <w:p w14:paraId="209E6D16">
                  <w:pPr>
                    <w:adjustRightInd w:val="0"/>
                    <w:snapToGrid w:val="0"/>
                    <w:spacing w:before="60" w:after="60"/>
                    <w:jc w:val="center"/>
                    <w:rPr>
                      <w:color w:val="auto"/>
                    </w:rPr>
                  </w:pPr>
                  <w:r>
                    <w:rPr>
                      <w:color w:val="auto"/>
                      <w:szCs w:val="21"/>
                    </w:rPr>
                    <w:t>固态</w:t>
                  </w:r>
                </w:p>
              </w:tc>
              <w:tc>
                <w:tcPr>
                  <w:tcW w:w="805" w:type="dxa"/>
                  <w:tcBorders>
                    <w:tl2br w:val="nil"/>
                    <w:tr2bl w:val="nil"/>
                  </w:tcBorders>
                  <w:noWrap/>
                  <w:vAlign w:val="center"/>
                </w:tcPr>
                <w:p w14:paraId="466068A8">
                  <w:pPr>
                    <w:adjustRightInd w:val="0"/>
                    <w:snapToGrid w:val="0"/>
                    <w:spacing w:before="60" w:after="60"/>
                    <w:jc w:val="center"/>
                    <w:rPr>
                      <w:color w:val="auto"/>
                      <w:szCs w:val="21"/>
                    </w:rPr>
                  </w:pPr>
                  <w:r>
                    <w:rPr>
                      <w:rFonts w:hint="eastAsia"/>
                      <w:color w:val="auto"/>
                      <w:szCs w:val="21"/>
                    </w:rPr>
                    <w:t>金属等</w:t>
                  </w:r>
                </w:p>
              </w:tc>
              <w:tc>
                <w:tcPr>
                  <w:tcW w:w="461" w:type="dxa"/>
                  <w:tcBorders>
                    <w:tl2br w:val="nil"/>
                    <w:tr2bl w:val="nil"/>
                  </w:tcBorders>
                  <w:noWrap/>
                  <w:vAlign w:val="center"/>
                </w:tcPr>
                <w:p w14:paraId="6E3A5948">
                  <w:pPr>
                    <w:adjustRightInd w:val="0"/>
                    <w:snapToGrid w:val="0"/>
                    <w:spacing w:before="60" w:after="60"/>
                    <w:jc w:val="center"/>
                    <w:rPr>
                      <w:color w:val="auto"/>
                      <w:szCs w:val="21"/>
                    </w:rPr>
                  </w:pPr>
                  <w:r>
                    <w:rPr>
                      <w:color w:val="auto"/>
                      <w:szCs w:val="21"/>
                    </w:rPr>
                    <w:t>T，I</w:t>
                  </w:r>
                </w:p>
              </w:tc>
              <w:tc>
                <w:tcPr>
                  <w:tcW w:w="820" w:type="dxa"/>
                  <w:tcBorders>
                    <w:tl2br w:val="nil"/>
                    <w:tr2bl w:val="nil"/>
                  </w:tcBorders>
                  <w:noWrap/>
                  <w:vAlign w:val="center"/>
                </w:tcPr>
                <w:p w14:paraId="00F2F715">
                  <w:pPr>
                    <w:adjustRightInd w:val="0"/>
                    <w:snapToGrid w:val="0"/>
                    <w:spacing w:before="60" w:after="60"/>
                    <w:jc w:val="center"/>
                    <w:rPr>
                      <w:color w:val="auto"/>
                      <w:szCs w:val="21"/>
                    </w:rPr>
                  </w:pPr>
                  <w:r>
                    <w:rPr>
                      <w:rFonts w:hint="eastAsia"/>
                      <w:color w:val="auto"/>
                      <w:szCs w:val="21"/>
                    </w:rPr>
                    <w:t>2m</w:t>
                  </w:r>
                  <w:r>
                    <w:rPr>
                      <w:rFonts w:hint="eastAsia"/>
                      <w:color w:val="auto"/>
                      <w:szCs w:val="21"/>
                      <w:vertAlign w:val="superscript"/>
                    </w:rPr>
                    <w:t>3</w:t>
                  </w:r>
                  <w:r>
                    <w:rPr>
                      <w:rFonts w:hint="eastAsia"/>
                      <w:color w:val="auto"/>
                      <w:szCs w:val="21"/>
                    </w:rPr>
                    <w:t>/a</w:t>
                  </w:r>
                </w:p>
              </w:tc>
              <w:tc>
                <w:tcPr>
                  <w:tcW w:w="656" w:type="dxa"/>
                  <w:tcBorders>
                    <w:tl2br w:val="nil"/>
                    <w:tr2bl w:val="nil"/>
                  </w:tcBorders>
                  <w:noWrap/>
                  <w:vAlign w:val="center"/>
                </w:tcPr>
                <w:p w14:paraId="343434C1">
                  <w:pPr>
                    <w:adjustRightInd w:val="0"/>
                    <w:snapToGrid w:val="0"/>
                    <w:spacing w:before="60" w:after="60"/>
                    <w:jc w:val="center"/>
                    <w:rPr>
                      <w:color w:val="auto"/>
                      <w:szCs w:val="21"/>
                    </w:rPr>
                  </w:pPr>
                  <w:r>
                    <w:rPr>
                      <w:color w:val="auto"/>
                      <w:szCs w:val="21"/>
                    </w:rPr>
                    <w:t>袋装，暂存于危废间</w:t>
                  </w:r>
                </w:p>
              </w:tc>
              <w:tc>
                <w:tcPr>
                  <w:tcW w:w="697" w:type="dxa"/>
                  <w:tcBorders>
                    <w:tl2br w:val="nil"/>
                    <w:tr2bl w:val="nil"/>
                  </w:tcBorders>
                  <w:noWrap/>
                  <w:vAlign w:val="center"/>
                </w:tcPr>
                <w:p w14:paraId="25F989E0">
                  <w:pPr>
                    <w:adjustRightInd w:val="0"/>
                    <w:snapToGrid w:val="0"/>
                    <w:spacing w:before="60" w:after="60"/>
                    <w:jc w:val="center"/>
                    <w:rPr>
                      <w:color w:val="auto"/>
                      <w:szCs w:val="21"/>
                    </w:rPr>
                  </w:pPr>
                  <w:r>
                    <w:rPr>
                      <w:color w:val="auto"/>
                      <w:szCs w:val="21"/>
                    </w:rPr>
                    <w:t>委托有资质单位处置</w:t>
                  </w:r>
                </w:p>
              </w:tc>
              <w:tc>
                <w:tcPr>
                  <w:tcW w:w="667" w:type="dxa"/>
                  <w:tcBorders>
                    <w:tl2br w:val="nil"/>
                    <w:tr2bl w:val="nil"/>
                  </w:tcBorders>
                  <w:noWrap/>
                  <w:vAlign w:val="center"/>
                </w:tcPr>
                <w:p w14:paraId="0D0E3F86">
                  <w:pPr>
                    <w:adjustRightInd w:val="0"/>
                    <w:snapToGrid w:val="0"/>
                    <w:spacing w:before="60" w:after="60"/>
                    <w:jc w:val="center"/>
                    <w:rPr>
                      <w:color w:val="auto"/>
                      <w:szCs w:val="21"/>
                    </w:rPr>
                  </w:pPr>
                  <w:r>
                    <w:rPr>
                      <w:rFonts w:hint="eastAsia"/>
                      <w:color w:val="auto"/>
                      <w:szCs w:val="21"/>
                    </w:rPr>
                    <w:t>2</w:t>
                  </w:r>
                </w:p>
              </w:tc>
            </w:tr>
            <w:tr w14:paraId="535C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4" w:type="dxa"/>
                  <w:tcBorders>
                    <w:tl2br w:val="nil"/>
                    <w:tr2bl w:val="nil"/>
                  </w:tcBorders>
                  <w:noWrap/>
                  <w:vAlign w:val="center"/>
                </w:tcPr>
                <w:p w14:paraId="57B65609">
                  <w:pPr>
                    <w:adjustRightInd w:val="0"/>
                    <w:snapToGrid w:val="0"/>
                    <w:spacing w:before="60" w:after="60"/>
                    <w:jc w:val="center"/>
                    <w:rPr>
                      <w:rFonts w:hint="default" w:eastAsia="宋体"/>
                      <w:color w:val="auto"/>
                      <w:szCs w:val="21"/>
                      <w:lang w:val="en-US" w:eastAsia="zh-CN"/>
                    </w:rPr>
                  </w:pPr>
                  <w:r>
                    <w:rPr>
                      <w:rFonts w:hint="eastAsia"/>
                      <w:color w:val="auto"/>
                      <w:szCs w:val="21"/>
                      <w:lang w:val="en-US" w:eastAsia="zh-CN"/>
                    </w:rPr>
                    <w:t>11</w:t>
                  </w:r>
                </w:p>
              </w:tc>
              <w:tc>
                <w:tcPr>
                  <w:tcW w:w="711" w:type="dxa"/>
                  <w:tcBorders>
                    <w:tl2br w:val="nil"/>
                    <w:tr2bl w:val="nil"/>
                  </w:tcBorders>
                  <w:noWrap/>
                  <w:vAlign w:val="center"/>
                </w:tcPr>
                <w:p w14:paraId="1F38C74E">
                  <w:pPr>
                    <w:adjustRightInd w:val="0"/>
                    <w:snapToGrid w:val="0"/>
                    <w:spacing w:before="60" w:after="60"/>
                    <w:jc w:val="center"/>
                    <w:rPr>
                      <w:rFonts w:hint="eastAsia"/>
                      <w:color w:val="auto"/>
                    </w:rPr>
                  </w:pPr>
                  <w:r>
                    <w:rPr>
                      <w:rFonts w:hint="eastAsia"/>
                      <w:color w:val="auto"/>
                    </w:rPr>
                    <w:t>废生物除臭剂包装桶</w:t>
                  </w:r>
                </w:p>
              </w:tc>
              <w:tc>
                <w:tcPr>
                  <w:tcW w:w="645" w:type="dxa"/>
                  <w:tcBorders>
                    <w:tl2br w:val="nil"/>
                    <w:tr2bl w:val="nil"/>
                  </w:tcBorders>
                  <w:noWrap/>
                  <w:vAlign w:val="center"/>
                </w:tcPr>
                <w:p w14:paraId="574B7281">
                  <w:pPr>
                    <w:adjustRightInd w:val="0"/>
                    <w:snapToGrid w:val="0"/>
                    <w:spacing w:before="60" w:after="60"/>
                    <w:jc w:val="center"/>
                    <w:rPr>
                      <w:rFonts w:hint="eastAsia" w:eastAsia="宋体"/>
                      <w:color w:val="auto"/>
                      <w:szCs w:val="21"/>
                      <w:lang w:eastAsia="zh-CN"/>
                    </w:rPr>
                  </w:pPr>
                  <w:r>
                    <w:rPr>
                      <w:rFonts w:hint="eastAsia"/>
                      <w:color w:val="auto"/>
                      <w:szCs w:val="21"/>
                      <w:lang w:eastAsia="zh-CN"/>
                    </w:rPr>
                    <w:t>除臭</w:t>
                  </w:r>
                </w:p>
              </w:tc>
              <w:tc>
                <w:tcPr>
                  <w:tcW w:w="602" w:type="dxa"/>
                  <w:tcBorders>
                    <w:tl2br w:val="nil"/>
                    <w:tr2bl w:val="nil"/>
                  </w:tcBorders>
                  <w:noWrap/>
                  <w:vAlign w:val="center"/>
                </w:tcPr>
                <w:p w14:paraId="18A8B335">
                  <w:pPr>
                    <w:adjustRightInd w:val="0"/>
                    <w:snapToGrid w:val="0"/>
                    <w:spacing w:before="60" w:after="60"/>
                    <w:jc w:val="center"/>
                    <w:rPr>
                      <w:rFonts w:hint="eastAsia" w:eastAsia="宋体"/>
                      <w:color w:val="auto"/>
                      <w:szCs w:val="21"/>
                      <w:lang w:eastAsia="zh-CN"/>
                    </w:rPr>
                  </w:pPr>
                  <w:r>
                    <w:rPr>
                      <w:rFonts w:hint="eastAsia"/>
                      <w:color w:val="auto"/>
                      <w:szCs w:val="21"/>
                      <w:lang w:eastAsia="zh-CN"/>
                    </w:rPr>
                    <w:t>危险废物</w:t>
                  </w:r>
                </w:p>
              </w:tc>
              <w:tc>
                <w:tcPr>
                  <w:tcW w:w="1023" w:type="dxa"/>
                  <w:tcBorders>
                    <w:tl2br w:val="nil"/>
                    <w:tr2bl w:val="nil"/>
                  </w:tcBorders>
                  <w:noWrap/>
                  <w:vAlign w:val="center"/>
                </w:tcPr>
                <w:p w14:paraId="7E8BE9A2">
                  <w:pPr>
                    <w:adjustRightInd w:val="0"/>
                    <w:snapToGrid w:val="0"/>
                    <w:spacing w:before="60" w:after="60"/>
                    <w:jc w:val="center"/>
                    <w:rPr>
                      <w:rFonts w:hint="eastAsia"/>
                      <w:color w:val="auto"/>
                      <w:lang w:val="en-US" w:eastAsia="zh-CN"/>
                    </w:rPr>
                  </w:pPr>
                  <w:r>
                    <w:rPr>
                      <w:rFonts w:hint="eastAsia"/>
                      <w:color w:val="auto"/>
                      <w:lang w:val="en-US" w:eastAsia="zh-CN"/>
                    </w:rPr>
                    <w:t>HW49</w:t>
                  </w:r>
                </w:p>
                <w:p w14:paraId="0063A568">
                  <w:pPr>
                    <w:adjustRightInd w:val="0"/>
                    <w:snapToGrid w:val="0"/>
                    <w:spacing w:before="60" w:after="60"/>
                    <w:jc w:val="center"/>
                    <w:rPr>
                      <w:rFonts w:hint="default"/>
                      <w:color w:val="auto"/>
                      <w:lang w:val="en-US" w:eastAsia="zh-CN"/>
                    </w:rPr>
                  </w:pPr>
                  <w:r>
                    <w:rPr>
                      <w:rFonts w:hint="eastAsia"/>
                      <w:color w:val="auto"/>
                      <w:lang w:val="en-US" w:eastAsia="zh-CN"/>
                    </w:rPr>
                    <w:t>900-041-49</w:t>
                  </w:r>
                </w:p>
              </w:tc>
              <w:tc>
                <w:tcPr>
                  <w:tcW w:w="591" w:type="dxa"/>
                  <w:tcBorders>
                    <w:tl2br w:val="nil"/>
                    <w:tr2bl w:val="nil"/>
                  </w:tcBorders>
                  <w:noWrap/>
                  <w:vAlign w:val="center"/>
                </w:tcPr>
                <w:p w14:paraId="30E28464">
                  <w:pPr>
                    <w:adjustRightInd w:val="0"/>
                    <w:snapToGrid w:val="0"/>
                    <w:spacing w:before="60" w:after="60"/>
                    <w:jc w:val="center"/>
                    <w:rPr>
                      <w:rFonts w:hint="eastAsia"/>
                      <w:color w:val="auto"/>
                    </w:rPr>
                  </w:pPr>
                  <w:r>
                    <w:rPr>
                      <w:color w:val="auto"/>
                      <w:szCs w:val="21"/>
                    </w:rPr>
                    <w:t>固态</w:t>
                  </w:r>
                </w:p>
              </w:tc>
              <w:tc>
                <w:tcPr>
                  <w:tcW w:w="805" w:type="dxa"/>
                  <w:tcBorders>
                    <w:tl2br w:val="nil"/>
                    <w:tr2bl w:val="nil"/>
                  </w:tcBorders>
                  <w:noWrap/>
                  <w:vAlign w:val="center"/>
                </w:tcPr>
                <w:p w14:paraId="0C713822">
                  <w:pPr>
                    <w:adjustRightInd w:val="0"/>
                    <w:snapToGrid w:val="0"/>
                    <w:spacing w:before="60" w:after="60"/>
                    <w:jc w:val="center"/>
                    <w:rPr>
                      <w:rFonts w:hint="eastAsia" w:eastAsia="宋体"/>
                      <w:color w:val="auto"/>
                      <w:lang w:eastAsia="zh-CN"/>
                    </w:rPr>
                  </w:pPr>
                  <w:r>
                    <w:rPr>
                      <w:rFonts w:hint="eastAsia"/>
                      <w:color w:val="auto"/>
                      <w:lang w:eastAsia="zh-CN"/>
                    </w:rPr>
                    <w:t>废树脂等</w:t>
                  </w:r>
                </w:p>
              </w:tc>
              <w:tc>
                <w:tcPr>
                  <w:tcW w:w="461" w:type="dxa"/>
                  <w:tcBorders>
                    <w:tl2br w:val="nil"/>
                    <w:tr2bl w:val="nil"/>
                  </w:tcBorders>
                  <w:noWrap/>
                  <w:vAlign w:val="center"/>
                </w:tcPr>
                <w:p w14:paraId="4185F5C3">
                  <w:pPr>
                    <w:adjustRightInd w:val="0"/>
                    <w:snapToGrid w:val="0"/>
                    <w:spacing w:before="60" w:after="60"/>
                    <w:jc w:val="center"/>
                    <w:rPr>
                      <w:rFonts w:hint="eastAsia"/>
                      <w:color w:val="auto"/>
                    </w:rPr>
                  </w:pPr>
                  <w:r>
                    <w:rPr>
                      <w:rFonts w:hint="eastAsia"/>
                      <w:color w:val="auto"/>
                    </w:rPr>
                    <w:t>T/In</w:t>
                  </w:r>
                </w:p>
              </w:tc>
              <w:tc>
                <w:tcPr>
                  <w:tcW w:w="820" w:type="dxa"/>
                  <w:tcBorders>
                    <w:tl2br w:val="nil"/>
                    <w:tr2bl w:val="nil"/>
                  </w:tcBorders>
                  <w:noWrap/>
                  <w:vAlign w:val="center"/>
                </w:tcPr>
                <w:p w14:paraId="360E884B">
                  <w:pPr>
                    <w:adjustRightInd w:val="0"/>
                    <w:snapToGrid w:val="0"/>
                    <w:spacing w:before="60" w:after="60"/>
                    <w:jc w:val="center"/>
                    <w:rPr>
                      <w:rFonts w:hint="default" w:eastAsia="宋体"/>
                      <w:color w:val="auto"/>
                      <w:lang w:val="en-US" w:eastAsia="zh-CN"/>
                    </w:rPr>
                  </w:pPr>
                  <w:r>
                    <w:rPr>
                      <w:rFonts w:hint="eastAsia"/>
                      <w:color w:val="auto"/>
                      <w:lang w:val="en-US" w:eastAsia="zh-CN"/>
                    </w:rPr>
                    <w:t>0.10</w:t>
                  </w:r>
                </w:p>
              </w:tc>
              <w:tc>
                <w:tcPr>
                  <w:tcW w:w="656" w:type="dxa"/>
                  <w:tcBorders>
                    <w:tl2br w:val="nil"/>
                    <w:tr2bl w:val="nil"/>
                  </w:tcBorders>
                  <w:noWrap/>
                  <w:vAlign w:val="center"/>
                </w:tcPr>
                <w:p w14:paraId="376ECA39">
                  <w:pPr>
                    <w:adjustRightInd w:val="0"/>
                    <w:snapToGrid w:val="0"/>
                    <w:spacing w:before="60" w:after="60"/>
                    <w:jc w:val="center"/>
                    <w:rPr>
                      <w:rFonts w:hint="eastAsia"/>
                      <w:color w:val="auto"/>
                    </w:rPr>
                  </w:pPr>
                  <w:r>
                    <w:rPr>
                      <w:rFonts w:hint="eastAsia"/>
                      <w:color w:val="auto"/>
                      <w:szCs w:val="21"/>
                      <w:lang w:eastAsia="zh-CN"/>
                    </w:rPr>
                    <w:t>堆放</w:t>
                  </w:r>
                  <w:r>
                    <w:rPr>
                      <w:color w:val="auto"/>
                      <w:szCs w:val="21"/>
                    </w:rPr>
                    <w:t>，暂存于危废间</w:t>
                  </w:r>
                </w:p>
              </w:tc>
              <w:tc>
                <w:tcPr>
                  <w:tcW w:w="697" w:type="dxa"/>
                  <w:tcBorders>
                    <w:tl2br w:val="nil"/>
                    <w:tr2bl w:val="nil"/>
                  </w:tcBorders>
                  <w:noWrap/>
                  <w:vAlign w:val="center"/>
                </w:tcPr>
                <w:p w14:paraId="34B695A3">
                  <w:pPr>
                    <w:adjustRightInd w:val="0"/>
                    <w:snapToGrid w:val="0"/>
                    <w:spacing w:before="60" w:after="60"/>
                    <w:jc w:val="center"/>
                    <w:rPr>
                      <w:rFonts w:hint="eastAsia"/>
                      <w:color w:val="auto"/>
                    </w:rPr>
                  </w:pPr>
                  <w:r>
                    <w:rPr>
                      <w:color w:val="auto"/>
                      <w:szCs w:val="21"/>
                    </w:rPr>
                    <w:t>委托有资质单位处置</w:t>
                  </w:r>
                </w:p>
              </w:tc>
              <w:tc>
                <w:tcPr>
                  <w:tcW w:w="667" w:type="dxa"/>
                  <w:tcBorders>
                    <w:tl2br w:val="nil"/>
                    <w:tr2bl w:val="nil"/>
                  </w:tcBorders>
                  <w:noWrap/>
                  <w:vAlign w:val="center"/>
                </w:tcPr>
                <w:p w14:paraId="15B36006">
                  <w:pPr>
                    <w:adjustRightInd w:val="0"/>
                    <w:snapToGrid w:val="0"/>
                    <w:spacing w:before="60" w:after="60"/>
                    <w:jc w:val="center"/>
                    <w:rPr>
                      <w:rFonts w:hint="default" w:eastAsia="宋体"/>
                      <w:color w:val="auto"/>
                      <w:lang w:val="en-US" w:eastAsia="zh-CN"/>
                    </w:rPr>
                  </w:pPr>
                  <w:r>
                    <w:rPr>
                      <w:rFonts w:hint="eastAsia"/>
                      <w:color w:val="auto"/>
                      <w:szCs w:val="21"/>
                      <w:lang w:val="en-US" w:eastAsia="zh-CN"/>
                    </w:rPr>
                    <w:t>0.100</w:t>
                  </w:r>
                </w:p>
              </w:tc>
            </w:tr>
          </w:tbl>
          <w:p w14:paraId="0EB6164A">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contextualSpacing/>
              <w:textAlignment w:val="auto"/>
              <w:rPr>
                <w:rFonts w:hint="default" w:ascii="Times New Roman" w:hAnsi="Times New Roman" w:eastAsia="宋体" w:cs="Times New Roman"/>
                <w:b/>
                <w:bCs/>
                <w:color w:val="auto"/>
                <w:kern w:val="18"/>
                <w:sz w:val="24"/>
                <w:szCs w:val="24"/>
                <w:highlight w:val="none"/>
              </w:rPr>
            </w:pPr>
            <w:r>
              <w:rPr>
                <w:rFonts w:hint="default" w:ascii="Times New Roman" w:hAnsi="Times New Roman" w:eastAsia="宋体" w:cs="Times New Roman"/>
                <w:color w:val="auto"/>
                <w:sz w:val="24"/>
                <w:szCs w:val="24"/>
                <w:highlight w:val="none"/>
              </w:rPr>
              <w:t>根据现场踏勘，</w:t>
            </w:r>
            <w:r>
              <w:rPr>
                <w:rFonts w:hint="eastAsia" w:cs="Times New Roman"/>
                <w:color w:val="auto"/>
                <w:sz w:val="24"/>
                <w:szCs w:val="24"/>
                <w:highlight w:val="none"/>
                <w:lang w:val="en-US" w:eastAsia="zh-CN"/>
              </w:rPr>
              <w:t>危</w:t>
            </w:r>
            <w:r>
              <w:rPr>
                <w:rFonts w:hint="default" w:ascii="Times New Roman" w:hAnsi="Times New Roman" w:eastAsia="宋体" w:cs="Times New Roman"/>
                <w:color w:val="auto"/>
                <w:sz w:val="24"/>
                <w:szCs w:val="24"/>
                <w:highlight w:val="none"/>
              </w:rPr>
              <w:t>险废物暂存间已单独建设，已规范建设危险废物暂存间，危废暂存间设置</w:t>
            </w:r>
            <w:r>
              <w:rPr>
                <w:rFonts w:hint="eastAsia" w:cs="Times New Roman"/>
                <w:color w:val="auto"/>
                <w:sz w:val="24"/>
                <w:szCs w:val="24"/>
                <w:highlight w:val="none"/>
                <w:lang w:val="en-US" w:eastAsia="zh-CN"/>
              </w:rPr>
              <w:t>了</w:t>
            </w:r>
            <w:r>
              <w:rPr>
                <w:rFonts w:hint="default" w:ascii="Times New Roman" w:hAnsi="Times New Roman" w:eastAsia="宋体" w:cs="Times New Roman"/>
                <w:color w:val="auto"/>
                <w:sz w:val="24"/>
                <w:szCs w:val="24"/>
                <w:highlight w:val="none"/>
              </w:rPr>
              <w:t>重点防渗，危险废物做到分类收集，张贴危废标识，符合环保要求。</w:t>
            </w:r>
          </w:p>
          <w:p w14:paraId="11C26A2B">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default" w:ascii="Times New Roman" w:hAnsi="Times New Roman" w:eastAsia="宋体" w:cs="Times New Roman"/>
                <w:b/>
                <w:color w:val="auto"/>
                <w:sz w:val="24"/>
                <w:szCs w:val="24"/>
                <w:highlight w:val="none"/>
                <w:lang w:eastAsia="zh-CN"/>
              </w:rPr>
            </w:pPr>
            <w:r>
              <w:rPr>
                <w:rFonts w:hint="eastAsia" w:cs="Times New Roman"/>
                <w:b/>
                <w:color w:val="auto"/>
                <w:sz w:val="24"/>
                <w:szCs w:val="24"/>
                <w:highlight w:val="none"/>
                <w:lang w:eastAsia="zh-CN"/>
              </w:rPr>
              <w:t>二</w:t>
            </w:r>
            <w:r>
              <w:rPr>
                <w:rFonts w:hint="default" w:ascii="Times New Roman" w:hAnsi="Times New Roman" w:cs="Times New Roman"/>
                <w:b/>
                <w:color w:val="auto"/>
                <w:sz w:val="24"/>
                <w:szCs w:val="24"/>
                <w:highlight w:val="none"/>
              </w:rPr>
              <w:t>、主要环境问题</w:t>
            </w:r>
          </w:p>
          <w:p w14:paraId="789AC2F8">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contextualSpacing/>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根据现场勘查，现有项目无存在的环境整改问题</w:t>
            </w:r>
            <w:r>
              <w:rPr>
                <w:rFonts w:hint="eastAsia" w:ascii="Times New Roman" w:hAnsi="Times New Roman" w:eastAsia="宋体" w:cs="Times New Roman"/>
                <w:color w:val="auto"/>
                <w:sz w:val="24"/>
                <w:szCs w:val="24"/>
                <w:highlight w:val="none"/>
                <w:lang w:val="en-US" w:eastAsia="zh-CN"/>
              </w:rPr>
              <w:t>。</w:t>
            </w:r>
          </w:p>
          <w:p w14:paraId="1B3F78D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color w:val="auto"/>
                <w:kern w:val="0"/>
                <w:sz w:val="24"/>
              </w:rPr>
            </w:pPr>
          </w:p>
          <w:p w14:paraId="4CDA0180">
            <w:pPr>
              <w:pStyle w:val="10"/>
              <w:rPr>
                <w:rFonts w:hint="eastAsia"/>
                <w:color w:val="auto"/>
                <w:lang w:val="en-US" w:eastAsia="zh-CN"/>
              </w:rPr>
            </w:pPr>
          </w:p>
          <w:p w14:paraId="55DA3713">
            <w:pPr>
              <w:pStyle w:val="10"/>
              <w:rPr>
                <w:rFonts w:hint="eastAsia" w:eastAsia="宋体"/>
                <w:color w:val="auto"/>
                <w:lang w:val="en-US" w:eastAsia="zh-CN"/>
              </w:rPr>
            </w:pPr>
          </w:p>
        </w:tc>
      </w:tr>
    </w:tbl>
    <w:p w14:paraId="011B87BA">
      <w:pPr>
        <w:pStyle w:val="25"/>
        <w:jc w:val="center"/>
        <w:rPr>
          <w:rFonts w:ascii="Times New Roman" w:hAnsi="Times New Roman" w:eastAsia="黑体"/>
          <w:snapToGrid w:val="0"/>
          <w:color w:val="auto"/>
          <w:kern w:val="21"/>
          <w:sz w:val="36"/>
          <w:szCs w:val="36"/>
        </w:rPr>
        <w:sectPr>
          <w:pgSz w:w="11906" w:h="16838"/>
          <w:pgMar w:top="1701" w:right="1531" w:bottom="1701" w:left="1531" w:header="851" w:footer="851" w:gutter="0"/>
          <w:cols w:space="720" w:num="1"/>
          <w:docGrid w:linePitch="312" w:charSpace="0"/>
        </w:sectPr>
      </w:pPr>
    </w:p>
    <w:p w14:paraId="6AFDD64F">
      <w:pPr>
        <w:pStyle w:val="25"/>
        <w:jc w:val="center"/>
        <w:outlineLvl w:val="0"/>
        <w:rPr>
          <w:rFonts w:ascii="Times New Roman" w:hAnsi="Times New Roman" w:eastAsia="黑体"/>
          <w:snapToGrid w:val="0"/>
          <w:color w:val="auto"/>
          <w:kern w:val="21"/>
          <w:sz w:val="30"/>
          <w:szCs w:val="30"/>
        </w:rPr>
      </w:pPr>
      <w:r>
        <w:rPr>
          <w:rFonts w:ascii="Times New Roman" w:hAnsi="Times New Roman" w:eastAsia="黑体"/>
          <w:snapToGrid w:val="0"/>
          <w:color w:val="auto"/>
          <w:kern w:val="21"/>
          <w:sz w:val="30"/>
          <w:szCs w:val="30"/>
        </w:rPr>
        <w:t>三、区域环境质量现状、环境保护目标及评价标准</w:t>
      </w:r>
    </w:p>
    <w:tbl>
      <w:tblPr>
        <w:tblStyle w:val="29"/>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8620"/>
      </w:tblGrid>
      <w:tr w14:paraId="3CA527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115FF274">
            <w:pPr>
              <w:adjustRightInd w:val="0"/>
              <w:snapToGrid w:val="0"/>
              <w:jc w:val="center"/>
              <w:rPr>
                <w:color w:val="auto"/>
                <w:kern w:val="21"/>
                <w:szCs w:val="21"/>
              </w:rPr>
            </w:pPr>
            <w:r>
              <w:rPr>
                <w:b/>
                <w:bCs/>
                <w:color w:val="auto"/>
                <w:kern w:val="21"/>
                <w:sz w:val="24"/>
              </w:rPr>
              <w:t>区域环境质量现状</w:t>
            </w:r>
          </w:p>
        </w:tc>
        <w:tc>
          <w:tcPr>
            <w:tcW w:w="7736" w:type="dxa"/>
            <w:vAlign w:val="center"/>
          </w:tcPr>
          <w:p w14:paraId="4E93DA33">
            <w:pPr>
              <w:widowControl/>
              <w:adjustRightInd w:val="0"/>
              <w:snapToGrid w:val="0"/>
              <w:spacing w:beforeLines="50" w:line="360" w:lineRule="auto"/>
              <w:jc w:val="left"/>
              <w:rPr>
                <w:color w:val="auto"/>
                <w:sz w:val="24"/>
              </w:rPr>
            </w:pPr>
            <w:r>
              <w:rPr>
                <w:b/>
                <w:bCs/>
                <w:color w:val="auto"/>
                <w:kern w:val="0"/>
                <w:sz w:val="24"/>
              </w:rPr>
              <w:t>一、大气环境质量现状</w:t>
            </w:r>
          </w:p>
          <w:p w14:paraId="53C6FAB7">
            <w:pPr>
              <w:widowControl/>
              <w:spacing w:line="360" w:lineRule="auto"/>
              <w:ind w:firstLine="482" w:firstLineChars="200"/>
              <w:rPr>
                <w:b/>
                <w:bCs/>
                <w:color w:val="auto"/>
                <w:kern w:val="0"/>
                <w:sz w:val="24"/>
              </w:rPr>
            </w:pPr>
            <w:r>
              <w:rPr>
                <w:rFonts w:hint="eastAsia"/>
                <w:b/>
                <w:bCs/>
                <w:color w:val="auto"/>
                <w:kern w:val="0"/>
                <w:sz w:val="24"/>
              </w:rPr>
              <w:t>1、区域大气环境质量</w:t>
            </w:r>
          </w:p>
          <w:p w14:paraId="03FE87FD">
            <w:pPr>
              <w:widowControl/>
              <w:spacing w:line="360" w:lineRule="auto"/>
              <w:ind w:firstLine="480" w:firstLineChars="200"/>
              <w:rPr>
                <w:color w:val="auto"/>
                <w:kern w:val="0"/>
                <w:sz w:val="24"/>
              </w:rPr>
            </w:pPr>
            <w:r>
              <w:rPr>
                <w:rFonts w:hint="eastAsia"/>
                <w:color w:val="auto"/>
                <w:kern w:val="0"/>
                <w:sz w:val="24"/>
              </w:rPr>
              <w:t>本次评价选用《</w:t>
            </w:r>
            <w:r>
              <w:rPr>
                <w:rFonts w:hint="eastAsia"/>
                <w:color w:val="auto"/>
                <w:kern w:val="0"/>
                <w:sz w:val="24"/>
                <w:lang w:eastAsia="zh-CN"/>
              </w:rPr>
              <w:t>2024年淮南市生态环境质量状况公报</w:t>
            </w:r>
            <w:r>
              <w:rPr>
                <w:rFonts w:hint="eastAsia"/>
                <w:color w:val="auto"/>
                <w:kern w:val="0"/>
                <w:sz w:val="24"/>
              </w:rPr>
              <w:t>》，对项目区域的环境质量现状进行评价。本项目环境空气执行《环境空气质量标准》（GB3095-2012）二级标准。</w:t>
            </w:r>
          </w:p>
          <w:p w14:paraId="350A9BA7">
            <w:pPr>
              <w:widowControl/>
              <w:spacing w:line="360" w:lineRule="auto"/>
              <w:ind w:firstLine="480" w:firstLineChars="200"/>
              <w:rPr>
                <w:rFonts w:hint="eastAsia"/>
                <w:color w:val="auto"/>
                <w:kern w:val="0"/>
                <w:sz w:val="24"/>
              </w:rPr>
            </w:pPr>
            <w:r>
              <w:rPr>
                <w:rFonts w:hint="eastAsia"/>
                <w:color w:val="auto"/>
                <w:kern w:val="0"/>
                <w:sz w:val="24"/>
              </w:rPr>
              <w:t>2024年，全市环境空气质量一级（优）65天，二级（良）218天，三级（轻度污染）69天，四级（中度污染）13天，五级（重度污染）1天；全市年度环境空气达标天数比例为77.3%，与上年相比下降了3.2个百分点；全市环境空气综合指数为3.87，首要污染物为细颗粒物。</w:t>
            </w:r>
          </w:p>
          <w:p w14:paraId="0C2A0175">
            <w:pPr>
              <w:widowControl/>
              <w:spacing w:line="360" w:lineRule="auto"/>
              <w:ind w:firstLine="480" w:firstLineChars="200"/>
              <w:rPr>
                <w:rFonts w:hint="eastAsia"/>
                <w:color w:val="auto"/>
                <w:kern w:val="0"/>
                <w:sz w:val="24"/>
              </w:rPr>
            </w:pPr>
            <w:r>
              <w:rPr>
                <w:rFonts w:hint="eastAsia"/>
                <w:color w:val="auto"/>
                <w:kern w:val="0"/>
                <w:sz w:val="24"/>
              </w:rPr>
              <w:t>细颗粒物（PM</w:t>
            </w:r>
            <w:r>
              <w:rPr>
                <w:rFonts w:hint="eastAsia"/>
                <w:color w:val="auto"/>
                <w:kern w:val="0"/>
                <w:sz w:val="24"/>
                <w:vertAlign w:val="subscript"/>
              </w:rPr>
              <w:t>2.5</w:t>
            </w:r>
            <w:r>
              <w:rPr>
                <w:rFonts w:hint="eastAsia"/>
                <w:color w:val="auto"/>
                <w:kern w:val="0"/>
                <w:sz w:val="24"/>
              </w:rPr>
              <w:t>）日均浓度范围为7～156微克/立方米，日均值达标率为87.6%。年均值为40.0微克/立方米，与上年相比上升了3.4个百分点。</w:t>
            </w:r>
          </w:p>
          <w:p w14:paraId="7563EF5B">
            <w:pPr>
              <w:widowControl/>
              <w:spacing w:line="360" w:lineRule="auto"/>
              <w:ind w:firstLine="480" w:firstLineChars="200"/>
              <w:rPr>
                <w:rFonts w:hint="eastAsia"/>
                <w:color w:val="auto"/>
                <w:kern w:val="0"/>
                <w:sz w:val="24"/>
              </w:rPr>
            </w:pPr>
            <w:r>
              <w:rPr>
                <w:rFonts w:hint="eastAsia"/>
                <w:color w:val="auto"/>
                <w:kern w:val="0"/>
                <w:sz w:val="24"/>
              </w:rPr>
              <w:t>可吸入颗粒物（PM</w:t>
            </w:r>
            <w:r>
              <w:rPr>
                <w:rFonts w:hint="eastAsia"/>
                <w:color w:val="auto"/>
                <w:kern w:val="0"/>
                <w:sz w:val="24"/>
                <w:vertAlign w:val="subscript"/>
              </w:rPr>
              <w:t>10</w:t>
            </w:r>
            <w:r>
              <w:rPr>
                <w:rFonts w:hint="eastAsia"/>
                <w:color w:val="auto"/>
                <w:kern w:val="0"/>
                <w:sz w:val="24"/>
              </w:rPr>
              <w:t>）日均浓度范围为10～262微克/立方米，日均值达标率为96.0%。年均值为65.0微克/立方米，与上年相比下降了1.4个百分点。</w:t>
            </w:r>
          </w:p>
          <w:p w14:paraId="3E48C76E">
            <w:pPr>
              <w:widowControl/>
              <w:spacing w:line="360" w:lineRule="auto"/>
              <w:ind w:firstLine="480" w:firstLineChars="200"/>
              <w:rPr>
                <w:rFonts w:hint="eastAsia"/>
                <w:color w:val="auto"/>
                <w:kern w:val="0"/>
                <w:sz w:val="24"/>
              </w:rPr>
            </w:pPr>
            <w:r>
              <w:rPr>
                <w:rFonts w:hint="eastAsia"/>
                <w:color w:val="auto"/>
                <w:kern w:val="0"/>
                <w:sz w:val="24"/>
              </w:rPr>
              <w:t>二氧化氮（NO</w:t>
            </w:r>
            <w:r>
              <w:rPr>
                <w:rFonts w:hint="eastAsia"/>
                <w:color w:val="auto"/>
                <w:kern w:val="0"/>
                <w:sz w:val="24"/>
                <w:vertAlign w:val="subscript"/>
              </w:rPr>
              <w:t>2</w:t>
            </w:r>
            <w:r>
              <w:rPr>
                <w:rFonts w:hint="eastAsia"/>
                <w:color w:val="auto"/>
                <w:kern w:val="0"/>
                <w:sz w:val="24"/>
              </w:rPr>
              <w:t>）日均浓度范围为5～47微克/立方米，日均值达标率为100%。年均浓度为19微克/立方米，与上年相比下降了9.5个百分点。</w:t>
            </w:r>
          </w:p>
          <w:p w14:paraId="11EBBA2D">
            <w:pPr>
              <w:widowControl/>
              <w:spacing w:line="360" w:lineRule="auto"/>
              <w:ind w:firstLine="480" w:firstLineChars="200"/>
              <w:rPr>
                <w:rFonts w:hint="eastAsia"/>
                <w:color w:val="auto"/>
                <w:kern w:val="0"/>
                <w:sz w:val="24"/>
              </w:rPr>
            </w:pPr>
            <w:r>
              <w:rPr>
                <w:rFonts w:hint="eastAsia"/>
                <w:color w:val="auto"/>
                <w:kern w:val="0"/>
                <w:sz w:val="24"/>
              </w:rPr>
              <w:t>二氧化硫（SO</w:t>
            </w:r>
            <w:r>
              <w:rPr>
                <w:rFonts w:hint="eastAsia"/>
                <w:color w:val="auto"/>
                <w:kern w:val="0"/>
                <w:sz w:val="24"/>
                <w:vertAlign w:val="subscript"/>
              </w:rPr>
              <w:t>2</w:t>
            </w:r>
            <w:r>
              <w:rPr>
                <w:rFonts w:hint="eastAsia"/>
                <w:color w:val="auto"/>
                <w:kern w:val="0"/>
                <w:sz w:val="24"/>
              </w:rPr>
              <w:t>）日均浓度范围为2～13微克/立方米，日均值达标率为100%。年均浓度为7微克/立方米，与上年相比下降了12.5个百分点。</w:t>
            </w:r>
          </w:p>
          <w:p w14:paraId="48779FDC">
            <w:pPr>
              <w:widowControl/>
              <w:spacing w:line="360" w:lineRule="auto"/>
              <w:ind w:firstLine="480" w:firstLineChars="200"/>
              <w:rPr>
                <w:rFonts w:hint="eastAsia"/>
                <w:color w:val="auto"/>
                <w:kern w:val="0"/>
                <w:sz w:val="24"/>
              </w:rPr>
            </w:pPr>
            <w:r>
              <w:rPr>
                <w:rFonts w:hint="eastAsia"/>
                <w:color w:val="auto"/>
                <w:kern w:val="0"/>
                <w:sz w:val="24"/>
              </w:rPr>
              <w:t>一氧化碳（CO）日均浓度范围为0.2～1.1毫克/立方米，日均值达标率为100%。日均值第95百分位数为0.8毫克/立方米，与上年相比上升了14.3个百分点。</w:t>
            </w:r>
          </w:p>
          <w:p w14:paraId="2786D658">
            <w:pPr>
              <w:widowControl/>
              <w:spacing w:line="360" w:lineRule="auto"/>
              <w:ind w:firstLine="480" w:firstLineChars="200"/>
              <w:rPr>
                <w:rFonts w:hint="eastAsia"/>
                <w:color w:val="auto"/>
                <w:kern w:val="0"/>
                <w:sz w:val="24"/>
              </w:rPr>
            </w:pPr>
            <w:r>
              <w:rPr>
                <w:rFonts w:hint="eastAsia"/>
                <w:color w:val="auto"/>
                <w:kern w:val="0"/>
                <w:sz w:val="24"/>
              </w:rPr>
              <w:t>臭氧日最大8小时（O</w:t>
            </w:r>
            <w:r>
              <w:rPr>
                <w:rFonts w:hint="eastAsia"/>
                <w:color w:val="auto"/>
                <w:kern w:val="0"/>
                <w:sz w:val="24"/>
                <w:vertAlign w:val="subscript"/>
              </w:rPr>
              <w:t>3</w:t>
            </w:r>
            <w:r>
              <w:rPr>
                <w:rFonts w:hint="eastAsia"/>
                <w:color w:val="auto"/>
                <w:kern w:val="0"/>
                <w:sz w:val="24"/>
              </w:rPr>
              <w:t>-8h）滑动平均值范围为16～227微克/立方米，达标率为90.4%。日最大8小时滑动平均值第90百分位数为160微克/立方米，与上年相比上升了1.9个百分点。</w:t>
            </w:r>
          </w:p>
          <w:p w14:paraId="44A9A5FB">
            <w:pPr>
              <w:widowControl/>
              <w:spacing w:line="360" w:lineRule="auto"/>
              <w:ind w:firstLine="480" w:firstLineChars="200"/>
              <w:rPr>
                <w:rFonts w:hint="eastAsia"/>
                <w:color w:val="auto"/>
                <w:kern w:val="0"/>
                <w:sz w:val="24"/>
              </w:rPr>
            </w:pPr>
            <w:r>
              <w:rPr>
                <w:rFonts w:hint="eastAsia"/>
                <w:color w:val="auto"/>
                <w:kern w:val="0"/>
                <w:sz w:val="24"/>
              </w:rPr>
              <w:t>2.酸雨。2024年，全市降水pH值范围在6.21～6.98之间，年均值为6.55。全年未出现酸性降水，酸雨频率为0。与上年相比无明显变化。</w:t>
            </w:r>
          </w:p>
          <w:p w14:paraId="38DF080E">
            <w:pPr>
              <w:widowControl/>
              <w:spacing w:line="360" w:lineRule="auto"/>
              <w:ind w:firstLine="480" w:firstLineChars="200"/>
              <w:rPr>
                <w:color w:val="auto"/>
                <w:kern w:val="0"/>
                <w:sz w:val="24"/>
              </w:rPr>
            </w:pPr>
            <w:r>
              <w:rPr>
                <w:rFonts w:hint="eastAsia"/>
                <w:color w:val="auto"/>
                <w:kern w:val="0"/>
                <w:sz w:val="24"/>
              </w:rPr>
              <w:t>3.降尘。2024年，全市市区降尘量均值为4.3吨/平方公里·月，各县区降尘量均值在3.4～4.9吨/平方公里·月之间，均达到考核要求。与上年相比，市区年均降尘量下降了2.3个百分点。</w:t>
            </w:r>
          </w:p>
          <w:p w14:paraId="3F56A48C">
            <w:pPr>
              <w:widowControl/>
              <w:spacing w:line="360" w:lineRule="auto"/>
              <w:ind w:firstLine="480" w:firstLineChars="200"/>
              <w:rPr>
                <w:color w:val="auto"/>
                <w:kern w:val="0"/>
                <w:sz w:val="24"/>
              </w:rPr>
            </w:pPr>
            <w:r>
              <w:rPr>
                <w:rFonts w:hint="eastAsia"/>
                <w:color w:val="auto"/>
                <w:kern w:val="0"/>
                <w:sz w:val="24"/>
              </w:rPr>
              <w:t>年报数据如下：</w:t>
            </w:r>
          </w:p>
          <w:p w14:paraId="31760A7D">
            <w:pPr>
              <w:widowControl/>
              <w:jc w:val="center"/>
              <w:rPr>
                <w:b/>
                <w:bCs/>
                <w:color w:val="auto"/>
                <w:szCs w:val="21"/>
              </w:rPr>
            </w:pPr>
            <w:r>
              <w:rPr>
                <w:b/>
                <w:bCs/>
                <w:color w:val="auto"/>
                <w:szCs w:val="21"/>
              </w:rPr>
              <w:t>表3-1 区域空气质量现状评价表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5"/>
              <w:gridCol w:w="3087"/>
              <w:gridCol w:w="1204"/>
              <w:gridCol w:w="965"/>
              <w:gridCol w:w="965"/>
              <w:gridCol w:w="1205"/>
            </w:tblGrid>
            <w:tr w14:paraId="5A47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06497E5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污染物</w:t>
                  </w:r>
                </w:p>
              </w:tc>
              <w:tc>
                <w:tcPr>
                  <w:tcW w:w="1839"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30EDA3D">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年评价指标</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0CC5733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现状浓度</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48F8E3A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标准值</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6695E3B4">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占标率</w:t>
                  </w:r>
                </w:p>
              </w:tc>
              <w:tc>
                <w:tcPr>
                  <w:tcW w:w="717"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5067D09C">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达标情况</w:t>
                  </w:r>
                </w:p>
              </w:tc>
            </w:tr>
            <w:tr w14:paraId="21F6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5C2343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p>
              </w:tc>
              <w:tc>
                <w:tcPr>
                  <w:tcW w:w="1839"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FC3036F">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3F0F85EB">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ug/m³</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79573C28">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ug/m³</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153FE1A8">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w:t>
                  </w:r>
                </w:p>
              </w:tc>
              <w:tc>
                <w:tcPr>
                  <w:tcW w:w="717"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52F33651">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p>
              </w:tc>
            </w:tr>
            <w:tr w14:paraId="7E1A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tcBorders>
                    <w:top w:val="single" w:color="auto" w:sz="4" w:space="0"/>
                    <w:left w:val="single" w:color="auto" w:sz="4" w:space="0"/>
                    <w:right w:val="single" w:color="auto" w:sz="4" w:space="0"/>
                    <w:tl2br w:val="nil"/>
                    <w:tr2bl w:val="nil"/>
                  </w:tcBorders>
                  <w:noWrap/>
                  <w:vAlign w:val="center"/>
                </w:tcPr>
                <w:p w14:paraId="46FD3194">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rPr>
                    <w:t>PM</w:t>
                  </w:r>
                  <w:r>
                    <w:rPr>
                      <w:rFonts w:hint="eastAsia"/>
                      <w:color w:val="auto"/>
                      <w:vertAlign w:val="subscript"/>
                    </w:rPr>
                    <w:t>10</w:t>
                  </w:r>
                </w:p>
              </w:tc>
              <w:tc>
                <w:tcPr>
                  <w:tcW w:w="1839" w:type="pct"/>
                  <w:tcBorders>
                    <w:top w:val="single" w:color="auto" w:sz="4" w:space="0"/>
                    <w:left w:val="single" w:color="auto" w:sz="4" w:space="0"/>
                    <w:bottom w:val="single" w:color="auto" w:sz="4" w:space="0"/>
                    <w:right w:val="single" w:color="auto" w:sz="4" w:space="0"/>
                    <w:tl2br w:val="nil"/>
                    <w:tr2bl w:val="nil"/>
                  </w:tcBorders>
                  <w:noWrap/>
                  <w:vAlign w:val="center"/>
                </w:tcPr>
                <w:p w14:paraId="43994797">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rFonts w:hint="eastAsia" w:eastAsia="宋体"/>
                      <w:color w:val="auto"/>
                      <w:lang w:eastAsia="zh-CN"/>
                    </w:rPr>
                  </w:pPr>
                  <w:r>
                    <w:rPr>
                      <w:rFonts w:hint="eastAsia"/>
                      <w:color w:val="auto"/>
                      <w:lang w:eastAsia="zh-CN"/>
                    </w:rPr>
                    <w:t>年均值</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48791245">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65.0</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2958F303">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color w:val="auto"/>
                      <w:szCs w:val="21"/>
                    </w:rPr>
                  </w:pPr>
                  <w:r>
                    <w:rPr>
                      <w:color w:val="auto"/>
                      <w:szCs w:val="21"/>
                    </w:rPr>
                    <w:t>70</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70073215">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92.9</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11FCED5F">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eastAsia="宋体"/>
                      <w:color w:val="auto"/>
                      <w:szCs w:val="21"/>
                      <w:lang w:eastAsia="zh-CN"/>
                    </w:rPr>
                  </w:pPr>
                  <w:r>
                    <w:rPr>
                      <w:rFonts w:hint="eastAsia"/>
                      <w:color w:val="auto"/>
                      <w:szCs w:val="21"/>
                      <w:lang w:eastAsia="zh-CN"/>
                    </w:rPr>
                    <w:t>达标</w:t>
                  </w:r>
                </w:p>
              </w:tc>
            </w:tr>
            <w:tr w14:paraId="0481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tcBorders>
                    <w:top w:val="single" w:color="auto" w:sz="4" w:space="0"/>
                    <w:left w:val="single" w:color="auto" w:sz="4" w:space="0"/>
                    <w:right w:val="single" w:color="auto" w:sz="4" w:space="0"/>
                    <w:tl2br w:val="nil"/>
                    <w:tr2bl w:val="nil"/>
                  </w:tcBorders>
                  <w:noWrap/>
                  <w:vAlign w:val="center"/>
                </w:tcPr>
                <w:p w14:paraId="72280DED">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rPr>
                    <w:t>PM</w:t>
                  </w:r>
                  <w:r>
                    <w:rPr>
                      <w:rFonts w:hint="eastAsia"/>
                      <w:color w:val="auto"/>
                      <w:vertAlign w:val="subscript"/>
                    </w:rPr>
                    <w:t>2.5</w:t>
                  </w:r>
                </w:p>
              </w:tc>
              <w:tc>
                <w:tcPr>
                  <w:tcW w:w="1839" w:type="pct"/>
                  <w:tcBorders>
                    <w:top w:val="single" w:color="auto" w:sz="4" w:space="0"/>
                    <w:left w:val="single" w:color="auto" w:sz="4" w:space="0"/>
                    <w:bottom w:val="single" w:color="auto" w:sz="4" w:space="0"/>
                    <w:right w:val="single" w:color="auto" w:sz="4" w:space="0"/>
                    <w:tl2br w:val="nil"/>
                    <w:tr2bl w:val="nil"/>
                  </w:tcBorders>
                  <w:noWrap/>
                  <w:vAlign w:val="center"/>
                </w:tcPr>
                <w:p w14:paraId="785630F9">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lang w:eastAsia="zh-CN"/>
                    </w:rPr>
                    <w:t>年均值</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2673290A">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40.0</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3910649E">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color w:val="auto"/>
                      <w:szCs w:val="21"/>
                    </w:rPr>
                  </w:pPr>
                  <w:r>
                    <w:rPr>
                      <w:color w:val="auto"/>
                      <w:szCs w:val="21"/>
                    </w:rPr>
                    <w:t>35</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493A5488">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114.3</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0E96D270">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eastAsia="宋体"/>
                      <w:color w:val="auto"/>
                      <w:szCs w:val="21"/>
                      <w:lang w:eastAsia="zh-CN"/>
                    </w:rPr>
                  </w:pPr>
                  <w:r>
                    <w:rPr>
                      <w:rFonts w:hint="eastAsia"/>
                      <w:color w:val="auto"/>
                      <w:szCs w:val="21"/>
                      <w:lang w:eastAsia="zh-CN"/>
                    </w:rPr>
                    <w:t>不达标</w:t>
                  </w:r>
                </w:p>
              </w:tc>
            </w:tr>
            <w:tr w14:paraId="0F13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tcBorders>
                    <w:top w:val="single" w:color="auto" w:sz="4" w:space="0"/>
                    <w:left w:val="single" w:color="auto" w:sz="4" w:space="0"/>
                    <w:right w:val="single" w:color="auto" w:sz="4" w:space="0"/>
                    <w:tl2br w:val="nil"/>
                    <w:tr2bl w:val="nil"/>
                  </w:tcBorders>
                  <w:noWrap/>
                  <w:vAlign w:val="center"/>
                </w:tcPr>
                <w:p w14:paraId="727720C6">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rPr>
                    <w:t>SO</w:t>
                  </w:r>
                  <w:r>
                    <w:rPr>
                      <w:rFonts w:hint="eastAsia"/>
                      <w:color w:val="auto"/>
                      <w:vertAlign w:val="subscript"/>
                    </w:rPr>
                    <w:t>2</w:t>
                  </w:r>
                </w:p>
              </w:tc>
              <w:tc>
                <w:tcPr>
                  <w:tcW w:w="1839" w:type="pct"/>
                  <w:tcBorders>
                    <w:top w:val="single" w:color="auto" w:sz="4" w:space="0"/>
                    <w:left w:val="single" w:color="auto" w:sz="4" w:space="0"/>
                    <w:bottom w:val="single" w:color="auto" w:sz="4" w:space="0"/>
                    <w:right w:val="single" w:color="auto" w:sz="4" w:space="0"/>
                    <w:tl2br w:val="nil"/>
                    <w:tr2bl w:val="nil"/>
                  </w:tcBorders>
                  <w:noWrap/>
                  <w:vAlign w:val="center"/>
                </w:tcPr>
                <w:p w14:paraId="4DDCCF2C">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rPr>
                  </w:pPr>
                  <w:r>
                    <w:rPr>
                      <w:rFonts w:hint="eastAsia"/>
                      <w:color w:val="auto"/>
                      <w:lang w:eastAsia="zh-CN"/>
                    </w:rPr>
                    <w:t>年均值</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59DA29CE">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7</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40185D8D">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60</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4B9C97CD">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11.7</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7022565C">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达标</w:t>
                  </w:r>
                </w:p>
              </w:tc>
            </w:tr>
            <w:tr w14:paraId="6B17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tcBorders>
                    <w:top w:val="single" w:color="auto" w:sz="4" w:space="0"/>
                    <w:left w:val="single" w:color="auto" w:sz="4" w:space="0"/>
                    <w:right w:val="single" w:color="auto" w:sz="4" w:space="0"/>
                    <w:tl2br w:val="nil"/>
                    <w:tr2bl w:val="nil"/>
                  </w:tcBorders>
                  <w:shd w:val="clear" w:color="auto" w:fill="auto"/>
                  <w:noWrap/>
                  <w:vAlign w:val="center"/>
                </w:tcPr>
                <w:p w14:paraId="79585914">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rFonts w:hint="eastAsia" w:ascii="Times New Roman" w:hAnsi="Times New Roman" w:eastAsia="宋体" w:cs="Times New Roman"/>
                      <w:color w:val="auto"/>
                      <w:kern w:val="2"/>
                      <w:sz w:val="21"/>
                      <w:szCs w:val="21"/>
                      <w:lang w:val="en-US" w:eastAsia="zh-CN" w:bidi="ar-SA"/>
                    </w:rPr>
                  </w:pPr>
                  <w:r>
                    <w:rPr>
                      <w:rFonts w:hint="eastAsia"/>
                      <w:color w:val="auto"/>
                    </w:rPr>
                    <w:t>NO</w:t>
                  </w:r>
                  <w:r>
                    <w:rPr>
                      <w:rFonts w:hint="eastAsia"/>
                      <w:color w:val="auto"/>
                      <w:vertAlign w:val="subscript"/>
                    </w:rPr>
                    <w:t>2</w:t>
                  </w:r>
                </w:p>
              </w:tc>
              <w:tc>
                <w:tcPr>
                  <w:tcW w:w="1839"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7E1D83C">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lang w:eastAsia="zh-CN"/>
                    </w:rPr>
                    <w:t>年均值</w:t>
                  </w:r>
                </w:p>
              </w:tc>
              <w:tc>
                <w:tcPr>
                  <w:tcW w:w="717"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4DD2904">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19</w:t>
                  </w:r>
                </w:p>
              </w:tc>
              <w:tc>
                <w:tcPr>
                  <w:tcW w:w="575"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DE09EC6">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kern w:val="2"/>
                      <w:sz w:val="21"/>
                      <w:szCs w:val="21"/>
                      <w:lang w:val="en-US" w:eastAsia="zh-CN" w:bidi="ar-SA"/>
                    </w:rPr>
                  </w:pPr>
                  <w:r>
                    <w:rPr>
                      <w:color w:val="auto"/>
                      <w:szCs w:val="21"/>
                    </w:rPr>
                    <w:t>40</w:t>
                  </w:r>
                </w:p>
              </w:tc>
              <w:tc>
                <w:tcPr>
                  <w:tcW w:w="575" w:type="pct"/>
                  <w:tcBorders>
                    <w:top w:val="single" w:color="auto" w:sz="4" w:space="0"/>
                    <w:left w:val="single" w:color="auto" w:sz="4" w:space="0"/>
                    <w:bottom w:val="single" w:color="auto" w:sz="4" w:space="0"/>
                    <w:right w:val="single" w:color="auto" w:sz="4" w:space="0"/>
                    <w:tl2br w:val="nil"/>
                    <w:tr2bl w:val="nil"/>
                  </w:tcBorders>
                  <w:shd w:val="clear" w:color="auto" w:fill="auto"/>
                  <w:noWrap/>
                  <w:vAlign w:val="center"/>
                </w:tcPr>
                <w:p w14:paraId="54B57E6D">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47.5</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729456A0">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rFonts w:hint="eastAsia"/>
                      <w:color w:val="auto"/>
                      <w:szCs w:val="21"/>
                    </w:rPr>
                  </w:pPr>
                  <w:r>
                    <w:rPr>
                      <w:rFonts w:hint="eastAsia"/>
                      <w:color w:val="auto"/>
                      <w:szCs w:val="21"/>
                    </w:rPr>
                    <w:t>达标</w:t>
                  </w:r>
                </w:p>
              </w:tc>
            </w:tr>
            <w:tr w14:paraId="5851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18EFA0A6">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rPr>
                    <w:t>CO</w:t>
                  </w:r>
                </w:p>
              </w:tc>
              <w:tc>
                <w:tcPr>
                  <w:tcW w:w="1839" w:type="pct"/>
                  <w:tcBorders>
                    <w:top w:val="single" w:color="auto" w:sz="4" w:space="0"/>
                    <w:left w:val="single" w:color="auto" w:sz="4" w:space="0"/>
                    <w:bottom w:val="single" w:color="auto" w:sz="4" w:space="0"/>
                    <w:right w:val="single" w:color="auto" w:sz="4" w:space="0"/>
                    <w:tl2br w:val="nil"/>
                    <w:tr2bl w:val="nil"/>
                  </w:tcBorders>
                  <w:noWrap/>
                  <w:vAlign w:val="center"/>
                </w:tcPr>
                <w:p w14:paraId="491DDA79">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rPr>
                    <w:t>95%日平均质量浓度</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1EE9FC0C">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800</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55EBF432">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color w:val="auto"/>
                      <w:szCs w:val="21"/>
                    </w:rPr>
                  </w:pPr>
                  <w:r>
                    <w:rPr>
                      <w:color w:val="auto"/>
                      <w:szCs w:val="21"/>
                    </w:rPr>
                    <w:t>4000</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43C26032">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20.0</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1B29A24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达标</w:t>
                  </w:r>
                </w:p>
              </w:tc>
            </w:tr>
            <w:tr w14:paraId="3CB3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41BC9F22">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rPr>
                    <w:t>O</w:t>
                  </w:r>
                  <w:r>
                    <w:rPr>
                      <w:rFonts w:hint="eastAsia"/>
                      <w:color w:val="auto"/>
                      <w:vertAlign w:val="subscript"/>
                    </w:rPr>
                    <w:t>3</w:t>
                  </w:r>
                </w:p>
              </w:tc>
              <w:tc>
                <w:tcPr>
                  <w:tcW w:w="1839" w:type="pct"/>
                  <w:tcBorders>
                    <w:top w:val="single" w:color="auto" w:sz="4" w:space="0"/>
                    <w:left w:val="single" w:color="auto" w:sz="4" w:space="0"/>
                    <w:bottom w:val="single" w:color="auto" w:sz="4" w:space="0"/>
                    <w:right w:val="single" w:color="auto" w:sz="4" w:space="0"/>
                    <w:tl2br w:val="nil"/>
                    <w:tr2bl w:val="nil"/>
                  </w:tcBorders>
                  <w:noWrap/>
                  <w:vAlign w:val="center"/>
                </w:tcPr>
                <w:p w14:paraId="70843909">
                  <w:pPr>
                    <w:pStyle w:val="49"/>
                    <w:keepNext w:val="0"/>
                    <w:keepLines w:val="0"/>
                    <w:pageBreakBefore w:val="0"/>
                    <w:widowControl w:val="0"/>
                    <w:kinsoku/>
                    <w:wordWrap/>
                    <w:overflowPunct/>
                    <w:topLinePunct w:val="0"/>
                    <w:autoSpaceDE/>
                    <w:autoSpaceDN/>
                    <w:bidi w:val="0"/>
                    <w:adjustRightInd w:val="0"/>
                    <w:snapToGrid w:val="0"/>
                    <w:spacing w:before="60" w:after="60"/>
                    <w:textAlignment w:val="auto"/>
                    <w:rPr>
                      <w:color w:val="auto"/>
                    </w:rPr>
                  </w:pPr>
                  <w:r>
                    <w:rPr>
                      <w:rFonts w:hint="eastAsia"/>
                      <w:color w:val="auto"/>
                    </w:rPr>
                    <w:t>90%</w:t>
                  </w:r>
                  <w:r>
                    <w:rPr>
                      <w:rFonts w:hint="eastAsia"/>
                      <w:color w:val="auto"/>
                      <w:lang w:val="en-US" w:eastAsia="zh-CN"/>
                    </w:rPr>
                    <w:t xml:space="preserve"> </w:t>
                  </w:r>
                  <w:r>
                    <w:rPr>
                      <w:rFonts w:hint="eastAsia"/>
                      <w:color w:val="auto"/>
                    </w:rPr>
                    <w:t>8h平均质量浓度</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2746AE1C">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157</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1DAF59A8">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color w:val="auto"/>
                      <w:szCs w:val="21"/>
                    </w:rPr>
                  </w:pPr>
                  <w:r>
                    <w:rPr>
                      <w:color w:val="auto"/>
                      <w:szCs w:val="21"/>
                    </w:rPr>
                    <w:t>160</w:t>
                  </w:r>
                </w:p>
              </w:tc>
              <w:tc>
                <w:tcPr>
                  <w:tcW w:w="575" w:type="pct"/>
                  <w:tcBorders>
                    <w:top w:val="single" w:color="auto" w:sz="4" w:space="0"/>
                    <w:left w:val="single" w:color="auto" w:sz="4" w:space="0"/>
                    <w:bottom w:val="single" w:color="auto" w:sz="4" w:space="0"/>
                    <w:right w:val="single" w:color="auto" w:sz="4" w:space="0"/>
                    <w:tl2br w:val="nil"/>
                    <w:tr2bl w:val="nil"/>
                  </w:tcBorders>
                  <w:noWrap/>
                  <w:vAlign w:val="center"/>
                </w:tcPr>
                <w:p w14:paraId="6D6D3145">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0" w:after="60"/>
                    <w:jc w:val="center"/>
                    <w:textAlignment w:val="auto"/>
                    <w:rPr>
                      <w:rFonts w:hint="default" w:eastAsia="宋体"/>
                      <w:color w:val="auto"/>
                      <w:szCs w:val="21"/>
                      <w:lang w:val="en-US" w:eastAsia="zh-CN"/>
                    </w:rPr>
                  </w:pPr>
                  <w:r>
                    <w:rPr>
                      <w:rFonts w:hint="eastAsia"/>
                      <w:color w:val="auto"/>
                      <w:szCs w:val="21"/>
                      <w:lang w:val="en-US" w:eastAsia="zh-CN"/>
                    </w:rPr>
                    <w:t>98.1</w:t>
                  </w:r>
                </w:p>
              </w:tc>
              <w:tc>
                <w:tcPr>
                  <w:tcW w:w="717" w:type="pct"/>
                  <w:tcBorders>
                    <w:top w:val="single" w:color="auto" w:sz="4" w:space="0"/>
                    <w:left w:val="single" w:color="auto" w:sz="4" w:space="0"/>
                    <w:bottom w:val="single" w:color="auto" w:sz="4" w:space="0"/>
                    <w:right w:val="single" w:color="auto" w:sz="4" w:space="0"/>
                    <w:tl2br w:val="nil"/>
                    <w:tr2bl w:val="nil"/>
                  </w:tcBorders>
                  <w:noWrap/>
                  <w:vAlign w:val="center"/>
                </w:tcPr>
                <w:p w14:paraId="2D6A8626">
                  <w:pPr>
                    <w:keepNext w:val="0"/>
                    <w:keepLines w:val="0"/>
                    <w:pageBreakBefore w:val="0"/>
                    <w:widowControl w:val="0"/>
                    <w:kinsoku/>
                    <w:wordWrap/>
                    <w:overflowPunct/>
                    <w:topLinePunct w:val="0"/>
                    <w:autoSpaceDE/>
                    <w:autoSpaceDN/>
                    <w:bidi w:val="0"/>
                    <w:adjustRightInd w:val="0"/>
                    <w:snapToGrid w:val="0"/>
                    <w:spacing w:before="60" w:after="60"/>
                    <w:jc w:val="center"/>
                    <w:textAlignment w:val="auto"/>
                    <w:rPr>
                      <w:color w:val="auto"/>
                      <w:szCs w:val="21"/>
                    </w:rPr>
                  </w:pPr>
                  <w:r>
                    <w:rPr>
                      <w:rFonts w:hint="eastAsia"/>
                      <w:color w:val="auto"/>
                      <w:szCs w:val="21"/>
                    </w:rPr>
                    <w:t>超标</w:t>
                  </w:r>
                </w:p>
              </w:tc>
            </w:tr>
          </w:tbl>
          <w:p w14:paraId="5D096970">
            <w:pPr>
              <w:pStyle w:val="7"/>
              <w:spacing w:beforeLines="50" w:line="360" w:lineRule="auto"/>
              <w:ind w:firstLine="480"/>
              <w:rPr>
                <w:color w:val="auto"/>
                <w:kern w:val="0"/>
                <w:sz w:val="24"/>
                <w:szCs w:val="24"/>
              </w:rPr>
            </w:pPr>
            <w:r>
              <w:rPr>
                <w:rFonts w:hint="eastAsia"/>
                <w:color w:val="auto"/>
                <w:kern w:val="0"/>
                <w:sz w:val="24"/>
                <w:szCs w:val="24"/>
              </w:rPr>
              <w:t>由上表可知，202</w:t>
            </w:r>
            <w:r>
              <w:rPr>
                <w:rFonts w:hint="eastAsia"/>
                <w:color w:val="auto"/>
                <w:kern w:val="0"/>
                <w:sz w:val="24"/>
                <w:szCs w:val="24"/>
                <w:lang w:val="en-US" w:eastAsia="zh-CN"/>
              </w:rPr>
              <w:t>4</w:t>
            </w:r>
            <w:r>
              <w:rPr>
                <w:rFonts w:hint="eastAsia"/>
                <w:color w:val="auto"/>
                <w:kern w:val="0"/>
                <w:sz w:val="24"/>
                <w:szCs w:val="24"/>
              </w:rPr>
              <w:t>年淮南市区域环境空气质量不达标，为不达标区域，主要超标物为细颗粒物（PM</w:t>
            </w:r>
            <w:r>
              <w:rPr>
                <w:rFonts w:hint="eastAsia"/>
                <w:color w:val="auto"/>
                <w:kern w:val="0"/>
                <w:sz w:val="24"/>
                <w:szCs w:val="24"/>
                <w:vertAlign w:val="subscript"/>
              </w:rPr>
              <w:t>2.5</w:t>
            </w:r>
            <w:r>
              <w:rPr>
                <w:rFonts w:hint="eastAsia"/>
                <w:color w:val="auto"/>
                <w:kern w:val="0"/>
                <w:sz w:val="24"/>
                <w:szCs w:val="24"/>
              </w:rPr>
              <w:t>）。</w:t>
            </w:r>
          </w:p>
          <w:p w14:paraId="68BA8423">
            <w:pPr>
              <w:pStyle w:val="7"/>
              <w:spacing w:line="360" w:lineRule="auto"/>
              <w:ind w:firstLine="480"/>
              <w:rPr>
                <w:color w:val="auto"/>
                <w:kern w:val="0"/>
                <w:sz w:val="24"/>
                <w:szCs w:val="24"/>
              </w:rPr>
            </w:pPr>
            <w:r>
              <w:rPr>
                <w:rFonts w:hint="eastAsia"/>
                <w:color w:val="auto"/>
                <w:kern w:val="0"/>
                <w:sz w:val="24"/>
                <w:szCs w:val="24"/>
              </w:rPr>
              <w:t>因PM</w:t>
            </w:r>
            <w:r>
              <w:rPr>
                <w:rFonts w:hint="eastAsia"/>
                <w:color w:val="auto"/>
                <w:kern w:val="0"/>
                <w:sz w:val="24"/>
                <w:szCs w:val="24"/>
                <w:vertAlign w:val="subscript"/>
              </w:rPr>
              <w:t>2.5</w:t>
            </w:r>
            <w:r>
              <w:rPr>
                <w:rFonts w:hint="eastAsia"/>
                <w:color w:val="auto"/>
                <w:kern w:val="0"/>
                <w:sz w:val="24"/>
                <w:szCs w:val="24"/>
              </w:rPr>
              <w:t>浓度超标，项目所在环境空气质量区域为不达标区。淮南市生态环境局就空气质量不达标提出一系列举措，依据《淮南市大气污染防治行动计划实施方案》等工作文件，淮南市通过集中专项整治“小散乱污”企业、企业清洁生产技术改造、小锅炉升级改造、燃煤机组超低排放改造，整治散装物料堆场，督促企业完成挥发性有机物整改任务，强化建筑施工扬尘监管，加强道路扬尘清理、责令餐饮油烟单位安装油烟净化装置，取缔室外露天烧烤点，开展秸秆禁烧，淘汰黄标车，禁限放烟花爆竹等措施改善环境空气质量。</w:t>
            </w:r>
          </w:p>
          <w:p w14:paraId="3353B4D3">
            <w:pPr>
              <w:widowControl/>
              <w:spacing w:line="360" w:lineRule="auto"/>
              <w:ind w:firstLine="482" w:firstLineChars="200"/>
              <w:rPr>
                <w:b/>
                <w:bCs/>
                <w:color w:val="auto"/>
                <w:kern w:val="0"/>
                <w:sz w:val="24"/>
              </w:rPr>
            </w:pPr>
            <w:r>
              <w:rPr>
                <w:rFonts w:hint="eastAsia"/>
                <w:b/>
                <w:bCs/>
                <w:color w:val="auto"/>
                <w:kern w:val="0"/>
                <w:sz w:val="24"/>
              </w:rPr>
              <w:t>2、环境空气质量现状监测（特征污染物）</w:t>
            </w:r>
          </w:p>
          <w:p w14:paraId="33AC10D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color w:val="auto"/>
                <w:sz w:val="24"/>
              </w:rPr>
            </w:pPr>
            <w:r>
              <w:rPr>
                <w:rFonts w:hint="eastAsia"/>
                <w:color w:val="auto"/>
                <w:kern w:val="0"/>
                <w:sz w:val="24"/>
              </w:rPr>
              <w:t>本次环评特征污染物</w:t>
            </w:r>
            <w:r>
              <w:rPr>
                <w:rFonts w:hint="eastAsia"/>
                <w:color w:val="auto"/>
                <w:kern w:val="0"/>
                <w:sz w:val="24"/>
                <w:lang w:eastAsia="zh-CN"/>
              </w:rPr>
              <w:t>（</w:t>
            </w:r>
            <w:r>
              <w:rPr>
                <w:rFonts w:hint="eastAsia"/>
                <w:color w:val="auto"/>
                <w:kern w:val="0"/>
                <w:sz w:val="24"/>
                <w:lang w:val="en-US" w:eastAsia="zh-CN"/>
              </w:rPr>
              <w:t>TSP</w:t>
            </w:r>
            <w:r>
              <w:rPr>
                <w:rFonts w:hint="eastAsia"/>
                <w:color w:val="auto"/>
                <w:kern w:val="0"/>
                <w:sz w:val="24"/>
                <w:lang w:eastAsia="zh-CN"/>
              </w:rPr>
              <w:t>）</w:t>
            </w:r>
            <w:r>
              <w:rPr>
                <w:rFonts w:hint="eastAsia"/>
                <w:color w:val="auto"/>
                <w:kern w:val="0"/>
                <w:sz w:val="24"/>
              </w:rPr>
              <w:t>引用《淮南市堡垒新型墙材有限公司年产1.8亿块煤矸石、锂云母烧结砖空心砖</w:t>
            </w:r>
            <w:r>
              <w:rPr>
                <w:rFonts w:hint="eastAsia"/>
                <w:color w:val="auto"/>
                <w:kern w:val="0"/>
                <w:sz w:val="24"/>
                <w:lang w:eastAsia="zh-CN"/>
              </w:rPr>
              <w:t>项目</w:t>
            </w:r>
            <w:r>
              <w:rPr>
                <w:rFonts w:hint="eastAsia"/>
                <w:color w:val="auto"/>
                <w:kern w:val="0"/>
                <w:sz w:val="24"/>
              </w:rPr>
              <w:t>环境影响报告</w:t>
            </w:r>
            <w:r>
              <w:rPr>
                <w:rFonts w:hint="eastAsia"/>
                <w:color w:val="auto"/>
                <w:kern w:val="0"/>
                <w:sz w:val="24"/>
                <w:lang w:eastAsia="zh-CN"/>
              </w:rPr>
              <w:t>表</w:t>
            </w:r>
            <w:r>
              <w:rPr>
                <w:rFonts w:hint="eastAsia"/>
                <w:color w:val="auto"/>
                <w:kern w:val="0"/>
                <w:sz w:val="24"/>
              </w:rPr>
              <w:t>》</w:t>
            </w:r>
            <w:r>
              <w:rPr>
                <w:color w:val="auto"/>
                <w:sz w:val="24"/>
              </w:rPr>
              <w:t>中</w:t>
            </w:r>
            <w:r>
              <w:rPr>
                <w:rFonts w:hint="eastAsia"/>
                <w:color w:val="auto"/>
                <w:sz w:val="24"/>
              </w:rPr>
              <w:t>的</w:t>
            </w:r>
            <w:r>
              <w:rPr>
                <w:color w:val="auto"/>
                <w:sz w:val="24"/>
              </w:rPr>
              <w:t>监测数据</w:t>
            </w:r>
            <w:r>
              <w:rPr>
                <w:rFonts w:hint="eastAsia"/>
                <w:color w:val="auto"/>
                <w:sz w:val="24"/>
              </w:rPr>
              <w:t>，补充检测点位</w:t>
            </w:r>
            <w:r>
              <w:rPr>
                <w:rFonts w:hint="eastAsia"/>
                <w:color w:val="auto"/>
                <w:sz w:val="24"/>
                <w:lang w:eastAsia="zh-CN"/>
              </w:rPr>
              <w:t>为余家郢</w:t>
            </w:r>
            <w:r>
              <w:rPr>
                <w:rFonts w:hint="eastAsia"/>
                <w:color w:val="auto"/>
                <w:sz w:val="24"/>
              </w:rPr>
              <w:t>（位于本项目</w:t>
            </w:r>
            <w:r>
              <w:rPr>
                <w:rFonts w:hint="eastAsia"/>
                <w:color w:val="auto"/>
                <w:sz w:val="24"/>
                <w:lang w:eastAsia="zh-CN"/>
              </w:rPr>
              <w:t>东侧</w:t>
            </w:r>
            <w:r>
              <w:rPr>
                <w:rFonts w:hint="eastAsia"/>
                <w:color w:val="auto"/>
                <w:sz w:val="24"/>
              </w:rPr>
              <w:t>，距离本项目</w:t>
            </w:r>
            <w:r>
              <w:rPr>
                <w:rFonts w:hint="eastAsia"/>
                <w:color w:val="auto"/>
                <w:sz w:val="24"/>
                <w:lang w:val="en-US" w:eastAsia="zh-CN"/>
              </w:rPr>
              <w:t>3650</w:t>
            </w:r>
            <w:r>
              <w:rPr>
                <w:rFonts w:hint="eastAsia"/>
                <w:color w:val="auto"/>
                <w:sz w:val="24"/>
              </w:rPr>
              <w:t>m</w:t>
            </w:r>
            <w:r>
              <w:rPr>
                <w:rFonts w:hint="eastAsia"/>
                <w:color w:val="auto"/>
                <w:sz w:val="24"/>
                <w:lang w:eastAsia="zh-CN"/>
              </w:rPr>
              <w:t>，编号</w:t>
            </w:r>
            <w:r>
              <w:rPr>
                <w:rFonts w:hint="eastAsia"/>
                <w:color w:val="auto"/>
                <w:sz w:val="24"/>
                <w:lang w:val="en-US" w:eastAsia="zh-CN"/>
              </w:rPr>
              <w:t>G3</w:t>
            </w:r>
            <w:r>
              <w:rPr>
                <w:rFonts w:hint="eastAsia"/>
                <w:color w:val="auto"/>
                <w:sz w:val="24"/>
              </w:rPr>
              <w:t>），检测日期为202</w:t>
            </w:r>
            <w:r>
              <w:rPr>
                <w:rFonts w:hint="eastAsia"/>
                <w:color w:val="auto"/>
                <w:sz w:val="24"/>
                <w:lang w:val="en-US" w:eastAsia="zh-CN"/>
              </w:rPr>
              <w:t>3</w:t>
            </w:r>
            <w:r>
              <w:rPr>
                <w:rFonts w:hint="eastAsia"/>
                <w:color w:val="auto"/>
                <w:sz w:val="24"/>
              </w:rPr>
              <w:t>年</w:t>
            </w:r>
            <w:r>
              <w:rPr>
                <w:rFonts w:hint="eastAsia"/>
                <w:color w:val="auto"/>
                <w:sz w:val="24"/>
                <w:lang w:val="en-US" w:eastAsia="zh-CN"/>
              </w:rPr>
              <w:t>10</w:t>
            </w:r>
            <w:r>
              <w:rPr>
                <w:rFonts w:hint="eastAsia"/>
                <w:color w:val="auto"/>
                <w:sz w:val="24"/>
              </w:rPr>
              <w:t>月</w:t>
            </w:r>
            <w:r>
              <w:rPr>
                <w:rFonts w:hint="eastAsia"/>
                <w:color w:val="auto"/>
                <w:sz w:val="24"/>
                <w:lang w:val="en-US" w:eastAsia="zh-CN"/>
              </w:rPr>
              <w:t>23</w:t>
            </w:r>
            <w:r>
              <w:rPr>
                <w:rFonts w:hint="eastAsia"/>
                <w:color w:val="auto"/>
                <w:sz w:val="24"/>
              </w:rPr>
              <w:t>日～202</w:t>
            </w:r>
            <w:r>
              <w:rPr>
                <w:rFonts w:hint="eastAsia"/>
                <w:color w:val="auto"/>
                <w:sz w:val="24"/>
                <w:lang w:val="en-US" w:eastAsia="zh-CN"/>
              </w:rPr>
              <w:t>3</w:t>
            </w:r>
            <w:r>
              <w:rPr>
                <w:rFonts w:hint="eastAsia"/>
                <w:color w:val="auto"/>
                <w:sz w:val="24"/>
              </w:rPr>
              <w:t>年</w:t>
            </w:r>
            <w:r>
              <w:rPr>
                <w:rFonts w:hint="eastAsia"/>
                <w:color w:val="auto"/>
                <w:sz w:val="24"/>
                <w:lang w:val="en-US" w:eastAsia="zh-CN"/>
              </w:rPr>
              <w:t>10</w:t>
            </w:r>
            <w:r>
              <w:rPr>
                <w:rFonts w:hint="eastAsia"/>
                <w:color w:val="auto"/>
                <w:sz w:val="24"/>
              </w:rPr>
              <w:t>月</w:t>
            </w:r>
            <w:r>
              <w:rPr>
                <w:rFonts w:hint="eastAsia"/>
                <w:color w:val="auto"/>
                <w:sz w:val="24"/>
                <w:lang w:val="en-US" w:eastAsia="zh-CN"/>
              </w:rPr>
              <w:t>25</w:t>
            </w:r>
            <w:r>
              <w:rPr>
                <w:rFonts w:hint="eastAsia"/>
                <w:color w:val="auto"/>
                <w:sz w:val="24"/>
              </w:rPr>
              <w:t>日，检测单位为安徽尚德谱检测技术有限责任公司，检测结果见表3-</w:t>
            </w:r>
            <w:r>
              <w:rPr>
                <w:rFonts w:hint="eastAsia"/>
                <w:color w:val="auto"/>
                <w:sz w:val="24"/>
                <w:lang w:val="en-US" w:eastAsia="zh-CN"/>
              </w:rPr>
              <w:t>1</w:t>
            </w:r>
            <w:r>
              <w:rPr>
                <w:rFonts w:hint="eastAsia"/>
                <w:color w:val="auto"/>
                <w:sz w:val="24"/>
              </w:rPr>
              <w:t>：</w:t>
            </w:r>
          </w:p>
          <w:p w14:paraId="682FF1F6">
            <w:pPr>
              <w:widowControl/>
              <w:jc w:val="center"/>
              <w:rPr>
                <w:rFonts w:hint="eastAsia"/>
                <w:b/>
                <w:bCs/>
                <w:color w:val="auto"/>
                <w:szCs w:val="21"/>
                <w:lang w:val="en-US" w:eastAsia="zh-CN"/>
              </w:rPr>
            </w:pPr>
            <w:r>
              <w:rPr>
                <w:rFonts w:hint="eastAsia"/>
                <w:b/>
                <w:bCs/>
                <w:color w:val="auto"/>
                <w:szCs w:val="21"/>
                <w:lang w:eastAsia="zh-CN"/>
              </w:rPr>
              <w:t>表</w:t>
            </w:r>
            <w:r>
              <w:rPr>
                <w:rFonts w:hint="eastAsia"/>
                <w:b/>
                <w:bCs/>
                <w:color w:val="auto"/>
                <w:szCs w:val="21"/>
                <w:lang w:val="en-US" w:eastAsia="zh-CN"/>
              </w:rPr>
              <w:t>3-1  特征污染物（TSP）监测结果统计一览表</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7"/>
              <w:gridCol w:w="1556"/>
              <w:gridCol w:w="2396"/>
              <w:gridCol w:w="2342"/>
            </w:tblGrid>
            <w:tr w14:paraId="0EFA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vAlign w:val="center"/>
                </w:tcPr>
                <w:p w14:paraId="409B9B8A">
                  <w:pPr>
                    <w:pStyle w:val="49"/>
                    <w:adjustRightInd w:val="0"/>
                    <w:snapToGrid w:val="0"/>
                    <w:spacing w:before="60" w:after="60"/>
                    <w:jc w:val="center"/>
                    <w:rPr>
                      <w:rFonts w:hint="eastAsia"/>
                      <w:color w:val="auto"/>
                      <w:lang w:val="en-US" w:eastAsia="zh-CN"/>
                    </w:rPr>
                  </w:pPr>
                  <w:r>
                    <w:rPr>
                      <w:rFonts w:hint="eastAsia"/>
                      <w:color w:val="auto"/>
                      <w:lang w:val="en-US" w:eastAsia="zh-CN"/>
                    </w:rPr>
                    <w:t>监测日期</w:t>
                  </w:r>
                </w:p>
              </w:tc>
              <w:tc>
                <w:tcPr>
                  <w:tcW w:w="927" w:type="pct"/>
                  <w:vMerge w:val="restart"/>
                  <w:vAlign w:val="center"/>
                </w:tcPr>
                <w:p w14:paraId="330F952F">
                  <w:pPr>
                    <w:pStyle w:val="49"/>
                    <w:adjustRightInd w:val="0"/>
                    <w:snapToGrid w:val="0"/>
                    <w:spacing w:before="60" w:after="60"/>
                    <w:jc w:val="center"/>
                    <w:rPr>
                      <w:rFonts w:hint="eastAsia"/>
                      <w:color w:val="auto"/>
                      <w:lang w:val="en-US" w:eastAsia="zh-CN"/>
                    </w:rPr>
                  </w:pPr>
                  <w:r>
                    <w:rPr>
                      <w:rFonts w:hint="eastAsia"/>
                      <w:color w:val="auto"/>
                      <w:lang w:val="en-US" w:eastAsia="zh-CN"/>
                    </w:rPr>
                    <w:t>检测点位</w:t>
                  </w:r>
                </w:p>
              </w:tc>
              <w:tc>
                <w:tcPr>
                  <w:tcW w:w="1427" w:type="pct"/>
                  <w:vMerge w:val="restart"/>
                  <w:vAlign w:val="center"/>
                </w:tcPr>
                <w:p w14:paraId="3B50EB90">
                  <w:pPr>
                    <w:pStyle w:val="49"/>
                    <w:adjustRightInd w:val="0"/>
                    <w:snapToGrid w:val="0"/>
                    <w:spacing w:before="60" w:after="60"/>
                    <w:jc w:val="center"/>
                    <w:rPr>
                      <w:rFonts w:hint="eastAsia"/>
                      <w:color w:val="auto"/>
                      <w:lang w:val="en-US" w:eastAsia="zh-CN"/>
                    </w:rPr>
                  </w:pPr>
                  <w:r>
                    <w:rPr>
                      <w:rFonts w:hint="eastAsia"/>
                      <w:color w:val="auto"/>
                      <w:lang w:val="en-US" w:eastAsia="zh-CN"/>
                    </w:rPr>
                    <w:t>样品编号</w:t>
                  </w:r>
                </w:p>
              </w:tc>
              <w:tc>
                <w:tcPr>
                  <w:tcW w:w="1395" w:type="pct"/>
                  <w:vAlign w:val="center"/>
                </w:tcPr>
                <w:p w14:paraId="7123FE23">
                  <w:pPr>
                    <w:pStyle w:val="49"/>
                    <w:adjustRightInd w:val="0"/>
                    <w:snapToGrid w:val="0"/>
                    <w:spacing w:before="60" w:after="60"/>
                    <w:jc w:val="center"/>
                    <w:rPr>
                      <w:rFonts w:hint="eastAsia"/>
                      <w:color w:val="auto"/>
                      <w:lang w:val="en-US" w:eastAsia="zh-CN"/>
                    </w:rPr>
                  </w:pPr>
                  <w:r>
                    <w:rPr>
                      <w:rFonts w:hint="eastAsia"/>
                      <w:color w:val="auto"/>
                      <w:lang w:val="en-US" w:eastAsia="zh-CN"/>
                    </w:rPr>
                    <w:t>检测项目（日均值）</w:t>
                  </w:r>
                </w:p>
              </w:tc>
            </w:tr>
            <w:tr w14:paraId="41CF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vAlign w:val="center"/>
                </w:tcPr>
                <w:p w14:paraId="4A9E21A4">
                  <w:pPr>
                    <w:pStyle w:val="49"/>
                    <w:adjustRightInd w:val="0"/>
                    <w:snapToGrid w:val="0"/>
                    <w:spacing w:before="60" w:after="60"/>
                    <w:jc w:val="center"/>
                    <w:rPr>
                      <w:rFonts w:hint="default" w:eastAsia="宋体"/>
                      <w:color w:val="auto"/>
                      <w:lang w:val="en-US" w:eastAsia="zh-CN"/>
                    </w:rPr>
                  </w:pPr>
                </w:p>
              </w:tc>
              <w:tc>
                <w:tcPr>
                  <w:tcW w:w="927" w:type="pct"/>
                  <w:vMerge w:val="continue"/>
                  <w:vAlign w:val="center"/>
                </w:tcPr>
                <w:p w14:paraId="4BB283D8">
                  <w:pPr>
                    <w:pStyle w:val="49"/>
                    <w:adjustRightInd w:val="0"/>
                    <w:snapToGrid w:val="0"/>
                    <w:spacing w:before="60" w:after="60"/>
                    <w:jc w:val="center"/>
                    <w:rPr>
                      <w:rFonts w:hint="eastAsia"/>
                      <w:color w:val="auto"/>
                      <w:lang w:val="en-US" w:eastAsia="zh-CN"/>
                    </w:rPr>
                  </w:pPr>
                </w:p>
              </w:tc>
              <w:tc>
                <w:tcPr>
                  <w:tcW w:w="1427" w:type="pct"/>
                  <w:vMerge w:val="continue"/>
                  <w:vAlign w:val="center"/>
                </w:tcPr>
                <w:p w14:paraId="4CB83D52">
                  <w:pPr>
                    <w:pStyle w:val="49"/>
                    <w:adjustRightInd w:val="0"/>
                    <w:snapToGrid w:val="0"/>
                    <w:spacing w:before="60" w:after="60"/>
                    <w:jc w:val="center"/>
                    <w:rPr>
                      <w:rFonts w:hint="eastAsia"/>
                      <w:color w:val="auto"/>
                      <w:lang w:val="en-US" w:eastAsia="zh-CN"/>
                    </w:rPr>
                  </w:pPr>
                </w:p>
              </w:tc>
              <w:tc>
                <w:tcPr>
                  <w:tcW w:w="1395" w:type="pct"/>
                  <w:vAlign w:val="center"/>
                </w:tcPr>
                <w:p w14:paraId="7B36522C">
                  <w:pPr>
                    <w:pStyle w:val="49"/>
                    <w:adjustRightInd w:val="0"/>
                    <w:snapToGrid w:val="0"/>
                    <w:spacing w:before="60" w:after="60"/>
                    <w:jc w:val="center"/>
                    <w:rPr>
                      <w:rFonts w:hint="eastAsia"/>
                      <w:color w:val="auto"/>
                      <w:lang w:val="en-US" w:eastAsia="zh-CN"/>
                    </w:rPr>
                  </w:pPr>
                  <w:r>
                    <w:rPr>
                      <w:rFonts w:hint="eastAsia"/>
                      <w:color w:val="auto"/>
                      <w:lang w:val="en-US" w:eastAsia="zh-CN"/>
                    </w:rPr>
                    <w:t>总悬浮颗粒物（mg/m</w:t>
                  </w:r>
                  <w:r>
                    <w:rPr>
                      <w:rFonts w:hint="eastAsia"/>
                      <w:color w:val="auto"/>
                      <w:vertAlign w:val="superscript"/>
                      <w:lang w:val="en-US" w:eastAsia="zh-CN"/>
                    </w:rPr>
                    <w:t>3</w:t>
                  </w:r>
                  <w:r>
                    <w:rPr>
                      <w:rFonts w:hint="eastAsia"/>
                      <w:color w:val="auto"/>
                      <w:lang w:val="en-US" w:eastAsia="zh-CN"/>
                    </w:rPr>
                    <w:t>）</w:t>
                  </w:r>
                </w:p>
              </w:tc>
            </w:tr>
            <w:tr w14:paraId="7EE6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78B9DCD7">
                  <w:pPr>
                    <w:pStyle w:val="49"/>
                    <w:adjustRightInd w:val="0"/>
                    <w:snapToGrid w:val="0"/>
                    <w:spacing w:before="60" w:after="60"/>
                    <w:jc w:val="center"/>
                    <w:rPr>
                      <w:rFonts w:hint="eastAsia"/>
                      <w:color w:val="auto"/>
                      <w:lang w:val="en-US" w:eastAsia="zh-CN"/>
                    </w:rPr>
                  </w:pPr>
                  <w:r>
                    <w:rPr>
                      <w:rFonts w:hint="eastAsia"/>
                      <w:color w:val="auto"/>
                      <w:lang w:val="en-US" w:eastAsia="zh-CN"/>
                    </w:rPr>
                    <w:t>2023年10月23日</w:t>
                  </w:r>
                </w:p>
              </w:tc>
              <w:tc>
                <w:tcPr>
                  <w:tcW w:w="927" w:type="pct"/>
                  <w:vAlign w:val="center"/>
                </w:tcPr>
                <w:p w14:paraId="093EBA84">
                  <w:pPr>
                    <w:pStyle w:val="49"/>
                    <w:adjustRightInd w:val="0"/>
                    <w:snapToGrid w:val="0"/>
                    <w:spacing w:before="60" w:after="60"/>
                    <w:jc w:val="center"/>
                    <w:rPr>
                      <w:rFonts w:hint="eastAsia" w:eastAsia="宋体"/>
                      <w:color w:val="auto"/>
                      <w:lang w:val="en-US" w:eastAsia="zh-CN"/>
                    </w:rPr>
                  </w:pPr>
                  <w:r>
                    <w:rPr>
                      <w:rFonts w:hint="eastAsia"/>
                      <w:color w:val="auto"/>
                      <w:sz w:val="24"/>
                      <w:lang w:eastAsia="zh-CN"/>
                    </w:rPr>
                    <w:t>余家郢（</w:t>
                  </w:r>
                  <w:r>
                    <w:rPr>
                      <w:rFonts w:hint="eastAsia"/>
                      <w:color w:val="auto"/>
                      <w:sz w:val="24"/>
                      <w:lang w:val="en-US" w:eastAsia="zh-CN"/>
                    </w:rPr>
                    <w:t>G3</w:t>
                  </w:r>
                  <w:r>
                    <w:rPr>
                      <w:rFonts w:hint="eastAsia"/>
                      <w:color w:val="auto"/>
                      <w:sz w:val="24"/>
                      <w:lang w:eastAsia="zh-CN"/>
                    </w:rPr>
                    <w:t>）</w:t>
                  </w:r>
                </w:p>
              </w:tc>
              <w:tc>
                <w:tcPr>
                  <w:tcW w:w="1427" w:type="pct"/>
                  <w:vAlign w:val="center"/>
                </w:tcPr>
                <w:p w14:paraId="05C7BA9E">
                  <w:pPr>
                    <w:pStyle w:val="49"/>
                    <w:adjustRightInd w:val="0"/>
                    <w:snapToGrid w:val="0"/>
                    <w:spacing w:before="60" w:after="60"/>
                    <w:jc w:val="center"/>
                    <w:rPr>
                      <w:rFonts w:hint="default"/>
                      <w:color w:val="auto"/>
                      <w:lang w:val="en-US" w:eastAsia="zh-CN"/>
                    </w:rPr>
                  </w:pPr>
                  <w:r>
                    <w:rPr>
                      <w:rFonts w:hint="eastAsia"/>
                      <w:color w:val="auto"/>
                      <w:lang w:val="en-US" w:eastAsia="zh-CN"/>
                    </w:rPr>
                    <w:t>Q-202310225-1-1（01）</w:t>
                  </w:r>
                </w:p>
              </w:tc>
              <w:tc>
                <w:tcPr>
                  <w:tcW w:w="1395" w:type="pct"/>
                  <w:vAlign w:val="center"/>
                </w:tcPr>
                <w:p w14:paraId="21523E1D">
                  <w:pPr>
                    <w:pStyle w:val="49"/>
                    <w:adjustRightInd w:val="0"/>
                    <w:snapToGrid w:val="0"/>
                    <w:spacing w:before="60" w:after="60"/>
                    <w:jc w:val="center"/>
                    <w:rPr>
                      <w:rFonts w:hint="default"/>
                      <w:color w:val="auto"/>
                      <w:lang w:val="en-US" w:eastAsia="zh-CN"/>
                    </w:rPr>
                  </w:pPr>
                  <w:r>
                    <w:rPr>
                      <w:rFonts w:hint="eastAsia"/>
                      <w:color w:val="auto"/>
                      <w:lang w:val="en-US" w:eastAsia="zh-CN"/>
                    </w:rPr>
                    <w:t>0.216</w:t>
                  </w:r>
                </w:p>
              </w:tc>
            </w:tr>
            <w:tr w14:paraId="38EB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4F0C0C35">
                  <w:pPr>
                    <w:pStyle w:val="49"/>
                    <w:adjustRightInd w:val="0"/>
                    <w:snapToGrid w:val="0"/>
                    <w:spacing w:before="60" w:after="60"/>
                    <w:jc w:val="center"/>
                    <w:rPr>
                      <w:rFonts w:hint="eastAsia"/>
                      <w:color w:val="auto"/>
                      <w:lang w:val="en-US" w:eastAsia="zh-CN"/>
                    </w:rPr>
                  </w:pPr>
                  <w:r>
                    <w:rPr>
                      <w:rFonts w:hint="eastAsia"/>
                      <w:color w:val="auto"/>
                      <w:lang w:val="en-US" w:eastAsia="zh-CN"/>
                    </w:rPr>
                    <w:t>2023年10月24日</w:t>
                  </w:r>
                </w:p>
              </w:tc>
              <w:tc>
                <w:tcPr>
                  <w:tcW w:w="927" w:type="pct"/>
                  <w:vAlign w:val="center"/>
                </w:tcPr>
                <w:p w14:paraId="4BA24055">
                  <w:pPr>
                    <w:pStyle w:val="49"/>
                    <w:adjustRightInd w:val="0"/>
                    <w:snapToGrid w:val="0"/>
                    <w:spacing w:before="60" w:after="60"/>
                    <w:jc w:val="center"/>
                    <w:rPr>
                      <w:rFonts w:hint="eastAsia"/>
                      <w:color w:val="auto"/>
                      <w:lang w:val="en-US" w:eastAsia="zh-CN"/>
                    </w:rPr>
                  </w:pPr>
                  <w:r>
                    <w:rPr>
                      <w:rFonts w:hint="eastAsia"/>
                      <w:color w:val="auto"/>
                      <w:sz w:val="24"/>
                      <w:lang w:eastAsia="zh-CN"/>
                    </w:rPr>
                    <w:t>余家郢（</w:t>
                  </w:r>
                  <w:r>
                    <w:rPr>
                      <w:rFonts w:hint="eastAsia"/>
                      <w:color w:val="auto"/>
                      <w:sz w:val="24"/>
                      <w:lang w:val="en-US" w:eastAsia="zh-CN"/>
                    </w:rPr>
                    <w:t>G3</w:t>
                  </w:r>
                  <w:r>
                    <w:rPr>
                      <w:rFonts w:hint="eastAsia"/>
                      <w:color w:val="auto"/>
                      <w:sz w:val="24"/>
                      <w:lang w:eastAsia="zh-CN"/>
                    </w:rPr>
                    <w:t>）</w:t>
                  </w:r>
                </w:p>
              </w:tc>
              <w:tc>
                <w:tcPr>
                  <w:tcW w:w="1427" w:type="pct"/>
                  <w:vAlign w:val="center"/>
                </w:tcPr>
                <w:p w14:paraId="105CB8BE">
                  <w:pPr>
                    <w:adjustRightInd w:val="0"/>
                    <w:snapToGrid w:val="0"/>
                    <w:spacing w:before="60" w:after="60"/>
                    <w:jc w:val="center"/>
                    <w:rPr>
                      <w:rFonts w:hint="eastAsia"/>
                      <w:color w:val="auto"/>
                      <w:lang w:val="en-US" w:eastAsia="zh-CN"/>
                    </w:rPr>
                  </w:pPr>
                  <w:r>
                    <w:rPr>
                      <w:rFonts w:hint="eastAsia"/>
                      <w:color w:val="auto"/>
                      <w:lang w:val="en-US" w:eastAsia="zh-CN"/>
                    </w:rPr>
                    <w:t>Q-202310225-2-1（01）</w:t>
                  </w:r>
                </w:p>
              </w:tc>
              <w:tc>
                <w:tcPr>
                  <w:tcW w:w="1395" w:type="pct"/>
                  <w:vAlign w:val="center"/>
                </w:tcPr>
                <w:p w14:paraId="6FA99742">
                  <w:pPr>
                    <w:pStyle w:val="49"/>
                    <w:adjustRightInd w:val="0"/>
                    <w:snapToGrid w:val="0"/>
                    <w:spacing w:before="60" w:after="60"/>
                    <w:jc w:val="center"/>
                    <w:rPr>
                      <w:rFonts w:hint="default"/>
                      <w:color w:val="auto"/>
                      <w:lang w:val="en-US" w:eastAsia="zh-CN"/>
                    </w:rPr>
                  </w:pPr>
                  <w:r>
                    <w:rPr>
                      <w:rFonts w:hint="eastAsia"/>
                      <w:color w:val="auto"/>
                      <w:lang w:val="en-US" w:eastAsia="zh-CN"/>
                    </w:rPr>
                    <w:t>0.203</w:t>
                  </w:r>
                </w:p>
              </w:tc>
            </w:tr>
            <w:tr w14:paraId="373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Align w:val="center"/>
                </w:tcPr>
                <w:p w14:paraId="33AEA951">
                  <w:pPr>
                    <w:pStyle w:val="49"/>
                    <w:adjustRightInd w:val="0"/>
                    <w:snapToGrid w:val="0"/>
                    <w:spacing w:before="60" w:after="60"/>
                    <w:jc w:val="center"/>
                    <w:rPr>
                      <w:rFonts w:hint="eastAsia"/>
                      <w:color w:val="auto"/>
                      <w:lang w:val="en-US" w:eastAsia="zh-CN"/>
                    </w:rPr>
                  </w:pPr>
                  <w:r>
                    <w:rPr>
                      <w:rFonts w:hint="eastAsia"/>
                      <w:color w:val="auto"/>
                      <w:lang w:val="en-US" w:eastAsia="zh-CN"/>
                    </w:rPr>
                    <w:t>2023年10月25日</w:t>
                  </w:r>
                </w:p>
              </w:tc>
              <w:tc>
                <w:tcPr>
                  <w:tcW w:w="927" w:type="pct"/>
                  <w:vAlign w:val="center"/>
                </w:tcPr>
                <w:p w14:paraId="7C9E4807">
                  <w:pPr>
                    <w:pStyle w:val="49"/>
                    <w:adjustRightInd w:val="0"/>
                    <w:snapToGrid w:val="0"/>
                    <w:spacing w:before="60" w:after="60"/>
                    <w:jc w:val="center"/>
                    <w:rPr>
                      <w:rFonts w:hint="eastAsia"/>
                      <w:color w:val="auto"/>
                      <w:lang w:val="en-US" w:eastAsia="zh-CN"/>
                    </w:rPr>
                  </w:pPr>
                  <w:r>
                    <w:rPr>
                      <w:rFonts w:hint="eastAsia"/>
                      <w:color w:val="auto"/>
                      <w:sz w:val="24"/>
                      <w:lang w:eastAsia="zh-CN"/>
                    </w:rPr>
                    <w:t>余家郢（</w:t>
                  </w:r>
                  <w:r>
                    <w:rPr>
                      <w:rFonts w:hint="eastAsia"/>
                      <w:color w:val="auto"/>
                      <w:sz w:val="24"/>
                      <w:lang w:val="en-US" w:eastAsia="zh-CN"/>
                    </w:rPr>
                    <w:t>G3</w:t>
                  </w:r>
                  <w:r>
                    <w:rPr>
                      <w:rFonts w:hint="eastAsia"/>
                      <w:color w:val="auto"/>
                      <w:sz w:val="24"/>
                      <w:lang w:eastAsia="zh-CN"/>
                    </w:rPr>
                    <w:t>）</w:t>
                  </w:r>
                </w:p>
              </w:tc>
              <w:tc>
                <w:tcPr>
                  <w:tcW w:w="1427" w:type="pct"/>
                  <w:vAlign w:val="center"/>
                </w:tcPr>
                <w:p w14:paraId="10DF573E">
                  <w:pPr>
                    <w:adjustRightInd w:val="0"/>
                    <w:snapToGrid w:val="0"/>
                    <w:spacing w:before="60" w:after="60"/>
                    <w:jc w:val="center"/>
                    <w:rPr>
                      <w:rFonts w:hint="eastAsia"/>
                      <w:color w:val="auto"/>
                      <w:lang w:val="en-US" w:eastAsia="zh-CN"/>
                    </w:rPr>
                  </w:pPr>
                  <w:r>
                    <w:rPr>
                      <w:rFonts w:hint="eastAsia"/>
                      <w:color w:val="auto"/>
                      <w:lang w:val="en-US" w:eastAsia="zh-CN"/>
                    </w:rPr>
                    <w:t>Q-202310225-3-1（01）</w:t>
                  </w:r>
                </w:p>
              </w:tc>
              <w:tc>
                <w:tcPr>
                  <w:tcW w:w="1395" w:type="pct"/>
                  <w:vAlign w:val="center"/>
                </w:tcPr>
                <w:p w14:paraId="27AA26A5">
                  <w:pPr>
                    <w:pStyle w:val="49"/>
                    <w:adjustRightInd w:val="0"/>
                    <w:snapToGrid w:val="0"/>
                    <w:spacing w:before="60" w:after="60"/>
                    <w:jc w:val="center"/>
                    <w:rPr>
                      <w:rFonts w:hint="default"/>
                      <w:color w:val="auto"/>
                      <w:lang w:val="en-US" w:eastAsia="zh-CN"/>
                    </w:rPr>
                  </w:pPr>
                  <w:r>
                    <w:rPr>
                      <w:rFonts w:hint="eastAsia"/>
                      <w:color w:val="auto"/>
                      <w:lang w:val="en-US" w:eastAsia="zh-CN"/>
                    </w:rPr>
                    <w:t>0.211</w:t>
                  </w:r>
                </w:p>
              </w:tc>
            </w:tr>
          </w:tbl>
          <w:p w14:paraId="1410A909">
            <w:pPr>
              <w:widowControl/>
              <w:adjustRightInd w:val="0"/>
              <w:snapToGrid w:val="0"/>
              <w:spacing w:beforeLines="50" w:line="360" w:lineRule="auto"/>
              <w:ind w:firstLine="480" w:firstLineChars="200"/>
              <w:jc w:val="left"/>
              <w:rPr>
                <w:color w:val="auto"/>
                <w:kern w:val="0"/>
                <w:sz w:val="24"/>
              </w:rPr>
            </w:pPr>
            <w:r>
              <w:rPr>
                <w:rFonts w:hint="eastAsia"/>
                <w:color w:val="auto"/>
                <w:kern w:val="0"/>
                <w:sz w:val="24"/>
              </w:rPr>
              <w:t>由上表可知，</w:t>
            </w:r>
            <w:r>
              <w:rPr>
                <w:color w:val="auto"/>
                <w:sz w:val="24"/>
              </w:rPr>
              <w:t>区域大气环境中</w:t>
            </w:r>
            <w:r>
              <w:rPr>
                <w:rFonts w:hint="eastAsia"/>
                <w:color w:val="auto"/>
                <w:kern w:val="0"/>
                <w:sz w:val="24"/>
              </w:rPr>
              <w:t>的</w:t>
            </w:r>
            <w:r>
              <w:rPr>
                <w:rFonts w:hint="eastAsia"/>
                <w:color w:val="auto"/>
                <w:kern w:val="0"/>
                <w:sz w:val="24"/>
                <w:lang w:val="en-US" w:eastAsia="zh-CN"/>
              </w:rPr>
              <w:t>TSP</w:t>
            </w:r>
            <w:r>
              <w:rPr>
                <w:rFonts w:hint="eastAsia"/>
                <w:color w:val="auto"/>
                <w:kern w:val="0"/>
                <w:sz w:val="24"/>
              </w:rPr>
              <w:t>满足《环境影响评价技术导则 大气环境》（HJ/2.2-2018）附录D中限值，表明区域环境空气质量状况良好。</w:t>
            </w:r>
          </w:p>
          <w:p w14:paraId="03B8A334">
            <w:pPr>
              <w:widowControl/>
              <w:spacing w:line="360" w:lineRule="auto"/>
              <w:jc w:val="left"/>
              <w:rPr>
                <w:color w:val="auto"/>
                <w:sz w:val="24"/>
              </w:rPr>
            </w:pPr>
            <w:r>
              <w:rPr>
                <w:b/>
                <w:bCs/>
                <w:color w:val="auto"/>
                <w:kern w:val="0"/>
                <w:sz w:val="24"/>
              </w:rPr>
              <w:t xml:space="preserve">二、地表水环境质量状况 </w:t>
            </w:r>
          </w:p>
          <w:p w14:paraId="37720149">
            <w:pPr>
              <w:pStyle w:val="7"/>
              <w:spacing w:line="360" w:lineRule="auto"/>
              <w:ind w:firstLine="480"/>
              <w:rPr>
                <w:color w:val="auto"/>
                <w:kern w:val="0"/>
                <w:sz w:val="24"/>
                <w:szCs w:val="24"/>
              </w:rPr>
            </w:pPr>
            <w:r>
              <w:rPr>
                <w:rFonts w:hint="eastAsia"/>
                <w:color w:val="auto"/>
                <w:kern w:val="0"/>
                <w:sz w:val="24"/>
                <w:szCs w:val="24"/>
              </w:rPr>
              <w:t>本次环评地表水环境质量引用《安徽湛威环保科技有限公司田集发电厂协同处置污泥项目环境影响报告书》中的地表水补充监测数据，该项目地表水收纳水体与本项目一致，均为泥河，检测日期为</w:t>
            </w:r>
            <w:r>
              <w:rPr>
                <w:rFonts w:hint="eastAsia"/>
                <w:color w:val="auto"/>
                <w:sz w:val="24"/>
                <w:szCs w:val="24"/>
              </w:rPr>
              <w:t>2022年8月10日～2022年8月12日，检测单位为安徽国环检测技术有限公司，</w:t>
            </w:r>
            <w:r>
              <w:rPr>
                <w:rFonts w:hint="eastAsia"/>
                <w:color w:val="auto"/>
                <w:kern w:val="0"/>
                <w:sz w:val="24"/>
                <w:szCs w:val="24"/>
              </w:rPr>
              <w:t>检测数据见下表3-</w:t>
            </w:r>
            <w:r>
              <w:rPr>
                <w:rFonts w:hint="eastAsia"/>
                <w:color w:val="auto"/>
                <w:kern w:val="0"/>
                <w:sz w:val="24"/>
                <w:szCs w:val="24"/>
                <w:lang w:val="en-US" w:eastAsia="zh-CN"/>
              </w:rPr>
              <w:t>2</w:t>
            </w:r>
            <w:r>
              <w:rPr>
                <w:rFonts w:hint="eastAsia"/>
                <w:color w:val="auto"/>
                <w:kern w:val="0"/>
                <w:sz w:val="24"/>
                <w:szCs w:val="24"/>
              </w:rPr>
              <w:t>和表3-</w:t>
            </w:r>
            <w:r>
              <w:rPr>
                <w:rFonts w:hint="eastAsia"/>
                <w:color w:val="auto"/>
                <w:kern w:val="0"/>
                <w:sz w:val="24"/>
                <w:szCs w:val="24"/>
                <w:lang w:val="en-US" w:eastAsia="zh-CN"/>
              </w:rPr>
              <w:t>3</w:t>
            </w:r>
            <w:r>
              <w:rPr>
                <w:rFonts w:hint="eastAsia"/>
                <w:color w:val="auto"/>
                <w:kern w:val="0"/>
                <w:sz w:val="24"/>
                <w:szCs w:val="24"/>
              </w:rPr>
              <w:t>：</w:t>
            </w:r>
          </w:p>
          <w:p w14:paraId="41A24298">
            <w:pPr>
              <w:widowControl/>
              <w:adjustRightInd w:val="0"/>
              <w:snapToGrid w:val="0"/>
              <w:jc w:val="center"/>
              <w:rPr>
                <w:b/>
                <w:bCs/>
                <w:color w:val="auto"/>
                <w:szCs w:val="21"/>
              </w:rPr>
            </w:pPr>
            <w:r>
              <w:rPr>
                <w:rFonts w:hint="eastAsia"/>
                <w:b/>
                <w:bCs/>
                <w:color w:val="auto"/>
                <w:szCs w:val="21"/>
              </w:rPr>
              <w:t>表3-</w:t>
            </w:r>
            <w:r>
              <w:rPr>
                <w:rFonts w:hint="eastAsia"/>
                <w:b/>
                <w:bCs/>
                <w:color w:val="auto"/>
                <w:szCs w:val="21"/>
                <w:lang w:val="en-US" w:eastAsia="zh-CN"/>
              </w:rPr>
              <w:t>2</w:t>
            </w:r>
            <w:r>
              <w:rPr>
                <w:rFonts w:hint="eastAsia"/>
                <w:b/>
                <w:bCs/>
                <w:color w:val="auto"/>
                <w:szCs w:val="21"/>
              </w:rPr>
              <w:t xml:space="preserve">  地表水监测断面布设情况一览表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3010"/>
              <w:gridCol w:w="1890"/>
              <w:gridCol w:w="2123"/>
            </w:tblGrid>
            <w:tr w14:paraId="5593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5" w:type="pct"/>
                  <w:tcBorders>
                    <w:top w:val="single" w:color="auto" w:sz="4" w:space="0"/>
                    <w:left w:val="single" w:color="auto" w:sz="4" w:space="0"/>
                    <w:bottom w:val="single" w:color="auto" w:sz="4" w:space="0"/>
                    <w:right w:val="single" w:color="auto" w:sz="4" w:space="0"/>
                    <w:tl2br w:val="nil"/>
                    <w:tr2bl w:val="nil"/>
                  </w:tcBorders>
                  <w:noWrap/>
                  <w:vAlign w:val="center"/>
                </w:tcPr>
                <w:p w14:paraId="6D93489A">
                  <w:pPr>
                    <w:pStyle w:val="49"/>
                    <w:adjustRightInd w:val="0"/>
                    <w:snapToGrid w:val="0"/>
                    <w:spacing w:before="60" w:after="60"/>
                    <w:rPr>
                      <w:color w:val="auto"/>
                    </w:rPr>
                  </w:pPr>
                  <w:r>
                    <w:rPr>
                      <w:rFonts w:hint="eastAsia"/>
                      <w:color w:val="auto"/>
                    </w:rPr>
                    <w:t>河流</w:t>
                  </w:r>
                </w:p>
              </w:tc>
              <w:tc>
                <w:tcPr>
                  <w:tcW w:w="4184" w:type="pct"/>
                  <w:gridSpan w:val="3"/>
                  <w:tcBorders>
                    <w:top w:val="single" w:color="auto" w:sz="4" w:space="0"/>
                    <w:left w:val="single" w:color="auto" w:sz="4" w:space="0"/>
                    <w:bottom w:val="single" w:color="auto" w:sz="4" w:space="0"/>
                    <w:right w:val="single" w:color="auto" w:sz="4" w:space="0"/>
                    <w:tl2br w:val="nil"/>
                    <w:tr2bl w:val="nil"/>
                  </w:tcBorders>
                  <w:noWrap/>
                  <w:vAlign w:val="center"/>
                </w:tcPr>
                <w:p w14:paraId="3AAB80DF">
                  <w:pPr>
                    <w:pStyle w:val="49"/>
                    <w:adjustRightInd w:val="0"/>
                    <w:snapToGrid w:val="0"/>
                    <w:spacing w:before="60" w:after="60"/>
                    <w:rPr>
                      <w:color w:val="auto"/>
                    </w:rPr>
                  </w:pPr>
                  <w:r>
                    <w:rPr>
                      <w:rFonts w:hint="eastAsia"/>
                      <w:color w:val="auto"/>
                    </w:rPr>
                    <w:t>断面</w:t>
                  </w:r>
                </w:p>
              </w:tc>
            </w:tr>
            <w:tr w14:paraId="71EB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815"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3AE8AA11">
                  <w:pPr>
                    <w:pStyle w:val="49"/>
                    <w:adjustRightInd w:val="0"/>
                    <w:snapToGrid w:val="0"/>
                    <w:spacing w:before="60" w:after="60"/>
                    <w:rPr>
                      <w:color w:val="auto"/>
                    </w:rPr>
                  </w:pPr>
                  <w:r>
                    <w:rPr>
                      <w:rFonts w:hint="eastAsia"/>
                      <w:color w:val="auto"/>
                    </w:rPr>
                    <w:t>泥河</w:t>
                  </w:r>
                </w:p>
              </w:tc>
              <w:tc>
                <w:tcPr>
                  <w:tcW w:w="1793" w:type="pct"/>
                  <w:vMerge w:val="restart"/>
                  <w:tcBorders>
                    <w:top w:val="single" w:color="auto" w:sz="4" w:space="0"/>
                    <w:left w:val="single" w:color="auto" w:sz="4" w:space="0"/>
                    <w:bottom w:val="single" w:color="auto" w:sz="4" w:space="0"/>
                    <w:right w:val="single" w:color="auto" w:sz="4" w:space="0"/>
                    <w:tl2br w:val="nil"/>
                    <w:tr2bl w:val="nil"/>
                  </w:tcBorders>
                  <w:noWrap/>
                  <w:vAlign w:val="center"/>
                </w:tcPr>
                <w:p w14:paraId="7C53A755">
                  <w:pPr>
                    <w:pStyle w:val="49"/>
                    <w:adjustRightInd w:val="0"/>
                    <w:snapToGrid w:val="0"/>
                    <w:spacing w:before="60" w:after="60"/>
                    <w:rPr>
                      <w:color w:val="auto"/>
                    </w:rPr>
                  </w:pPr>
                  <w:r>
                    <w:rPr>
                      <w:rFonts w:hint="eastAsia"/>
                      <w:color w:val="auto"/>
                    </w:rPr>
                    <w:t>雨水总排口</w:t>
                  </w:r>
                </w:p>
              </w:tc>
              <w:tc>
                <w:tcPr>
                  <w:tcW w:w="1126" w:type="pct"/>
                  <w:tcBorders>
                    <w:top w:val="single" w:color="auto" w:sz="4" w:space="0"/>
                    <w:left w:val="single" w:color="auto" w:sz="4" w:space="0"/>
                    <w:bottom w:val="single" w:color="auto" w:sz="4" w:space="0"/>
                    <w:right w:val="single" w:color="auto" w:sz="4" w:space="0"/>
                    <w:tl2br w:val="nil"/>
                    <w:tr2bl w:val="nil"/>
                  </w:tcBorders>
                  <w:noWrap/>
                  <w:vAlign w:val="center"/>
                </w:tcPr>
                <w:p w14:paraId="6453B54A">
                  <w:pPr>
                    <w:pStyle w:val="49"/>
                    <w:adjustRightInd w:val="0"/>
                    <w:snapToGrid w:val="0"/>
                    <w:spacing w:before="60" w:after="60"/>
                    <w:rPr>
                      <w:color w:val="auto"/>
                    </w:rPr>
                  </w:pPr>
                  <w:r>
                    <w:rPr>
                      <w:rFonts w:hint="eastAsia"/>
                      <w:color w:val="auto"/>
                    </w:rPr>
                    <w:t>W1</w:t>
                  </w:r>
                </w:p>
              </w:tc>
              <w:tc>
                <w:tcPr>
                  <w:tcW w:w="1264" w:type="pct"/>
                  <w:tcBorders>
                    <w:top w:val="single" w:color="auto" w:sz="4" w:space="0"/>
                    <w:left w:val="single" w:color="auto" w:sz="4" w:space="0"/>
                    <w:bottom w:val="single" w:color="auto" w:sz="4" w:space="0"/>
                    <w:right w:val="single" w:color="auto" w:sz="4" w:space="0"/>
                    <w:tl2br w:val="nil"/>
                    <w:tr2bl w:val="nil"/>
                  </w:tcBorders>
                  <w:noWrap/>
                  <w:vAlign w:val="center"/>
                </w:tcPr>
                <w:p w14:paraId="7940E137">
                  <w:pPr>
                    <w:pStyle w:val="49"/>
                    <w:adjustRightInd w:val="0"/>
                    <w:snapToGrid w:val="0"/>
                    <w:spacing w:before="60" w:after="60"/>
                    <w:rPr>
                      <w:color w:val="auto"/>
                    </w:rPr>
                  </w:pPr>
                  <w:r>
                    <w:rPr>
                      <w:rFonts w:hint="eastAsia"/>
                      <w:color w:val="auto"/>
                    </w:rPr>
                    <w:t>上游500m</w:t>
                  </w:r>
                </w:p>
              </w:tc>
            </w:tr>
            <w:tr w14:paraId="2461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 w:hRule="atLeast"/>
              </w:trPr>
              <w:tc>
                <w:tcPr>
                  <w:tcW w:w="81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4916D330">
                  <w:pPr>
                    <w:pStyle w:val="49"/>
                    <w:adjustRightInd w:val="0"/>
                    <w:snapToGrid w:val="0"/>
                    <w:spacing w:before="60" w:after="60"/>
                    <w:rPr>
                      <w:color w:val="auto"/>
                    </w:rPr>
                  </w:pPr>
                </w:p>
              </w:tc>
              <w:tc>
                <w:tcPr>
                  <w:tcW w:w="1793"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437F463">
                  <w:pPr>
                    <w:pStyle w:val="49"/>
                    <w:adjustRightInd w:val="0"/>
                    <w:snapToGrid w:val="0"/>
                    <w:spacing w:before="60" w:after="60"/>
                    <w:rPr>
                      <w:color w:val="auto"/>
                    </w:rPr>
                  </w:pPr>
                </w:p>
              </w:tc>
              <w:tc>
                <w:tcPr>
                  <w:tcW w:w="1126" w:type="pct"/>
                  <w:tcBorders>
                    <w:top w:val="single" w:color="auto" w:sz="4" w:space="0"/>
                    <w:left w:val="single" w:color="auto" w:sz="4" w:space="0"/>
                    <w:bottom w:val="single" w:color="auto" w:sz="4" w:space="0"/>
                    <w:right w:val="single" w:color="auto" w:sz="4" w:space="0"/>
                    <w:tl2br w:val="nil"/>
                    <w:tr2bl w:val="nil"/>
                  </w:tcBorders>
                  <w:noWrap/>
                  <w:vAlign w:val="center"/>
                </w:tcPr>
                <w:p w14:paraId="588C554A">
                  <w:pPr>
                    <w:pStyle w:val="49"/>
                    <w:adjustRightInd w:val="0"/>
                    <w:snapToGrid w:val="0"/>
                    <w:spacing w:before="60" w:after="60"/>
                    <w:rPr>
                      <w:color w:val="auto"/>
                    </w:rPr>
                  </w:pPr>
                  <w:r>
                    <w:rPr>
                      <w:rFonts w:hint="eastAsia"/>
                      <w:color w:val="auto"/>
                    </w:rPr>
                    <w:t>W2</w:t>
                  </w:r>
                </w:p>
              </w:tc>
              <w:tc>
                <w:tcPr>
                  <w:tcW w:w="1264" w:type="pct"/>
                  <w:tcBorders>
                    <w:top w:val="single" w:color="auto" w:sz="4" w:space="0"/>
                    <w:left w:val="single" w:color="auto" w:sz="4" w:space="0"/>
                    <w:bottom w:val="single" w:color="auto" w:sz="4" w:space="0"/>
                    <w:right w:val="single" w:color="auto" w:sz="4" w:space="0"/>
                    <w:tl2br w:val="nil"/>
                    <w:tr2bl w:val="nil"/>
                  </w:tcBorders>
                  <w:noWrap/>
                  <w:vAlign w:val="center"/>
                </w:tcPr>
                <w:p w14:paraId="6B62C4DB">
                  <w:pPr>
                    <w:pStyle w:val="49"/>
                    <w:adjustRightInd w:val="0"/>
                    <w:snapToGrid w:val="0"/>
                    <w:spacing w:before="60" w:after="60"/>
                    <w:rPr>
                      <w:color w:val="auto"/>
                    </w:rPr>
                  </w:pPr>
                  <w:r>
                    <w:rPr>
                      <w:rFonts w:hint="eastAsia"/>
                      <w:color w:val="auto"/>
                    </w:rPr>
                    <w:t>下游500m</w:t>
                  </w:r>
                </w:p>
              </w:tc>
            </w:tr>
            <w:tr w14:paraId="3E97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815"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18A7AD75">
                  <w:pPr>
                    <w:pStyle w:val="49"/>
                    <w:adjustRightInd w:val="0"/>
                    <w:snapToGrid w:val="0"/>
                    <w:spacing w:before="60" w:after="60"/>
                    <w:rPr>
                      <w:color w:val="auto"/>
                    </w:rPr>
                  </w:pPr>
                </w:p>
              </w:tc>
              <w:tc>
                <w:tcPr>
                  <w:tcW w:w="1793" w:type="pct"/>
                  <w:vMerge w:val="continue"/>
                  <w:tcBorders>
                    <w:top w:val="single" w:color="auto" w:sz="4" w:space="0"/>
                    <w:left w:val="single" w:color="auto" w:sz="4" w:space="0"/>
                    <w:bottom w:val="single" w:color="auto" w:sz="4" w:space="0"/>
                    <w:right w:val="single" w:color="auto" w:sz="4" w:space="0"/>
                    <w:tl2br w:val="nil"/>
                    <w:tr2bl w:val="nil"/>
                  </w:tcBorders>
                  <w:noWrap/>
                  <w:vAlign w:val="center"/>
                </w:tcPr>
                <w:p w14:paraId="309DA05E">
                  <w:pPr>
                    <w:pStyle w:val="49"/>
                    <w:adjustRightInd w:val="0"/>
                    <w:snapToGrid w:val="0"/>
                    <w:spacing w:before="60" w:after="60"/>
                    <w:rPr>
                      <w:color w:val="auto"/>
                    </w:rPr>
                  </w:pPr>
                </w:p>
              </w:tc>
              <w:tc>
                <w:tcPr>
                  <w:tcW w:w="1126" w:type="pct"/>
                  <w:tcBorders>
                    <w:top w:val="single" w:color="auto" w:sz="4" w:space="0"/>
                    <w:left w:val="single" w:color="auto" w:sz="4" w:space="0"/>
                    <w:bottom w:val="single" w:color="auto" w:sz="4" w:space="0"/>
                    <w:right w:val="single" w:color="auto" w:sz="4" w:space="0"/>
                    <w:tl2br w:val="nil"/>
                    <w:tr2bl w:val="nil"/>
                  </w:tcBorders>
                  <w:noWrap/>
                  <w:vAlign w:val="center"/>
                </w:tcPr>
                <w:p w14:paraId="49225FC7">
                  <w:pPr>
                    <w:pStyle w:val="49"/>
                    <w:adjustRightInd w:val="0"/>
                    <w:snapToGrid w:val="0"/>
                    <w:spacing w:before="60" w:after="60"/>
                    <w:rPr>
                      <w:color w:val="auto"/>
                    </w:rPr>
                  </w:pPr>
                  <w:r>
                    <w:rPr>
                      <w:rFonts w:hint="eastAsia"/>
                      <w:color w:val="auto"/>
                    </w:rPr>
                    <w:t>W3</w:t>
                  </w:r>
                </w:p>
              </w:tc>
              <w:tc>
                <w:tcPr>
                  <w:tcW w:w="1264" w:type="pct"/>
                  <w:tcBorders>
                    <w:top w:val="single" w:color="auto" w:sz="4" w:space="0"/>
                    <w:left w:val="single" w:color="auto" w:sz="4" w:space="0"/>
                    <w:bottom w:val="single" w:color="auto" w:sz="4" w:space="0"/>
                    <w:right w:val="single" w:color="auto" w:sz="4" w:space="0"/>
                    <w:tl2br w:val="nil"/>
                    <w:tr2bl w:val="nil"/>
                  </w:tcBorders>
                  <w:noWrap/>
                  <w:vAlign w:val="center"/>
                </w:tcPr>
                <w:p w14:paraId="3D196AB2">
                  <w:pPr>
                    <w:pStyle w:val="49"/>
                    <w:adjustRightInd w:val="0"/>
                    <w:snapToGrid w:val="0"/>
                    <w:spacing w:before="60" w:after="60"/>
                    <w:rPr>
                      <w:color w:val="auto"/>
                    </w:rPr>
                  </w:pPr>
                  <w:r>
                    <w:rPr>
                      <w:rFonts w:hint="eastAsia"/>
                      <w:color w:val="auto"/>
                    </w:rPr>
                    <w:t>下游2000m</w:t>
                  </w:r>
                </w:p>
              </w:tc>
            </w:tr>
          </w:tbl>
          <w:p w14:paraId="6B8BA9F0">
            <w:pPr>
              <w:widowControl/>
              <w:adjustRightInd w:val="0"/>
              <w:snapToGrid w:val="0"/>
              <w:spacing w:beforeLines="50"/>
              <w:jc w:val="center"/>
              <w:rPr>
                <w:color w:val="auto"/>
              </w:rPr>
            </w:pPr>
            <w:r>
              <w:rPr>
                <w:rFonts w:hint="eastAsia"/>
                <w:b/>
                <w:bCs/>
                <w:color w:val="auto"/>
                <w:szCs w:val="21"/>
              </w:rPr>
              <w:t>表3-</w:t>
            </w:r>
            <w:r>
              <w:rPr>
                <w:rFonts w:hint="eastAsia"/>
                <w:b/>
                <w:bCs/>
                <w:color w:val="auto"/>
                <w:szCs w:val="21"/>
                <w:lang w:val="en-US" w:eastAsia="zh-CN"/>
              </w:rPr>
              <w:t>3</w:t>
            </w:r>
            <w:r>
              <w:rPr>
                <w:rFonts w:hint="eastAsia"/>
                <w:b/>
                <w:bCs/>
                <w:color w:val="auto"/>
                <w:szCs w:val="21"/>
              </w:rPr>
              <w:t xml:space="preserve">  地表水环境水质监测结果汇总表</w:t>
            </w:r>
          </w:p>
          <w:tbl>
            <w:tblPr>
              <w:tblStyle w:val="29"/>
              <w:tblW w:w="4998" w:type="pct"/>
              <w:tblInd w:w="0" w:type="dxa"/>
              <w:tblLayout w:type="autofit"/>
              <w:tblCellMar>
                <w:top w:w="0" w:type="dxa"/>
                <w:left w:w="0" w:type="dxa"/>
                <w:bottom w:w="0" w:type="dxa"/>
                <w:right w:w="0" w:type="dxa"/>
              </w:tblCellMar>
            </w:tblPr>
            <w:tblGrid>
              <w:gridCol w:w="750"/>
              <w:gridCol w:w="1060"/>
              <w:gridCol w:w="570"/>
              <w:gridCol w:w="456"/>
              <w:gridCol w:w="461"/>
              <w:gridCol w:w="469"/>
              <w:gridCol w:w="453"/>
              <w:gridCol w:w="461"/>
              <w:gridCol w:w="461"/>
              <w:gridCol w:w="570"/>
              <w:gridCol w:w="570"/>
              <w:gridCol w:w="570"/>
              <w:gridCol w:w="570"/>
              <w:gridCol w:w="461"/>
              <w:gridCol w:w="519"/>
            </w:tblGrid>
            <w:tr w14:paraId="60261797">
              <w:tblPrEx>
                <w:tblCellMar>
                  <w:top w:w="0" w:type="dxa"/>
                  <w:left w:w="0" w:type="dxa"/>
                  <w:bottom w:w="0" w:type="dxa"/>
                  <w:right w:w="0" w:type="dxa"/>
                </w:tblCellMar>
              </w:tblPrEx>
              <w:trPr>
                <w:trHeight w:val="283" w:hRule="atLeast"/>
              </w:trPr>
              <w:tc>
                <w:tcPr>
                  <w:tcW w:w="37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BBAB69">
                  <w:pPr>
                    <w:pStyle w:val="49"/>
                    <w:adjustRightInd w:val="0"/>
                    <w:snapToGrid w:val="0"/>
                    <w:spacing w:before="60" w:after="60"/>
                    <w:rPr>
                      <w:color w:val="auto"/>
                      <w:sz w:val="18"/>
                      <w:szCs w:val="18"/>
                    </w:rPr>
                  </w:pPr>
                  <w:r>
                    <w:rPr>
                      <w:color w:val="auto"/>
                      <w:sz w:val="18"/>
                      <w:szCs w:val="18"/>
                    </w:rPr>
                    <w:t>检测点位</w:t>
                  </w:r>
                </w:p>
              </w:tc>
              <w:tc>
                <w:tcPr>
                  <w:tcW w:w="659"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D602F7">
                  <w:pPr>
                    <w:pStyle w:val="49"/>
                    <w:adjustRightInd w:val="0"/>
                    <w:snapToGrid w:val="0"/>
                    <w:spacing w:before="60" w:after="60"/>
                    <w:rPr>
                      <w:color w:val="auto"/>
                      <w:sz w:val="18"/>
                      <w:szCs w:val="18"/>
                    </w:rPr>
                  </w:pPr>
                  <w:r>
                    <w:rPr>
                      <w:color w:val="auto"/>
                      <w:sz w:val="18"/>
                      <w:szCs w:val="18"/>
                    </w:rPr>
                    <w:t>检测时间</w:t>
                  </w:r>
                </w:p>
              </w:tc>
              <w:tc>
                <w:tcPr>
                  <w:tcW w:w="3965" w:type="pct"/>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51C00">
                  <w:pPr>
                    <w:pStyle w:val="49"/>
                    <w:adjustRightInd w:val="0"/>
                    <w:snapToGrid w:val="0"/>
                    <w:spacing w:before="60" w:after="60"/>
                    <w:rPr>
                      <w:color w:val="auto"/>
                      <w:sz w:val="18"/>
                      <w:szCs w:val="18"/>
                    </w:rPr>
                  </w:pPr>
                  <w:r>
                    <w:rPr>
                      <w:color w:val="auto"/>
                      <w:sz w:val="18"/>
                      <w:szCs w:val="18"/>
                    </w:rPr>
                    <w:t>污染物浓度监测结果</w:t>
                  </w:r>
                </w:p>
              </w:tc>
            </w:tr>
            <w:tr w14:paraId="4DEB4B54">
              <w:tblPrEx>
                <w:tblCellMar>
                  <w:top w:w="0" w:type="dxa"/>
                  <w:left w:w="0" w:type="dxa"/>
                  <w:bottom w:w="0" w:type="dxa"/>
                  <w:right w:w="0" w:type="dxa"/>
                </w:tblCellMar>
              </w:tblPrEx>
              <w:trPr>
                <w:trHeight w:val="288" w:hRule="atLeast"/>
              </w:trPr>
              <w:tc>
                <w:tcPr>
                  <w:tcW w:w="3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C8A12A">
                  <w:pPr>
                    <w:pStyle w:val="49"/>
                    <w:adjustRightInd w:val="0"/>
                    <w:snapToGrid w:val="0"/>
                    <w:spacing w:before="60" w:after="60"/>
                    <w:rPr>
                      <w:color w:val="auto"/>
                      <w:sz w:val="18"/>
                      <w:szCs w:val="18"/>
                    </w:rPr>
                  </w:pPr>
                </w:p>
              </w:tc>
              <w:tc>
                <w:tcPr>
                  <w:tcW w:w="65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42F44C">
                  <w:pPr>
                    <w:pStyle w:val="49"/>
                    <w:adjustRightInd w:val="0"/>
                    <w:snapToGrid w:val="0"/>
                    <w:spacing w:before="60" w:after="60"/>
                    <w:rPr>
                      <w:color w:val="auto"/>
                      <w:sz w:val="18"/>
                      <w:szCs w:val="18"/>
                    </w:rPr>
                  </w:pP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F227C">
                  <w:pPr>
                    <w:pStyle w:val="49"/>
                    <w:adjustRightInd w:val="0"/>
                    <w:snapToGrid w:val="0"/>
                    <w:spacing w:before="60" w:after="60"/>
                    <w:rPr>
                      <w:color w:val="auto"/>
                      <w:sz w:val="18"/>
                      <w:szCs w:val="18"/>
                    </w:rPr>
                  </w:pPr>
                  <w:r>
                    <w:rPr>
                      <w:color w:val="auto"/>
                      <w:sz w:val="18"/>
                      <w:szCs w:val="18"/>
                    </w:rPr>
                    <w:t>pH值</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12F7F">
                  <w:pPr>
                    <w:pStyle w:val="49"/>
                    <w:adjustRightInd w:val="0"/>
                    <w:snapToGrid w:val="0"/>
                    <w:spacing w:before="60" w:after="60"/>
                    <w:rPr>
                      <w:color w:val="auto"/>
                      <w:sz w:val="18"/>
                      <w:szCs w:val="18"/>
                    </w:rPr>
                  </w:pPr>
                  <w:r>
                    <w:rPr>
                      <w:color w:val="auto"/>
                      <w:sz w:val="18"/>
                      <w:szCs w:val="18"/>
                    </w:rPr>
                    <w:t>DO</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04CC1E">
                  <w:pPr>
                    <w:pStyle w:val="49"/>
                    <w:adjustRightInd w:val="0"/>
                    <w:snapToGrid w:val="0"/>
                    <w:spacing w:before="60" w:after="60"/>
                    <w:rPr>
                      <w:color w:val="auto"/>
                      <w:sz w:val="18"/>
                      <w:szCs w:val="18"/>
                    </w:rPr>
                  </w:pPr>
                  <w:r>
                    <w:rPr>
                      <w:color w:val="auto"/>
                      <w:sz w:val="18"/>
                      <w:szCs w:val="18"/>
                    </w:rPr>
                    <w:t>COD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507E5E">
                  <w:pPr>
                    <w:pStyle w:val="49"/>
                    <w:adjustRightInd w:val="0"/>
                    <w:snapToGrid w:val="0"/>
                    <w:spacing w:before="60" w:after="60"/>
                    <w:rPr>
                      <w:color w:val="auto"/>
                      <w:sz w:val="18"/>
                      <w:szCs w:val="18"/>
                    </w:rPr>
                  </w:pPr>
                  <w:r>
                    <w:rPr>
                      <w:color w:val="auto"/>
                      <w:sz w:val="18"/>
                      <w:szCs w:val="18"/>
                    </w:rPr>
                    <w:t>BOD</w:t>
                  </w:r>
                  <w:r>
                    <w:rPr>
                      <w:color w:val="auto"/>
                      <w:sz w:val="18"/>
                      <w:szCs w:val="18"/>
                      <w:vertAlign w:val="subscript"/>
                    </w:rPr>
                    <w:t>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C5DD43">
                  <w:pPr>
                    <w:pStyle w:val="49"/>
                    <w:adjustRightInd w:val="0"/>
                    <w:snapToGrid w:val="0"/>
                    <w:spacing w:before="60" w:after="60"/>
                    <w:rPr>
                      <w:color w:val="auto"/>
                      <w:sz w:val="18"/>
                      <w:szCs w:val="18"/>
                    </w:rPr>
                  </w:pPr>
                  <w:r>
                    <w:rPr>
                      <w:color w:val="auto"/>
                      <w:sz w:val="18"/>
                      <w:szCs w:val="18"/>
                    </w:rPr>
                    <w:t>氨氮</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1BF36">
                  <w:pPr>
                    <w:pStyle w:val="49"/>
                    <w:adjustRightInd w:val="0"/>
                    <w:snapToGrid w:val="0"/>
                    <w:spacing w:before="60" w:after="60"/>
                    <w:rPr>
                      <w:color w:val="auto"/>
                      <w:sz w:val="18"/>
                      <w:szCs w:val="18"/>
                    </w:rPr>
                  </w:pPr>
                  <w:r>
                    <w:rPr>
                      <w:color w:val="auto"/>
                      <w:sz w:val="18"/>
                      <w:szCs w:val="18"/>
                    </w:rPr>
                    <w:t>总磷</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99863">
                  <w:pPr>
                    <w:pStyle w:val="49"/>
                    <w:adjustRightInd w:val="0"/>
                    <w:snapToGrid w:val="0"/>
                    <w:spacing w:before="60" w:after="60"/>
                    <w:rPr>
                      <w:color w:val="auto"/>
                      <w:sz w:val="18"/>
                      <w:szCs w:val="18"/>
                    </w:rPr>
                  </w:pPr>
                  <w:r>
                    <w:rPr>
                      <w:color w:val="auto"/>
                      <w:sz w:val="18"/>
                      <w:szCs w:val="18"/>
                    </w:rPr>
                    <w:t>总氮</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515143">
                  <w:pPr>
                    <w:pStyle w:val="49"/>
                    <w:adjustRightInd w:val="0"/>
                    <w:snapToGrid w:val="0"/>
                    <w:spacing w:before="60" w:after="60"/>
                    <w:rPr>
                      <w:color w:val="auto"/>
                      <w:sz w:val="18"/>
                      <w:szCs w:val="18"/>
                    </w:rPr>
                  </w:pPr>
                  <w:r>
                    <w:rPr>
                      <w:color w:val="auto"/>
                      <w:sz w:val="18"/>
                      <w:szCs w:val="18"/>
                    </w:rPr>
                    <w:t>硫化物</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6F1C1C">
                  <w:pPr>
                    <w:pStyle w:val="49"/>
                    <w:adjustRightInd w:val="0"/>
                    <w:snapToGrid w:val="0"/>
                    <w:spacing w:before="60" w:after="60"/>
                    <w:rPr>
                      <w:color w:val="auto"/>
                      <w:sz w:val="18"/>
                      <w:szCs w:val="18"/>
                    </w:rPr>
                  </w:pPr>
                  <w:r>
                    <w:rPr>
                      <w:color w:val="auto"/>
                      <w:sz w:val="18"/>
                      <w:szCs w:val="18"/>
                    </w:rPr>
                    <w:t>挥发酚</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2525AC">
                  <w:pPr>
                    <w:pStyle w:val="49"/>
                    <w:adjustRightInd w:val="0"/>
                    <w:snapToGrid w:val="0"/>
                    <w:spacing w:before="60" w:after="60"/>
                    <w:rPr>
                      <w:color w:val="auto"/>
                      <w:sz w:val="18"/>
                      <w:szCs w:val="18"/>
                    </w:rPr>
                  </w:pPr>
                  <w:r>
                    <w:rPr>
                      <w:color w:val="auto"/>
                      <w:sz w:val="18"/>
                      <w:szCs w:val="18"/>
                    </w:rPr>
                    <w:t>石油类</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5877D6">
                  <w:pPr>
                    <w:pStyle w:val="49"/>
                    <w:adjustRightInd w:val="0"/>
                    <w:snapToGrid w:val="0"/>
                    <w:spacing w:before="60" w:after="60"/>
                    <w:rPr>
                      <w:color w:val="auto"/>
                      <w:sz w:val="18"/>
                      <w:szCs w:val="18"/>
                    </w:rPr>
                  </w:pPr>
                  <w:r>
                    <w:rPr>
                      <w:color w:val="auto"/>
                      <w:sz w:val="18"/>
                      <w:szCs w:val="18"/>
                    </w:rPr>
                    <w:t>六价铬</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A17527">
                  <w:pPr>
                    <w:pStyle w:val="49"/>
                    <w:adjustRightInd w:val="0"/>
                    <w:snapToGrid w:val="0"/>
                    <w:spacing w:before="60" w:after="60"/>
                    <w:rPr>
                      <w:color w:val="auto"/>
                      <w:sz w:val="18"/>
                      <w:szCs w:val="18"/>
                    </w:rPr>
                  </w:pPr>
                  <w:r>
                    <w:rPr>
                      <w:color w:val="auto"/>
                      <w:sz w:val="18"/>
                      <w:szCs w:val="18"/>
                    </w:rPr>
                    <w:t>铅</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FAC4BD">
                  <w:pPr>
                    <w:pStyle w:val="49"/>
                    <w:adjustRightInd w:val="0"/>
                    <w:snapToGrid w:val="0"/>
                    <w:spacing w:before="60" w:after="60"/>
                    <w:rPr>
                      <w:color w:val="auto"/>
                      <w:sz w:val="18"/>
                      <w:szCs w:val="18"/>
                    </w:rPr>
                  </w:pPr>
                  <w:r>
                    <w:rPr>
                      <w:color w:val="auto"/>
                      <w:sz w:val="18"/>
                      <w:szCs w:val="18"/>
                    </w:rPr>
                    <w:t>镉</w:t>
                  </w:r>
                </w:p>
              </w:tc>
            </w:tr>
            <w:tr w14:paraId="767FF10E">
              <w:tblPrEx>
                <w:tblCellMar>
                  <w:top w:w="0" w:type="dxa"/>
                  <w:left w:w="0" w:type="dxa"/>
                  <w:bottom w:w="0" w:type="dxa"/>
                  <w:right w:w="0" w:type="dxa"/>
                </w:tblCellMar>
              </w:tblPrEx>
              <w:trPr>
                <w:trHeight w:val="288" w:hRule="atLeast"/>
              </w:trPr>
              <w:tc>
                <w:tcPr>
                  <w:tcW w:w="37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18386F">
                  <w:pPr>
                    <w:pStyle w:val="49"/>
                    <w:adjustRightInd w:val="0"/>
                    <w:snapToGrid w:val="0"/>
                    <w:spacing w:before="60" w:after="60"/>
                    <w:rPr>
                      <w:color w:val="auto"/>
                      <w:sz w:val="18"/>
                      <w:szCs w:val="18"/>
                    </w:rPr>
                  </w:pPr>
                </w:p>
              </w:tc>
              <w:tc>
                <w:tcPr>
                  <w:tcW w:w="659"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AC82A7">
                  <w:pPr>
                    <w:pStyle w:val="49"/>
                    <w:adjustRightInd w:val="0"/>
                    <w:snapToGrid w:val="0"/>
                    <w:spacing w:before="60" w:after="60"/>
                    <w:rPr>
                      <w:color w:val="auto"/>
                      <w:sz w:val="18"/>
                      <w:szCs w:val="18"/>
                    </w:rPr>
                  </w:pP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9BE6E">
                  <w:pPr>
                    <w:pStyle w:val="49"/>
                    <w:adjustRightInd w:val="0"/>
                    <w:snapToGrid w:val="0"/>
                    <w:spacing w:before="60" w:after="60"/>
                    <w:rPr>
                      <w:color w:val="auto"/>
                      <w:sz w:val="18"/>
                      <w:szCs w:val="18"/>
                    </w:rPr>
                  </w:pPr>
                  <w:r>
                    <w:rPr>
                      <w:color w:val="auto"/>
                      <w:sz w:val="18"/>
                      <w:szCs w:val="18"/>
                    </w:rPr>
                    <w:t>无量纲</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67763">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97F55F">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BD696">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CB36D7">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49A9F">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BD1D8">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2B6EA5">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6480F">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4FA2C">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80478">
                  <w:pPr>
                    <w:pStyle w:val="49"/>
                    <w:adjustRightInd w:val="0"/>
                    <w:snapToGrid w:val="0"/>
                    <w:spacing w:before="60" w:after="60"/>
                    <w:rPr>
                      <w:color w:val="auto"/>
                      <w:sz w:val="18"/>
                      <w:szCs w:val="18"/>
                    </w:rPr>
                  </w:pPr>
                  <w:r>
                    <w:rPr>
                      <w:color w:val="auto"/>
                      <w:sz w:val="18"/>
                      <w:szCs w:val="18"/>
                    </w:rPr>
                    <w:t>mg/L</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BC62A">
                  <w:pPr>
                    <w:pStyle w:val="49"/>
                    <w:adjustRightInd w:val="0"/>
                    <w:snapToGrid w:val="0"/>
                    <w:spacing w:before="60" w:after="60"/>
                    <w:rPr>
                      <w:color w:val="auto"/>
                      <w:sz w:val="18"/>
                      <w:szCs w:val="18"/>
                    </w:rPr>
                  </w:pPr>
                  <w:r>
                    <w:rPr>
                      <w:color w:val="auto"/>
                      <w:sz w:val="18"/>
                      <w:szCs w:val="18"/>
                    </w:rPr>
                    <w:t>mg/L</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20815E">
                  <w:pPr>
                    <w:pStyle w:val="49"/>
                    <w:adjustRightInd w:val="0"/>
                    <w:snapToGrid w:val="0"/>
                    <w:spacing w:before="60" w:after="60"/>
                    <w:rPr>
                      <w:color w:val="auto"/>
                      <w:sz w:val="18"/>
                      <w:szCs w:val="18"/>
                    </w:rPr>
                  </w:pPr>
                  <w:r>
                    <w:rPr>
                      <w:color w:val="auto"/>
                      <w:sz w:val="18"/>
                      <w:szCs w:val="18"/>
                    </w:rPr>
                    <w:t>mg/L</w:t>
                  </w:r>
                </w:p>
              </w:tc>
            </w:tr>
            <w:tr w14:paraId="0B8DE134">
              <w:tblPrEx>
                <w:tblCellMar>
                  <w:top w:w="0" w:type="dxa"/>
                  <w:left w:w="0" w:type="dxa"/>
                  <w:bottom w:w="0" w:type="dxa"/>
                  <w:right w:w="0" w:type="dxa"/>
                </w:tblCellMar>
              </w:tblPrEx>
              <w:trPr>
                <w:trHeight w:val="288" w:hRule="atLeast"/>
              </w:trPr>
              <w:tc>
                <w:tcPr>
                  <w:tcW w:w="37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47C5B11">
                  <w:pPr>
                    <w:pStyle w:val="49"/>
                    <w:adjustRightInd w:val="0"/>
                    <w:snapToGrid w:val="0"/>
                    <w:spacing w:before="60" w:after="60"/>
                    <w:rPr>
                      <w:color w:val="auto"/>
                      <w:sz w:val="18"/>
                      <w:szCs w:val="18"/>
                    </w:rPr>
                  </w:pPr>
                  <w:r>
                    <w:rPr>
                      <w:color w:val="auto"/>
                      <w:sz w:val="18"/>
                      <w:szCs w:val="18"/>
                    </w:rPr>
                    <w:t>W1</w:t>
                  </w: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670621">
                  <w:pPr>
                    <w:pStyle w:val="49"/>
                    <w:adjustRightInd w:val="0"/>
                    <w:snapToGrid w:val="0"/>
                    <w:spacing w:before="60" w:after="60"/>
                    <w:rPr>
                      <w:color w:val="auto"/>
                      <w:sz w:val="18"/>
                      <w:szCs w:val="18"/>
                    </w:rPr>
                  </w:pPr>
                  <w:r>
                    <w:rPr>
                      <w:color w:val="auto"/>
                      <w:sz w:val="18"/>
                      <w:szCs w:val="18"/>
                    </w:rPr>
                    <w:t>2022.08.10</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B338CA">
                  <w:pPr>
                    <w:pStyle w:val="49"/>
                    <w:adjustRightInd w:val="0"/>
                    <w:snapToGrid w:val="0"/>
                    <w:spacing w:before="60" w:after="60"/>
                    <w:rPr>
                      <w:color w:val="auto"/>
                      <w:sz w:val="18"/>
                      <w:szCs w:val="18"/>
                    </w:rPr>
                  </w:pPr>
                  <w:r>
                    <w:rPr>
                      <w:color w:val="auto"/>
                      <w:sz w:val="18"/>
                      <w:szCs w:val="18"/>
                    </w:rPr>
                    <w:t>7.03</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BF631A">
                  <w:pPr>
                    <w:pStyle w:val="49"/>
                    <w:adjustRightInd w:val="0"/>
                    <w:snapToGrid w:val="0"/>
                    <w:spacing w:before="60" w:after="60"/>
                    <w:rPr>
                      <w:color w:val="auto"/>
                      <w:sz w:val="18"/>
                      <w:szCs w:val="18"/>
                    </w:rPr>
                  </w:pPr>
                  <w:r>
                    <w:rPr>
                      <w:color w:val="auto"/>
                      <w:sz w:val="18"/>
                      <w:szCs w:val="18"/>
                    </w:rPr>
                    <w:t>7.9</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F1A9D9">
                  <w:pPr>
                    <w:pStyle w:val="49"/>
                    <w:adjustRightInd w:val="0"/>
                    <w:snapToGrid w:val="0"/>
                    <w:spacing w:before="60" w:after="60"/>
                    <w:rPr>
                      <w:color w:val="auto"/>
                      <w:sz w:val="18"/>
                      <w:szCs w:val="18"/>
                    </w:rPr>
                  </w:pPr>
                  <w:r>
                    <w:rPr>
                      <w:color w:val="auto"/>
                      <w:sz w:val="18"/>
                      <w:szCs w:val="18"/>
                    </w:rPr>
                    <w:t>20</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7FEA4">
                  <w:pPr>
                    <w:pStyle w:val="49"/>
                    <w:adjustRightInd w:val="0"/>
                    <w:snapToGrid w:val="0"/>
                    <w:spacing w:before="60" w:after="60"/>
                    <w:rPr>
                      <w:color w:val="auto"/>
                      <w:sz w:val="18"/>
                      <w:szCs w:val="18"/>
                    </w:rPr>
                  </w:pPr>
                  <w:r>
                    <w:rPr>
                      <w:color w:val="auto"/>
                      <w:sz w:val="18"/>
                      <w:szCs w:val="18"/>
                    </w:rPr>
                    <w:t>5.5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9A2B85">
                  <w:pPr>
                    <w:pStyle w:val="49"/>
                    <w:adjustRightInd w:val="0"/>
                    <w:snapToGrid w:val="0"/>
                    <w:spacing w:before="60" w:after="60"/>
                    <w:rPr>
                      <w:color w:val="auto"/>
                      <w:sz w:val="18"/>
                      <w:szCs w:val="18"/>
                    </w:rPr>
                  </w:pPr>
                  <w:r>
                    <w:rPr>
                      <w:color w:val="auto"/>
                      <w:sz w:val="18"/>
                      <w:szCs w:val="18"/>
                    </w:rPr>
                    <w:t>0.388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7771EA">
                  <w:pPr>
                    <w:pStyle w:val="49"/>
                    <w:adjustRightInd w:val="0"/>
                    <w:snapToGrid w:val="0"/>
                    <w:spacing w:before="60" w:after="60"/>
                    <w:rPr>
                      <w:color w:val="auto"/>
                      <w:sz w:val="18"/>
                      <w:szCs w:val="18"/>
                    </w:rPr>
                  </w:pPr>
                  <w:r>
                    <w:rPr>
                      <w:color w:val="auto"/>
                      <w:sz w:val="18"/>
                      <w:szCs w:val="18"/>
                    </w:rPr>
                    <w:t>0.05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5DF379">
                  <w:pPr>
                    <w:pStyle w:val="49"/>
                    <w:adjustRightInd w:val="0"/>
                    <w:snapToGrid w:val="0"/>
                    <w:spacing w:before="60" w:after="60"/>
                    <w:rPr>
                      <w:color w:val="auto"/>
                      <w:sz w:val="18"/>
                      <w:szCs w:val="18"/>
                    </w:rPr>
                  </w:pPr>
                  <w:r>
                    <w:rPr>
                      <w:color w:val="auto"/>
                      <w:sz w:val="18"/>
                      <w:szCs w:val="18"/>
                    </w:rPr>
                    <w:t>0.7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CC6A6">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2815C0">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9317E">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0592F">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0E6FD0">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027ADA">
                  <w:pPr>
                    <w:adjustRightInd w:val="0"/>
                    <w:snapToGrid w:val="0"/>
                    <w:spacing w:before="60" w:after="60"/>
                    <w:jc w:val="center"/>
                    <w:rPr>
                      <w:color w:val="auto"/>
                      <w:sz w:val="18"/>
                      <w:szCs w:val="18"/>
                    </w:rPr>
                  </w:pPr>
                  <w:r>
                    <w:rPr>
                      <w:color w:val="auto"/>
                      <w:sz w:val="18"/>
                      <w:szCs w:val="18"/>
                    </w:rPr>
                    <w:t>ND</w:t>
                  </w:r>
                </w:p>
              </w:tc>
            </w:tr>
            <w:tr w14:paraId="4FAA2D61">
              <w:tblPrEx>
                <w:tblCellMar>
                  <w:top w:w="0" w:type="dxa"/>
                  <w:left w:w="0" w:type="dxa"/>
                  <w:bottom w:w="0" w:type="dxa"/>
                  <w:right w:w="0" w:type="dxa"/>
                </w:tblCellMar>
              </w:tblPrEx>
              <w:trPr>
                <w:trHeight w:val="288" w:hRule="atLeast"/>
              </w:trPr>
              <w:tc>
                <w:tcPr>
                  <w:tcW w:w="374" w:type="pct"/>
                  <w:vMerge w:val="continue"/>
                  <w:tcBorders>
                    <w:left w:val="single" w:color="000000" w:sz="4" w:space="0"/>
                    <w:right w:val="single" w:color="000000" w:sz="4" w:space="0"/>
                  </w:tcBorders>
                  <w:noWrap/>
                  <w:tcMar>
                    <w:top w:w="15" w:type="dxa"/>
                    <w:left w:w="15" w:type="dxa"/>
                    <w:right w:w="15" w:type="dxa"/>
                  </w:tcMar>
                  <w:vAlign w:val="center"/>
                </w:tcPr>
                <w:p w14:paraId="0F148BB1">
                  <w:pPr>
                    <w:pStyle w:val="49"/>
                    <w:adjustRightInd w:val="0"/>
                    <w:snapToGrid w:val="0"/>
                    <w:spacing w:before="60" w:after="60"/>
                    <w:rPr>
                      <w:color w:val="auto"/>
                      <w:sz w:val="18"/>
                      <w:szCs w:val="18"/>
                    </w:rPr>
                  </w:pP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4CBD18">
                  <w:pPr>
                    <w:pStyle w:val="49"/>
                    <w:adjustRightInd w:val="0"/>
                    <w:snapToGrid w:val="0"/>
                    <w:spacing w:before="60" w:after="60"/>
                    <w:rPr>
                      <w:color w:val="auto"/>
                      <w:sz w:val="18"/>
                      <w:szCs w:val="18"/>
                    </w:rPr>
                  </w:pPr>
                  <w:r>
                    <w:rPr>
                      <w:color w:val="auto"/>
                      <w:sz w:val="18"/>
                      <w:szCs w:val="18"/>
                    </w:rPr>
                    <w:t>2022.08.11</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14A25">
                  <w:pPr>
                    <w:pStyle w:val="49"/>
                    <w:adjustRightInd w:val="0"/>
                    <w:snapToGrid w:val="0"/>
                    <w:spacing w:before="60" w:after="60"/>
                    <w:rPr>
                      <w:color w:val="auto"/>
                      <w:sz w:val="18"/>
                      <w:szCs w:val="18"/>
                    </w:rPr>
                  </w:pPr>
                  <w:r>
                    <w:rPr>
                      <w:color w:val="auto"/>
                      <w:sz w:val="18"/>
                      <w:szCs w:val="18"/>
                    </w:rPr>
                    <w:t>7.02</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A98409">
                  <w:pPr>
                    <w:pStyle w:val="49"/>
                    <w:adjustRightInd w:val="0"/>
                    <w:snapToGrid w:val="0"/>
                    <w:spacing w:before="60" w:after="60"/>
                    <w:rPr>
                      <w:color w:val="auto"/>
                      <w:sz w:val="18"/>
                      <w:szCs w:val="18"/>
                    </w:rPr>
                  </w:pPr>
                  <w:r>
                    <w:rPr>
                      <w:color w:val="auto"/>
                      <w:sz w:val="18"/>
                      <w:szCs w:val="18"/>
                    </w:rPr>
                    <w:t>8.7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6B043">
                  <w:pPr>
                    <w:pStyle w:val="49"/>
                    <w:adjustRightInd w:val="0"/>
                    <w:snapToGrid w:val="0"/>
                    <w:spacing w:before="60" w:after="60"/>
                    <w:rPr>
                      <w:color w:val="auto"/>
                      <w:sz w:val="18"/>
                      <w:szCs w:val="18"/>
                    </w:rPr>
                  </w:pPr>
                  <w:r>
                    <w:rPr>
                      <w:color w:val="auto"/>
                      <w:sz w:val="18"/>
                      <w:szCs w:val="18"/>
                    </w:rPr>
                    <w:t>18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9DE114">
                  <w:pPr>
                    <w:pStyle w:val="49"/>
                    <w:adjustRightInd w:val="0"/>
                    <w:snapToGrid w:val="0"/>
                    <w:spacing w:before="60" w:after="60"/>
                    <w:rPr>
                      <w:color w:val="auto"/>
                      <w:sz w:val="18"/>
                      <w:szCs w:val="18"/>
                    </w:rPr>
                  </w:pPr>
                  <w:r>
                    <w:rPr>
                      <w:color w:val="auto"/>
                      <w:sz w:val="18"/>
                      <w:szCs w:val="18"/>
                    </w:rPr>
                    <w:t>5.9</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CB126">
                  <w:pPr>
                    <w:pStyle w:val="49"/>
                    <w:adjustRightInd w:val="0"/>
                    <w:snapToGrid w:val="0"/>
                    <w:spacing w:before="60" w:after="60"/>
                    <w:rPr>
                      <w:color w:val="auto"/>
                      <w:sz w:val="18"/>
                      <w:szCs w:val="18"/>
                    </w:rPr>
                  </w:pPr>
                  <w:r>
                    <w:rPr>
                      <w:color w:val="auto"/>
                      <w:sz w:val="18"/>
                      <w:szCs w:val="18"/>
                    </w:rPr>
                    <w:t>0.378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21997">
                  <w:pPr>
                    <w:pStyle w:val="49"/>
                    <w:adjustRightInd w:val="0"/>
                    <w:snapToGrid w:val="0"/>
                    <w:spacing w:before="60" w:after="60"/>
                    <w:rPr>
                      <w:color w:val="auto"/>
                      <w:sz w:val="18"/>
                      <w:szCs w:val="18"/>
                    </w:rPr>
                  </w:pPr>
                  <w:r>
                    <w:rPr>
                      <w:color w:val="auto"/>
                      <w:sz w:val="18"/>
                      <w:szCs w:val="18"/>
                    </w:rPr>
                    <w:t>0.06</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7A136F">
                  <w:pPr>
                    <w:pStyle w:val="49"/>
                    <w:adjustRightInd w:val="0"/>
                    <w:snapToGrid w:val="0"/>
                    <w:spacing w:before="60" w:after="60"/>
                    <w:rPr>
                      <w:color w:val="auto"/>
                      <w:sz w:val="18"/>
                      <w:szCs w:val="18"/>
                    </w:rPr>
                  </w:pPr>
                  <w:r>
                    <w:rPr>
                      <w:color w:val="auto"/>
                      <w:sz w:val="18"/>
                      <w:szCs w:val="18"/>
                    </w:rPr>
                    <w:t>0.61</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335AA2">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C018EC">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ED518C">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FEF6E">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993DF3">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55C7F7">
                  <w:pPr>
                    <w:adjustRightInd w:val="0"/>
                    <w:snapToGrid w:val="0"/>
                    <w:spacing w:before="60" w:after="60"/>
                    <w:jc w:val="center"/>
                    <w:rPr>
                      <w:color w:val="auto"/>
                      <w:sz w:val="18"/>
                      <w:szCs w:val="18"/>
                    </w:rPr>
                  </w:pPr>
                  <w:r>
                    <w:rPr>
                      <w:color w:val="auto"/>
                      <w:sz w:val="18"/>
                      <w:szCs w:val="18"/>
                    </w:rPr>
                    <w:t>ND</w:t>
                  </w:r>
                </w:p>
              </w:tc>
            </w:tr>
            <w:tr w14:paraId="630198FE">
              <w:tblPrEx>
                <w:tblCellMar>
                  <w:top w:w="0" w:type="dxa"/>
                  <w:left w:w="0" w:type="dxa"/>
                  <w:bottom w:w="0" w:type="dxa"/>
                  <w:right w:w="0" w:type="dxa"/>
                </w:tblCellMar>
              </w:tblPrEx>
              <w:trPr>
                <w:trHeight w:val="288" w:hRule="atLeast"/>
              </w:trPr>
              <w:tc>
                <w:tcPr>
                  <w:tcW w:w="37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46FBE081">
                  <w:pPr>
                    <w:pStyle w:val="49"/>
                    <w:adjustRightInd w:val="0"/>
                    <w:snapToGrid w:val="0"/>
                    <w:spacing w:before="60" w:after="60"/>
                    <w:rPr>
                      <w:color w:val="auto"/>
                      <w:sz w:val="18"/>
                      <w:szCs w:val="18"/>
                    </w:rPr>
                  </w:pP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B16FB">
                  <w:pPr>
                    <w:pStyle w:val="49"/>
                    <w:adjustRightInd w:val="0"/>
                    <w:snapToGrid w:val="0"/>
                    <w:spacing w:before="60" w:after="60"/>
                    <w:rPr>
                      <w:color w:val="auto"/>
                      <w:sz w:val="18"/>
                      <w:szCs w:val="18"/>
                    </w:rPr>
                  </w:pPr>
                  <w:r>
                    <w:rPr>
                      <w:color w:val="auto"/>
                      <w:sz w:val="18"/>
                      <w:szCs w:val="18"/>
                    </w:rPr>
                    <w:t>2022.08.12</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D9C9A1">
                  <w:pPr>
                    <w:pStyle w:val="49"/>
                    <w:adjustRightInd w:val="0"/>
                    <w:snapToGrid w:val="0"/>
                    <w:spacing w:before="60" w:after="60"/>
                    <w:rPr>
                      <w:color w:val="auto"/>
                      <w:sz w:val="18"/>
                      <w:szCs w:val="18"/>
                    </w:rPr>
                  </w:pPr>
                  <w:r>
                    <w:rPr>
                      <w:color w:val="auto"/>
                      <w:sz w:val="18"/>
                      <w:szCs w:val="18"/>
                    </w:rPr>
                    <w:t>7.06</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530B50">
                  <w:pPr>
                    <w:pStyle w:val="49"/>
                    <w:adjustRightInd w:val="0"/>
                    <w:snapToGrid w:val="0"/>
                    <w:spacing w:before="60" w:after="60"/>
                    <w:rPr>
                      <w:color w:val="auto"/>
                      <w:sz w:val="18"/>
                      <w:szCs w:val="18"/>
                    </w:rPr>
                  </w:pPr>
                  <w:r>
                    <w:rPr>
                      <w:color w:val="auto"/>
                      <w:sz w:val="18"/>
                      <w:szCs w:val="18"/>
                    </w:rPr>
                    <w:t>8.3</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912080A">
                  <w:pPr>
                    <w:pStyle w:val="49"/>
                    <w:adjustRightInd w:val="0"/>
                    <w:snapToGrid w:val="0"/>
                    <w:spacing w:before="60" w:after="60"/>
                    <w:rPr>
                      <w:color w:val="auto"/>
                      <w:sz w:val="18"/>
                      <w:szCs w:val="18"/>
                    </w:rPr>
                  </w:pPr>
                  <w:r>
                    <w:rPr>
                      <w:color w:val="auto"/>
                      <w:sz w:val="18"/>
                      <w:szCs w:val="18"/>
                    </w:rPr>
                    <w:t>21</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32906">
                  <w:pPr>
                    <w:pStyle w:val="49"/>
                    <w:adjustRightInd w:val="0"/>
                    <w:snapToGrid w:val="0"/>
                    <w:spacing w:before="60" w:after="60"/>
                    <w:rPr>
                      <w:color w:val="auto"/>
                      <w:sz w:val="18"/>
                      <w:szCs w:val="18"/>
                    </w:rPr>
                  </w:pPr>
                  <w:r>
                    <w:rPr>
                      <w:color w:val="auto"/>
                      <w:sz w:val="18"/>
                      <w:szCs w:val="18"/>
                    </w:rPr>
                    <w:t>5.8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6C9958">
                  <w:pPr>
                    <w:pStyle w:val="49"/>
                    <w:adjustRightInd w:val="0"/>
                    <w:snapToGrid w:val="0"/>
                    <w:spacing w:before="60" w:after="60"/>
                    <w:rPr>
                      <w:color w:val="auto"/>
                      <w:sz w:val="18"/>
                      <w:szCs w:val="18"/>
                    </w:rPr>
                  </w:pPr>
                  <w:r>
                    <w:rPr>
                      <w:color w:val="auto"/>
                      <w:sz w:val="18"/>
                      <w:szCs w:val="18"/>
                    </w:rPr>
                    <w:t>0.294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3E6BA1">
                  <w:pPr>
                    <w:pStyle w:val="49"/>
                    <w:adjustRightInd w:val="0"/>
                    <w:snapToGrid w:val="0"/>
                    <w:spacing w:before="60" w:after="60"/>
                    <w:rPr>
                      <w:color w:val="auto"/>
                      <w:sz w:val="18"/>
                      <w:szCs w:val="18"/>
                    </w:rPr>
                  </w:pPr>
                  <w:r>
                    <w:rPr>
                      <w:color w:val="auto"/>
                      <w:sz w:val="18"/>
                      <w:szCs w:val="18"/>
                    </w:rPr>
                    <w:t>0.06</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56D46">
                  <w:pPr>
                    <w:pStyle w:val="49"/>
                    <w:adjustRightInd w:val="0"/>
                    <w:snapToGrid w:val="0"/>
                    <w:spacing w:before="60" w:after="60"/>
                    <w:rPr>
                      <w:color w:val="auto"/>
                      <w:sz w:val="18"/>
                      <w:szCs w:val="18"/>
                    </w:rPr>
                  </w:pPr>
                  <w:r>
                    <w:rPr>
                      <w:color w:val="auto"/>
                      <w:sz w:val="18"/>
                      <w:szCs w:val="18"/>
                    </w:rPr>
                    <w:t>0.78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EC9C66">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648AEE">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BAB401">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C7F8BD">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A02D83">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E5BD3F">
                  <w:pPr>
                    <w:adjustRightInd w:val="0"/>
                    <w:snapToGrid w:val="0"/>
                    <w:spacing w:before="60" w:after="60"/>
                    <w:jc w:val="center"/>
                    <w:rPr>
                      <w:color w:val="auto"/>
                      <w:sz w:val="18"/>
                      <w:szCs w:val="18"/>
                    </w:rPr>
                  </w:pPr>
                  <w:r>
                    <w:rPr>
                      <w:color w:val="auto"/>
                      <w:sz w:val="18"/>
                      <w:szCs w:val="18"/>
                    </w:rPr>
                    <w:t>ND</w:t>
                  </w:r>
                </w:p>
              </w:tc>
            </w:tr>
            <w:tr w14:paraId="2881A4B5">
              <w:tblPrEx>
                <w:tblCellMar>
                  <w:top w:w="0" w:type="dxa"/>
                  <w:left w:w="0" w:type="dxa"/>
                  <w:bottom w:w="0" w:type="dxa"/>
                  <w:right w:w="0" w:type="dxa"/>
                </w:tblCellMar>
              </w:tblPrEx>
              <w:trPr>
                <w:trHeight w:val="288" w:hRule="atLeast"/>
              </w:trPr>
              <w:tc>
                <w:tcPr>
                  <w:tcW w:w="37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24DCF5F0">
                  <w:pPr>
                    <w:pStyle w:val="49"/>
                    <w:adjustRightInd w:val="0"/>
                    <w:snapToGrid w:val="0"/>
                    <w:spacing w:before="60" w:after="60"/>
                    <w:rPr>
                      <w:color w:val="auto"/>
                      <w:sz w:val="18"/>
                      <w:szCs w:val="18"/>
                    </w:rPr>
                  </w:pPr>
                  <w:r>
                    <w:rPr>
                      <w:color w:val="auto"/>
                      <w:sz w:val="18"/>
                      <w:szCs w:val="18"/>
                    </w:rPr>
                    <w:t>W2</w:t>
                  </w: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BC9D54">
                  <w:pPr>
                    <w:pStyle w:val="49"/>
                    <w:adjustRightInd w:val="0"/>
                    <w:snapToGrid w:val="0"/>
                    <w:spacing w:before="60" w:after="60"/>
                    <w:rPr>
                      <w:color w:val="auto"/>
                      <w:sz w:val="18"/>
                      <w:szCs w:val="18"/>
                    </w:rPr>
                  </w:pPr>
                  <w:r>
                    <w:rPr>
                      <w:color w:val="auto"/>
                      <w:sz w:val="18"/>
                      <w:szCs w:val="18"/>
                    </w:rPr>
                    <w:t>2022.08.10</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807853">
                  <w:pPr>
                    <w:pStyle w:val="49"/>
                    <w:adjustRightInd w:val="0"/>
                    <w:snapToGrid w:val="0"/>
                    <w:spacing w:before="60" w:after="60"/>
                    <w:rPr>
                      <w:color w:val="auto"/>
                      <w:sz w:val="18"/>
                      <w:szCs w:val="18"/>
                    </w:rPr>
                  </w:pPr>
                  <w:r>
                    <w:rPr>
                      <w:color w:val="auto"/>
                      <w:sz w:val="18"/>
                      <w:szCs w:val="18"/>
                    </w:rPr>
                    <w:t>7.05</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3CCD90">
                  <w:pPr>
                    <w:pStyle w:val="49"/>
                    <w:adjustRightInd w:val="0"/>
                    <w:snapToGrid w:val="0"/>
                    <w:spacing w:before="60" w:after="60"/>
                    <w:rPr>
                      <w:color w:val="auto"/>
                      <w:sz w:val="18"/>
                      <w:szCs w:val="18"/>
                    </w:rPr>
                  </w:pPr>
                  <w:r>
                    <w:rPr>
                      <w:color w:val="auto"/>
                      <w:sz w:val="18"/>
                      <w:szCs w:val="18"/>
                    </w:rPr>
                    <w:t>8.1</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35E881">
                  <w:pPr>
                    <w:pStyle w:val="49"/>
                    <w:adjustRightInd w:val="0"/>
                    <w:snapToGrid w:val="0"/>
                    <w:spacing w:before="60" w:after="60"/>
                    <w:rPr>
                      <w:color w:val="auto"/>
                      <w:sz w:val="18"/>
                      <w:szCs w:val="18"/>
                    </w:rPr>
                  </w:pPr>
                  <w:r>
                    <w:rPr>
                      <w:color w:val="auto"/>
                      <w:sz w:val="18"/>
                      <w:szCs w:val="18"/>
                    </w:rPr>
                    <w:t>28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6EE532">
                  <w:pPr>
                    <w:pStyle w:val="49"/>
                    <w:adjustRightInd w:val="0"/>
                    <w:snapToGrid w:val="0"/>
                    <w:spacing w:before="60" w:after="60"/>
                    <w:rPr>
                      <w:color w:val="auto"/>
                      <w:sz w:val="18"/>
                      <w:szCs w:val="18"/>
                    </w:rPr>
                  </w:pPr>
                  <w:r>
                    <w:rPr>
                      <w:color w:val="auto"/>
                      <w:sz w:val="18"/>
                      <w:szCs w:val="18"/>
                    </w:rPr>
                    <w:t>5.7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8B383">
                  <w:pPr>
                    <w:pStyle w:val="49"/>
                    <w:adjustRightInd w:val="0"/>
                    <w:snapToGrid w:val="0"/>
                    <w:spacing w:before="60" w:after="60"/>
                    <w:rPr>
                      <w:color w:val="auto"/>
                      <w:sz w:val="18"/>
                      <w:szCs w:val="18"/>
                    </w:rPr>
                  </w:pPr>
                  <w:r>
                    <w:rPr>
                      <w:color w:val="auto"/>
                      <w:sz w:val="18"/>
                      <w:szCs w:val="18"/>
                    </w:rPr>
                    <w:t>0.496</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3F3573">
                  <w:pPr>
                    <w:pStyle w:val="49"/>
                    <w:adjustRightInd w:val="0"/>
                    <w:snapToGrid w:val="0"/>
                    <w:spacing w:before="60" w:after="60"/>
                    <w:rPr>
                      <w:color w:val="auto"/>
                      <w:sz w:val="18"/>
                      <w:szCs w:val="18"/>
                    </w:rPr>
                  </w:pPr>
                  <w:r>
                    <w:rPr>
                      <w:color w:val="auto"/>
                      <w:sz w:val="18"/>
                      <w:szCs w:val="18"/>
                    </w:rPr>
                    <w:t>0.08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FB5E3A">
                  <w:pPr>
                    <w:pStyle w:val="49"/>
                    <w:adjustRightInd w:val="0"/>
                    <w:snapToGrid w:val="0"/>
                    <w:spacing w:before="60" w:after="60"/>
                    <w:rPr>
                      <w:color w:val="auto"/>
                      <w:sz w:val="18"/>
                      <w:szCs w:val="18"/>
                    </w:rPr>
                  </w:pPr>
                  <w:r>
                    <w:rPr>
                      <w:color w:val="auto"/>
                      <w:sz w:val="18"/>
                      <w:szCs w:val="18"/>
                    </w:rPr>
                    <w:t>0.99</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DCE06">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FCDBF1">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19FF3">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1B018F">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7A31E">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483591">
                  <w:pPr>
                    <w:adjustRightInd w:val="0"/>
                    <w:snapToGrid w:val="0"/>
                    <w:spacing w:before="60" w:after="60"/>
                    <w:jc w:val="center"/>
                    <w:rPr>
                      <w:color w:val="auto"/>
                      <w:sz w:val="18"/>
                      <w:szCs w:val="18"/>
                    </w:rPr>
                  </w:pPr>
                  <w:r>
                    <w:rPr>
                      <w:color w:val="auto"/>
                      <w:sz w:val="18"/>
                      <w:szCs w:val="18"/>
                    </w:rPr>
                    <w:t>ND</w:t>
                  </w:r>
                </w:p>
              </w:tc>
            </w:tr>
            <w:tr w14:paraId="4931E0AC">
              <w:tblPrEx>
                <w:tblCellMar>
                  <w:top w:w="0" w:type="dxa"/>
                  <w:left w:w="0" w:type="dxa"/>
                  <w:bottom w:w="0" w:type="dxa"/>
                  <w:right w:w="0" w:type="dxa"/>
                </w:tblCellMar>
              </w:tblPrEx>
              <w:trPr>
                <w:trHeight w:val="303" w:hRule="atLeast"/>
              </w:trPr>
              <w:tc>
                <w:tcPr>
                  <w:tcW w:w="374" w:type="pct"/>
                  <w:vMerge w:val="continue"/>
                  <w:tcBorders>
                    <w:left w:val="single" w:color="000000" w:sz="4" w:space="0"/>
                    <w:right w:val="single" w:color="000000" w:sz="4" w:space="0"/>
                  </w:tcBorders>
                  <w:noWrap/>
                  <w:tcMar>
                    <w:top w:w="15" w:type="dxa"/>
                    <w:left w:w="15" w:type="dxa"/>
                    <w:right w:w="15" w:type="dxa"/>
                  </w:tcMar>
                  <w:vAlign w:val="center"/>
                </w:tcPr>
                <w:p w14:paraId="5800276C">
                  <w:pPr>
                    <w:pStyle w:val="49"/>
                    <w:adjustRightInd w:val="0"/>
                    <w:snapToGrid w:val="0"/>
                    <w:spacing w:before="60" w:after="60"/>
                    <w:rPr>
                      <w:color w:val="auto"/>
                      <w:sz w:val="18"/>
                      <w:szCs w:val="18"/>
                    </w:rPr>
                  </w:pP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70891">
                  <w:pPr>
                    <w:pStyle w:val="49"/>
                    <w:adjustRightInd w:val="0"/>
                    <w:snapToGrid w:val="0"/>
                    <w:spacing w:before="60" w:after="60"/>
                    <w:rPr>
                      <w:color w:val="auto"/>
                      <w:sz w:val="18"/>
                      <w:szCs w:val="18"/>
                    </w:rPr>
                  </w:pPr>
                  <w:r>
                    <w:rPr>
                      <w:color w:val="auto"/>
                      <w:sz w:val="18"/>
                      <w:szCs w:val="18"/>
                    </w:rPr>
                    <w:t>2022.08.11</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C6C4AE">
                  <w:pPr>
                    <w:pStyle w:val="49"/>
                    <w:adjustRightInd w:val="0"/>
                    <w:snapToGrid w:val="0"/>
                    <w:spacing w:before="60" w:after="60"/>
                    <w:rPr>
                      <w:color w:val="auto"/>
                      <w:sz w:val="18"/>
                      <w:szCs w:val="18"/>
                    </w:rPr>
                  </w:pPr>
                  <w:r>
                    <w:rPr>
                      <w:color w:val="auto"/>
                      <w:sz w:val="18"/>
                      <w:szCs w:val="18"/>
                    </w:rPr>
                    <w:t>7.05</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1563C8">
                  <w:pPr>
                    <w:pStyle w:val="49"/>
                    <w:adjustRightInd w:val="0"/>
                    <w:snapToGrid w:val="0"/>
                    <w:spacing w:before="60" w:after="60"/>
                    <w:rPr>
                      <w:color w:val="auto"/>
                      <w:sz w:val="18"/>
                      <w:szCs w:val="18"/>
                    </w:rPr>
                  </w:pPr>
                  <w:r>
                    <w:rPr>
                      <w:color w:val="auto"/>
                      <w:sz w:val="18"/>
                      <w:szCs w:val="18"/>
                    </w:rPr>
                    <w:t>9.2</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A4D188">
                  <w:pPr>
                    <w:pStyle w:val="49"/>
                    <w:adjustRightInd w:val="0"/>
                    <w:snapToGrid w:val="0"/>
                    <w:spacing w:before="60" w:after="60"/>
                    <w:rPr>
                      <w:color w:val="auto"/>
                      <w:sz w:val="18"/>
                      <w:szCs w:val="18"/>
                    </w:rPr>
                  </w:pPr>
                  <w:r>
                    <w:rPr>
                      <w:color w:val="auto"/>
                      <w:sz w:val="18"/>
                      <w:szCs w:val="18"/>
                    </w:rPr>
                    <w:t>27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346C6">
                  <w:pPr>
                    <w:pStyle w:val="49"/>
                    <w:adjustRightInd w:val="0"/>
                    <w:snapToGrid w:val="0"/>
                    <w:spacing w:before="60" w:after="60"/>
                    <w:rPr>
                      <w:color w:val="auto"/>
                      <w:sz w:val="18"/>
                      <w:szCs w:val="18"/>
                    </w:rPr>
                  </w:pPr>
                  <w:r>
                    <w:rPr>
                      <w:color w:val="auto"/>
                      <w:sz w:val="18"/>
                      <w:szCs w:val="18"/>
                    </w:rPr>
                    <w:t>5.1</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E8D344">
                  <w:pPr>
                    <w:pStyle w:val="49"/>
                    <w:adjustRightInd w:val="0"/>
                    <w:snapToGrid w:val="0"/>
                    <w:spacing w:before="60" w:after="60"/>
                    <w:rPr>
                      <w:color w:val="auto"/>
                      <w:sz w:val="18"/>
                      <w:szCs w:val="18"/>
                    </w:rPr>
                  </w:pPr>
                  <w:r>
                    <w:rPr>
                      <w:color w:val="auto"/>
                      <w:sz w:val="18"/>
                      <w:szCs w:val="18"/>
                    </w:rPr>
                    <w:t>0.451</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FAB208">
                  <w:pPr>
                    <w:pStyle w:val="49"/>
                    <w:adjustRightInd w:val="0"/>
                    <w:snapToGrid w:val="0"/>
                    <w:spacing w:before="60" w:after="60"/>
                    <w:rPr>
                      <w:color w:val="auto"/>
                      <w:sz w:val="18"/>
                      <w:szCs w:val="18"/>
                    </w:rPr>
                  </w:pPr>
                  <w:r>
                    <w:rPr>
                      <w:color w:val="auto"/>
                      <w:sz w:val="18"/>
                      <w:szCs w:val="18"/>
                    </w:rPr>
                    <w:t>0.09</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88BAF">
                  <w:pPr>
                    <w:pStyle w:val="49"/>
                    <w:adjustRightInd w:val="0"/>
                    <w:snapToGrid w:val="0"/>
                    <w:spacing w:before="60" w:after="60"/>
                    <w:rPr>
                      <w:color w:val="auto"/>
                      <w:sz w:val="18"/>
                      <w:szCs w:val="18"/>
                    </w:rPr>
                  </w:pPr>
                  <w:r>
                    <w:rPr>
                      <w:color w:val="auto"/>
                      <w:sz w:val="18"/>
                      <w:szCs w:val="18"/>
                    </w:rPr>
                    <w:t>0.7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7ADA6A">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ABF70">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4F1071">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2A31D6">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64072E">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85271B">
                  <w:pPr>
                    <w:adjustRightInd w:val="0"/>
                    <w:snapToGrid w:val="0"/>
                    <w:spacing w:before="60" w:after="60"/>
                    <w:jc w:val="center"/>
                    <w:rPr>
                      <w:color w:val="auto"/>
                      <w:sz w:val="18"/>
                      <w:szCs w:val="18"/>
                    </w:rPr>
                  </w:pPr>
                  <w:r>
                    <w:rPr>
                      <w:color w:val="auto"/>
                      <w:sz w:val="18"/>
                      <w:szCs w:val="18"/>
                    </w:rPr>
                    <w:t>ND</w:t>
                  </w:r>
                </w:p>
              </w:tc>
            </w:tr>
            <w:tr w14:paraId="7122A6A3">
              <w:tblPrEx>
                <w:tblCellMar>
                  <w:top w:w="0" w:type="dxa"/>
                  <w:left w:w="0" w:type="dxa"/>
                  <w:bottom w:w="0" w:type="dxa"/>
                  <w:right w:w="0" w:type="dxa"/>
                </w:tblCellMar>
              </w:tblPrEx>
              <w:trPr>
                <w:trHeight w:val="288" w:hRule="atLeast"/>
              </w:trPr>
              <w:tc>
                <w:tcPr>
                  <w:tcW w:w="37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355E240B">
                  <w:pPr>
                    <w:pStyle w:val="49"/>
                    <w:adjustRightInd w:val="0"/>
                    <w:snapToGrid w:val="0"/>
                    <w:spacing w:before="60" w:after="60"/>
                    <w:rPr>
                      <w:color w:val="auto"/>
                      <w:sz w:val="18"/>
                      <w:szCs w:val="18"/>
                    </w:rPr>
                  </w:pP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8FA68D">
                  <w:pPr>
                    <w:pStyle w:val="49"/>
                    <w:adjustRightInd w:val="0"/>
                    <w:snapToGrid w:val="0"/>
                    <w:spacing w:before="60" w:after="60"/>
                    <w:rPr>
                      <w:color w:val="auto"/>
                      <w:sz w:val="18"/>
                      <w:szCs w:val="18"/>
                    </w:rPr>
                  </w:pPr>
                  <w:r>
                    <w:rPr>
                      <w:color w:val="auto"/>
                      <w:sz w:val="18"/>
                      <w:szCs w:val="18"/>
                    </w:rPr>
                    <w:t>2022.08.12</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D0D8C">
                  <w:pPr>
                    <w:pStyle w:val="49"/>
                    <w:adjustRightInd w:val="0"/>
                    <w:snapToGrid w:val="0"/>
                    <w:spacing w:before="60" w:after="60"/>
                    <w:rPr>
                      <w:color w:val="auto"/>
                      <w:sz w:val="18"/>
                      <w:szCs w:val="18"/>
                    </w:rPr>
                  </w:pPr>
                  <w:r>
                    <w:rPr>
                      <w:color w:val="auto"/>
                      <w:sz w:val="18"/>
                      <w:szCs w:val="18"/>
                    </w:rPr>
                    <w:t>7.05</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6B7B">
                  <w:pPr>
                    <w:pStyle w:val="49"/>
                    <w:adjustRightInd w:val="0"/>
                    <w:snapToGrid w:val="0"/>
                    <w:spacing w:before="60" w:after="60"/>
                    <w:rPr>
                      <w:color w:val="auto"/>
                      <w:sz w:val="18"/>
                      <w:szCs w:val="18"/>
                    </w:rPr>
                  </w:pPr>
                  <w:r>
                    <w:rPr>
                      <w:color w:val="auto"/>
                      <w:sz w:val="18"/>
                      <w:szCs w:val="18"/>
                    </w:rPr>
                    <w:t>9.3</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5A282A">
                  <w:pPr>
                    <w:pStyle w:val="49"/>
                    <w:adjustRightInd w:val="0"/>
                    <w:snapToGrid w:val="0"/>
                    <w:spacing w:before="60" w:after="60"/>
                    <w:rPr>
                      <w:color w:val="auto"/>
                      <w:sz w:val="18"/>
                      <w:szCs w:val="18"/>
                    </w:rPr>
                  </w:pPr>
                  <w:r>
                    <w:rPr>
                      <w:color w:val="auto"/>
                      <w:sz w:val="18"/>
                      <w:szCs w:val="18"/>
                    </w:rPr>
                    <w:t>24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98665">
                  <w:pPr>
                    <w:pStyle w:val="49"/>
                    <w:adjustRightInd w:val="0"/>
                    <w:snapToGrid w:val="0"/>
                    <w:spacing w:before="60" w:after="60"/>
                    <w:rPr>
                      <w:color w:val="auto"/>
                      <w:sz w:val="18"/>
                      <w:szCs w:val="18"/>
                    </w:rPr>
                  </w:pPr>
                  <w:r>
                    <w:rPr>
                      <w:color w:val="auto"/>
                      <w:sz w:val="18"/>
                      <w:szCs w:val="18"/>
                    </w:rPr>
                    <w:t>5.1</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E942B1">
                  <w:pPr>
                    <w:pStyle w:val="49"/>
                    <w:adjustRightInd w:val="0"/>
                    <w:snapToGrid w:val="0"/>
                    <w:spacing w:before="60" w:after="60"/>
                    <w:rPr>
                      <w:color w:val="auto"/>
                      <w:sz w:val="18"/>
                      <w:szCs w:val="18"/>
                    </w:rPr>
                  </w:pPr>
                  <w:r>
                    <w:rPr>
                      <w:color w:val="auto"/>
                      <w:sz w:val="18"/>
                      <w:szCs w:val="18"/>
                    </w:rPr>
                    <w:t>0.347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E7256">
                  <w:pPr>
                    <w:pStyle w:val="49"/>
                    <w:adjustRightInd w:val="0"/>
                    <w:snapToGrid w:val="0"/>
                    <w:spacing w:before="60" w:after="60"/>
                    <w:rPr>
                      <w:color w:val="auto"/>
                      <w:sz w:val="18"/>
                      <w:szCs w:val="18"/>
                    </w:rPr>
                  </w:pPr>
                  <w:r>
                    <w:rPr>
                      <w:color w:val="auto"/>
                      <w:sz w:val="18"/>
                      <w:szCs w:val="18"/>
                    </w:rPr>
                    <w:t>0.07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CD8C95">
                  <w:pPr>
                    <w:pStyle w:val="49"/>
                    <w:adjustRightInd w:val="0"/>
                    <w:snapToGrid w:val="0"/>
                    <w:spacing w:before="60" w:after="60"/>
                    <w:rPr>
                      <w:color w:val="auto"/>
                      <w:sz w:val="18"/>
                      <w:szCs w:val="18"/>
                    </w:rPr>
                  </w:pPr>
                  <w:r>
                    <w:rPr>
                      <w:color w:val="auto"/>
                      <w:sz w:val="18"/>
                      <w:szCs w:val="18"/>
                    </w:rPr>
                    <w:t>0.8</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16DBC">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B3D96C">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49396B">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980FF0">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186295">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572EAB">
                  <w:pPr>
                    <w:adjustRightInd w:val="0"/>
                    <w:snapToGrid w:val="0"/>
                    <w:spacing w:before="60" w:after="60"/>
                    <w:jc w:val="center"/>
                    <w:rPr>
                      <w:color w:val="auto"/>
                      <w:sz w:val="18"/>
                      <w:szCs w:val="18"/>
                    </w:rPr>
                  </w:pPr>
                  <w:r>
                    <w:rPr>
                      <w:color w:val="auto"/>
                      <w:sz w:val="18"/>
                      <w:szCs w:val="18"/>
                    </w:rPr>
                    <w:t>ND</w:t>
                  </w:r>
                </w:p>
              </w:tc>
            </w:tr>
            <w:tr w14:paraId="3992F470">
              <w:tblPrEx>
                <w:tblCellMar>
                  <w:top w:w="0" w:type="dxa"/>
                  <w:left w:w="0" w:type="dxa"/>
                  <w:bottom w:w="0" w:type="dxa"/>
                  <w:right w:w="0" w:type="dxa"/>
                </w:tblCellMar>
              </w:tblPrEx>
              <w:trPr>
                <w:trHeight w:val="288" w:hRule="atLeast"/>
              </w:trPr>
              <w:tc>
                <w:tcPr>
                  <w:tcW w:w="37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4DCFC942">
                  <w:pPr>
                    <w:pStyle w:val="49"/>
                    <w:adjustRightInd w:val="0"/>
                    <w:snapToGrid w:val="0"/>
                    <w:spacing w:before="60" w:after="60"/>
                    <w:rPr>
                      <w:color w:val="auto"/>
                      <w:sz w:val="18"/>
                      <w:szCs w:val="18"/>
                    </w:rPr>
                  </w:pPr>
                  <w:r>
                    <w:rPr>
                      <w:color w:val="auto"/>
                      <w:sz w:val="18"/>
                      <w:szCs w:val="18"/>
                    </w:rPr>
                    <w:t>W3</w:t>
                  </w: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0FF9DB">
                  <w:pPr>
                    <w:pStyle w:val="49"/>
                    <w:adjustRightInd w:val="0"/>
                    <w:snapToGrid w:val="0"/>
                    <w:spacing w:before="60" w:after="60"/>
                    <w:rPr>
                      <w:color w:val="auto"/>
                      <w:sz w:val="18"/>
                      <w:szCs w:val="18"/>
                    </w:rPr>
                  </w:pPr>
                  <w:r>
                    <w:rPr>
                      <w:color w:val="auto"/>
                      <w:sz w:val="18"/>
                      <w:szCs w:val="18"/>
                    </w:rPr>
                    <w:t>2022.08.10</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AB12DF">
                  <w:pPr>
                    <w:pStyle w:val="49"/>
                    <w:adjustRightInd w:val="0"/>
                    <w:snapToGrid w:val="0"/>
                    <w:spacing w:before="60" w:after="60"/>
                    <w:rPr>
                      <w:color w:val="auto"/>
                      <w:sz w:val="18"/>
                      <w:szCs w:val="18"/>
                    </w:rPr>
                  </w:pPr>
                  <w:r>
                    <w:rPr>
                      <w:color w:val="auto"/>
                      <w:sz w:val="18"/>
                      <w:szCs w:val="18"/>
                    </w:rPr>
                    <w:t>7.03</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0AE94">
                  <w:pPr>
                    <w:pStyle w:val="49"/>
                    <w:adjustRightInd w:val="0"/>
                    <w:snapToGrid w:val="0"/>
                    <w:spacing w:before="60" w:after="60"/>
                    <w:rPr>
                      <w:color w:val="auto"/>
                      <w:sz w:val="18"/>
                      <w:szCs w:val="18"/>
                    </w:rPr>
                  </w:pPr>
                  <w:r>
                    <w:rPr>
                      <w:color w:val="auto"/>
                      <w:sz w:val="18"/>
                      <w:szCs w:val="18"/>
                    </w:rPr>
                    <w:t>8.4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B892B8">
                  <w:pPr>
                    <w:pStyle w:val="49"/>
                    <w:adjustRightInd w:val="0"/>
                    <w:snapToGrid w:val="0"/>
                    <w:spacing w:before="60" w:after="60"/>
                    <w:rPr>
                      <w:color w:val="auto"/>
                      <w:sz w:val="18"/>
                      <w:szCs w:val="18"/>
                    </w:rPr>
                  </w:pPr>
                  <w:r>
                    <w:rPr>
                      <w:color w:val="auto"/>
                      <w:sz w:val="18"/>
                      <w:szCs w:val="18"/>
                    </w:rPr>
                    <w:t>24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3A5023">
                  <w:pPr>
                    <w:pStyle w:val="49"/>
                    <w:adjustRightInd w:val="0"/>
                    <w:snapToGrid w:val="0"/>
                    <w:spacing w:before="60" w:after="60"/>
                    <w:rPr>
                      <w:color w:val="auto"/>
                      <w:sz w:val="18"/>
                      <w:szCs w:val="18"/>
                    </w:rPr>
                  </w:pPr>
                  <w:r>
                    <w:rPr>
                      <w:color w:val="auto"/>
                      <w:sz w:val="18"/>
                      <w:szCs w:val="18"/>
                    </w:rPr>
                    <w:t>5.5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84C0AD">
                  <w:pPr>
                    <w:pStyle w:val="49"/>
                    <w:adjustRightInd w:val="0"/>
                    <w:snapToGrid w:val="0"/>
                    <w:spacing w:before="60" w:after="60"/>
                    <w:rPr>
                      <w:color w:val="auto"/>
                      <w:sz w:val="18"/>
                      <w:szCs w:val="18"/>
                    </w:rPr>
                  </w:pPr>
                  <w:r>
                    <w:rPr>
                      <w:color w:val="auto"/>
                      <w:sz w:val="18"/>
                      <w:szCs w:val="18"/>
                    </w:rPr>
                    <w:t>0.375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8EE37C">
                  <w:pPr>
                    <w:pStyle w:val="49"/>
                    <w:adjustRightInd w:val="0"/>
                    <w:snapToGrid w:val="0"/>
                    <w:spacing w:before="60" w:after="60"/>
                    <w:rPr>
                      <w:color w:val="auto"/>
                      <w:sz w:val="18"/>
                      <w:szCs w:val="18"/>
                    </w:rPr>
                  </w:pPr>
                  <w:r>
                    <w:rPr>
                      <w:color w:val="auto"/>
                      <w:sz w:val="18"/>
                      <w:szCs w:val="18"/>
                    </w:rPr>
                    <w:t>0.05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D56C0A">
                  <w:pPr>
                    <w:pStyle w:val="49"/>
                    <w:adjustRightInd w:val="0"/>
                    <w:snapToGrid w:val="0"/>
                    <w:spacing w:before="60" w:after="60"/>
                    <w:rPr>
                      <w:color w:val="auto"/>
                      <w:sz w:val="18"/>
                      <w:szCs w:val="18"/>
                    </w:rPr>
                  </w:pPr>
                  <w:r>
                    <w:rPr>
                      <w:color w:val="auto"/>
                      <w:sz w:val="18"/>
                      <w:szCs w:val="18"/>
                    </w:rPr>
                    <w:t>0.75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5FB718">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03F33D">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91C14">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D4C58">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DFEB6">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AADD81">
                  <w:pPr>
                    <w:adjustRightInd w:val="0"/>
                    <w:snapToGrid w:val="0"/>
                    <w:spacing w:before="60" w:after="60"/>
                    <w:jc w:val="center"/>
                    <w:rPr>
                      <w:color w:val="auto"/>
                      <w:sz w:val="18"/>
                      <w:szCs w:val="18"/>
                    </w:rPr>
                  </w:pPr>
                  <w:r>
                    <w:rPr>
                      <w:color w:val="auto"/>
                      <w:sz w:val="18"/>
                      <w:szCs w:val="18"/>
                    </w:rPr>
                    <w:t>ND</w:t>
                  </w:r>
                </w:p>
              </w:tc>
            </w:tr>
            <w:tr w14:paraId="6CE632AF">
              <w:tblPrEx>
                <w:tblCellMar>
                  <w:top w:w="0" w:type="dxa"/>
                  <w:left w:w="0" w:type="dxa"/>
                  <w:bottom w:w="0" w:type="dxa"/>
                  <w:right w:w="0" w:type="dxa"/>
                </w:tblCellMar>
              </w:tblPrEx>
              <w:trPr>
                <w:trHeight w:val="288" w:hRule="atLeast"/>
              </w:trPr>
              <w:tc>
                <w:tcPr>
                  <w:tcW w:w="374" w:type="pct"/>
                  <w:vMerge w:val="continue"/>
                  <w:tcBorders>
                    <w:left w:val="single" w:color="000000" w:sz="4" w:space="0"/>
                    <w:right w:val="single" w:color="000000" w:sz="4" w:space="0"/>
                  </w:tcBorders>
                  <w:noWrap/>
                  <w:tcMar>
                    <w:top w:w="15" w:type="dxa"/>
                    <w:left w:w="15" w:type="dxa"/>
                    <w:right w:w="15" w:type="dxa"/>
                  </w:tcMar>
                  <w:vAlign w:val="center"/>
                </w:tcPr>
                <w:p w14:paraId="47EEA55A">
                  <w:pPr>
                    <w:pStyle w:val="49"/>
                    <w:adjustRightInd w:val="0"/>
                    <w:snapToGrid w:val="0"/>
                    <w:spacing w:before="60" w:after="60"/>
                    <w:rPr>
                      <w:color w:val="auto"/>
                      <w:sz w:val="18"/>
                      <w:szCs w:val="18"/>
                    </w:rPr>
                  </w:pP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AC2ED">
                  <w:pPr>
                    <w:pStyle w:val="49"/>
                    <w:adjustRightInd w:val="0"/>
                    <w:snapToGrid w:val="0"/>
                    <w:spacing w:before="60" w:after="60"/>
                    <w:rPr>
                      <w:color w:val="auto"/>
                      <w:sz w:val="18"/>
                      <w:szCs w:val="18"/>
                    </w:rPr>
                  </w:pPr>
                  <w:r>
                    <w:rPr>
                      <w:color w:val="auto"/>
                      <w:sz w:val="18"/>
                      <w:szCs w:val="18"/>
                    </w:rPr>
                    <w:t>2022.08.11</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CFC085">
                  <w:pPr>
                    <w:pStyle w:val="49"/>
                    <w:adjustRightInd w:val="0"/>
                    <w:snapToGrid w:val="0"/>
                    <w:spacing w:before="60" w:after="60"/>
                    <w:rPr>
                      <w:color w:val="auto"/>
                      <w:sz w:val="18"/>
                      <w:szCs w:val="18"/>
                    </w:rPr>
                  </w:pPr>
                  <w:r>
                    <w:rPr>
                      <w:color w:val="auto"/>
                      <w:sz w:val="18"/>
                      <w:szCs w:val="18"/>
                    </w:rPr>
                    <w:t>7.02</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2B6511">
                  <w:pPr>
                    <w:pStyle w:val="49"/>
                    <w:adjustRightInd w:val="0"/>
                    <w:snapToGrid w:val="0"/>
                    <w:spacing w:before="60" w:after="60"/>
                    <w:rPr>
                      <w:color w:val="auto"/>
                      <w:sz w:val="18"/>
                      <w:szCs w:val="18"/>
                    </w:rPr>
                  </w:pPr>
                  <w:r>
                    <w:rPr>
                      <w:color w:val="auto"/>
                      <w:sz w:val="18"/>
                      <w:szCs w:val="18"/>
                    </w:rPr>
                    <w:t>9.4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E1AFF0">
                  <w:pPr>
                    <w:pStyle w:val="49"/>
                    <w:adjustRightInd w:val="0"/>
                    <w:snapToGrid w:val="0"/>
                    <w:spacing w:before="60" w:after="60"/>
                    <w:rPr>
                      <w:color w:val="auto"/>
                      <w:sz w:val="18"/>
                      <w:szCs w:val="18"/>
                    </w:rPr>
                  </w:pPr>
                  <w:r>
                    <w:rPr>
                      <w:color w:val="auto"/>
                      <w:sz w:val="18"/>
                      <w:szCs w:val="18"/>
                    </w:rPr>
                    <w:t>23</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262F4A">
                  <w:pPr>
                    <w:pStyle w:val="49"/>
                    <w:adjustRightInd w:val="0"/>
                    <w:snapToGrid w:val="0"/>
                    <w:spacing w:before="60" w:after="60"/>
                    <w:rPr>
                      <w:color w:val="auto"/>
                      <w:sz w:val="18"/>
                      <w:szCs w:val="18"/>
                    </w:rPr>
                  </w:pPr>
                  <w:r>
                    <w:rPr>
                      <w:color w:val="auto"/>
                      <w:sz w:val="18"/>
                      <w:szCs w:val="18"/>
                    </w:rPr>
                    <w:t>5.2</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1BEAE">
                  <w:pPr>
                    <w:pStyle w:val="49"/>
                    <w:adjustRightInd w:val="0"/>
                    <w:snapToGrid w:val="0"/>
                    <w:spacing w:before="60" w:after="60"/>
                    <w:rPr>
                      <w:color w:val="auto"/>
                      <w:sz w:val="18"/>
                      <w:szCs w:val="18"/>
                    </w:rPr>
                  </w:pPr>
                  <w:r>
                    <w:rPr>
                      <w:color w:val="auto"/>
                      <w:sz w:val="18"/>
                      <w:szCs w:val="18"/>
                    </w:rPr>
                    <w:t>0.396</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427D9C">
                  <w:pPr>
                    <w:pStyle w:val="49"/>
                    <w:adjustRightInd w:val="0"/>
                    <w:snapToGrid w:val="0"/>
                    <w:spacing w:before="60" w:after="60"/>
                    <w:rPr>
                      <w:color w:val="auto"/>
                      <w:sz w:val="18"/>
                      <w:szCs w:val="18"/>
                    </w:rPr>
                  </w:pPr>
                  <w:r>
                    <w:rPr>
                      <w:color w:val="auto"/>
                      <w:sz w:val="18"/>
                      <w:szCs w:val="18"/>
                    </w:rPr>
                    <w:t>0.07</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8B383B">
                  <w:pPr>
                    <w:pStyle w:val="49"/>
                    <w:adjustRightInd w:val="0"/>
                    <w:snapToGrid w:val="0"/>
                    <w:spacing w:before="60" w:after="60"/>
                    <w:rPr>
                      <w:color w:val="auto"/>
                      <w:sz w:val="18"/>
                      <w:szCs w:val="18"/>
                    </w:rPr>
                  </w:pPr>
                  <w:r>
                    <w:rPr>
                      <w:color w:val="auto"/>
                      <w:sz w:val="18"/>
                      <w:szCs w:val="18"/>
                    </w:rPr>
                    <w:t>0.64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8C6CC8">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7C4F03">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288C1">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09DF19">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59D7F">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68AE1">
                  <w:pPr>
                    <w:adjustRightInd w:val="0"/>
                    <w:snapToGrid w:val="0"/>
                    <w:spacing w:before="60" w:after="60"/>
                    <w:jc w:val="center"/>
                    <w:rPr>
                      <w:color w:val="auto"/>
                      <w:sz w:val="18"/>
                      <w:szCs w:val="18"/>
                    </w:rPr>
                  </w:pPr>
                  <w:r>
                    <w:rPr>
                      <w:color w:val="auto"/>
                      <w:sz w:val="18"/>
                      <w:szCs w:val="18"/>
                    </w:rPr>
                    <w:t>ND</w:t>
                  </w:r>
                </w:p>
              </w:tc>
            </w:tr>
            <w:tr w14:paraId="24DAF8ED">
              <w:tblPrEx>
                <w:tblCellMar>
                  <w:top w:w="0" w:type="dxa"/>
                  <w:left w:w="0" w:type="dxa"/>
                  <w:bottom w:w="0" w:type="dxa"/>
                  <w:right w:w="0" w:type="dxa"/>
                </w:tblCellMar>
              </w:tblPrEx>
              <w:trPr>
                <w:trHeight w:val="288" w:hRule="atLeast"/>
              </w:trPr>
              <w:tc>
                <w:tcPr>
                  <w:tcW w:w="37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EBC31DD">
                  <w:pPr>
                    <w:pStyle w:val="49"/>
                    <w:adjustRightInd w:val="0"/>
                    <w:snapToGrid w:val="0"/>
                    <w:spacing w:before="60" w:after="60"/>
                    <w:rPr>
                      <w:color w:val="auto"/>
                      <w:sz w:val="18"/>
                      <w:szCs w:val="18"/>
                    </w:rPr>
                  </w:pPr>
                </w:p>
              </w:tc>
              <w:tc>
                <w:tcPr>
                  <w:tcW w:w="65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BE5666">
                  <w:pPr>
                    <w:pStyle w:val="49"/>
                    <w:adjustRightInd w:val="0"/>
                    <w:snapToGrid w:val="0"/>
                    <w:spacing w:before="60" w:after="60"/>
                    <w:rPr>
                      <w:color w:val="auto"/>
                      <w:sz w:val="18"/>
                      <w:szCs w:val="18"/>
                    </w:rPr>
                  </w:pPr>
                  <w:r>
                    <w:rPr>
                      <w:color w:val="auto"/>
                      <w:sz w:val="18"/>
                      <w:szCs w:val="18"/>
                    </w:rPr>
                    <w:t>2022.08.12</w:t>
                  </w:r>
                </w:p>
              </w:tc>
              <w:tc>
                <w:tcPr>
                  <w:tcW w:w="2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3DA2F1">
                  <w:pPr>
                    <w:pStyle w:val="49"/>
                    <w:adjustRightInd w:val="0"/>
                    <w:snapToGrid w:val="0"/>
                    <w:spacing w:before="60" w:after="60"/>
                    <w:rPr>
                      <w:color w:val="auto"/>
                      <w:sz w:val="18"/>
                      <w:szCs w:val="18"/>
                    </w:rPr>
                  </w:pPr>
                  <w:r>
                    <w:rPr>
                      <w:color w:val="auto"/>
                      <w:sz w:val="18"/>
                      <w:szCs w:val="18"/>
                    </w:rPr>
                    <w:t>7.04</w:t>
                  </w:r>
                </w:p>
              </w:tc>
              <w:tc>
                <w:tcPr>
                  <w:tcW w:w="30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05268">
                  <w:pPr>
                    <w:pStyle w:val="49"/>
                    <w:adjustRightInd w:val="0"/>
                    <w:snapToGrid w:val="0"/>
                    <w:spacing w:before="60" w:after="60"/>
                    <w:rPr>
                      <w:color w:val="auto"/>
                      <w:sz w:val="18"/>
                      <w:szCs w:val="18"/>
                    </w:rPr>
                  </w:pPr>
                  <w:r>
                    <w:rPr>
                      <w:color w:val="auto"/>
                      <w:sz w:val="18"/>
                      <w:szCs w:val="18"/>
                    </w:rPr>
                    <w:t>9.4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B0B6A">
                  <w:pPr>
                    <w:pStyle w:val="49"/>
                    <w:adjustRightInd w:val="0"/>
                    <w:snapToGrid w:val="0"/>
                    <w:spacing w:before="60" w:after="60"/>
                    <w:rPr>
                      <w:color w:val="auto"/>
                      <w:sz w:val="18"/>
                      <w:szCs w:val="18"/>
                    </w:rPr>
                  </w:pPr>
                  <w:r>
                    <w:rPr>
                      <w:color w:val="auto"/>
                      <w:sz w:val="18"/>
                      <w:szCs w:val="18"/>
                    </w:rPr>
                    <w:t>25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49B9F5">
                  <w:pPr>
                    <w:pStyle w:val="49"/>
                    <w:adjustRightInd w:val="0"/>
                    <w:snapToGrid w:val="0"/>
                    <w:spacing w:before="60" w:after="60"/>
                    <w:rPr>
                      <w:color w:val="auto"/>
                      <w:sz w:val="18"/>
                      <w:szCs w:val="18"/>
                    </w:rPr>
                  </w:pPr>
                  <w:r>
                    <w:rPr>
                      <w:color w:val="auto"/>
                      <w:sz w:val="18"/>
                      <w:szCs w:val="18"/>
                    </w:rPr>
                    <w:t>5.3</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07AB25">
                  <w:pPr>
                    <w:pStyle w:val="49"/>
                    <w:adjustRightInd w:val="0"/>
                    <w:snapToGrid w:val="0"/>
                    <w:spacing w:before="60" w:after="60"/>
                    <w:rPr>
                      <w:color w:val="auto"/>
                      <w:sz w:val="18"/>
                      <w:szCs w:val="18"/>
                    </w:rPr>
                  </w:pPr>
                  <w:r>
                    <w:rPr>
                      <w:color w:val="auto"/>
                      <w:sz w:val="18"/>
                      <w:szCs w:val="18"/>
                    </w:rPr>
                    <w:t>0.355</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D6C39">
                  <w:pPr>
                    <w:pStyle w:val="49"/>
                    <w:adjustRightInd w:val="0"/>
                    <w:snapToGrid w:val="0"/>
                    <w:spacing w:before="60" w:after="60"/>
                    <w:rPr>
                      <w:color w:val="auto"/>
                      <w:sz w:val="18"/>
                      <w:szCs w:val="18"/>
                    </w:rPr>
                  </w:pPr>
                  <w:r>
                    <w:rPr>
                      <w:color w:val="auto"/>
                      <w:sz w:val="18"/>
                      <w:szCs w:val="18"/>
                    </w:rPr>
                    <w:t>0.04</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61CF58">
                  <w:pPr>
                    <w:pStyle w:val="49"/>
                    <w:adjustRightInd w:val="0"/>
                    <w:snapToGrid w:val="0"/>
                    <w:spacing w:before="60" w:after="60"/>
                    <w:rPr>
                      <w:color w:val="auto"/>
                      <w:sz w:val="18"/>
                      <w:szCs w:val="18"/>
                    </w:rPr>
                  </w:pPr>
                  <w:r>
                    <w:rPr>
                      <w:color w:val="auto"/>
                      <w:sz w:val="18"/>
                      <w:szCs w:val="18"/>
                    </w:rPr>
                    <w:t>0.76</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75E0B7">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73F78">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2CAF95">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CC52D">
                  <w:pPr>
                    <w:adjustRightInd w:val="0"/>
                    <w:snapToGrid w:val="0"/>
                    <w:spacing w:before="60" w:after="60"/>
                    <w:jc w:val="center"/>
                    <w:rPr>
                      <w:color w:val="auto"/>
                      <w:sz w:val="18"/>
                      <w:szCs w:val="18"/>
                    </w:rPr>
                  </w:pPr>
                  <w:r>
                    <w:rPr>
                      <w:color w:val="auto"/>
                      <w:sz w:val="18"/>
                      <w:szCs w:val="18"/>
                    </w:rPr>
                    <w:t>ND</w:t>
                  </w:r>
                </w:p>
              </w:tc>
              <w:tc>
                <w:tcPr>
                  <w:tcW w:w="30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10FD9A">
                  <w:pPr>
                    <w:adjustRightInd w:val="0"/>
                    <w:snapToGrid w:val="0"/>
                    <w:spacing w:before="60" w:after="60"/>
                    <w:jc w:val="center"/>
                    <w:rPr>
                      <w:color w:val="auto"/>
                      <w:sz w:val="18"/>
                      <w:szCs w:val="18"/>
                    </w:rPr>
                  </w:pPr>
                  <w:r>
                    <w:rPr>
                      <w:color w:val="auto"/>
                      <w:sz w:val="18"/>
                      <w:szCs w:val="18"/>
                    </w:rPr>
                    <w:t>ND</w:t>
                  </w:r>
                </w:p>
              </w:tc>
              <w:tc>
                <w:tcPr>
                  <w:tcW w:w="33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37A8E3">
                  <w:pPr>
                    <w:adjustRightInd w:val="0"/>
                    <w:snapToGrid w:val="0"/>
                    <w:spacing w:before="60" w:after="60"/>
                    <w:jc w:val="center"/>
                    <w:rPr>
                      <w:color w:val="auto"/>
                      <w:sz w:val="18"/>
                      <w:szCs w:val="18"/>
                    </w:rPr>
                  </w:pPr>
                  <w:r>
                    <w:rPr>
                      <w:color w:val="auto"/>
                      <w:sz w:val="18"/>
                      <w:szCs w:val="18"/>
                    </w:rPr>
                    <w:t>ND</w:t>
                  </w:r>
                </w:p>
              </w:tc>
            </w:tr>
          </w:tbl>
          <w:p w14:paraId="320315C7">
            <w:pPr>
              <w:widowControl/>
              <w:adjustRightInd w:val="0"/>
              <w:snapToGrid w:val="0"/>
              <w:spacing w:beforeLines="50"/>
              <w:jc w:val="center"/>
              <w:rPr>
                <w:b/>
                <w:bCs/>
                <w:color w:val="auto"/>
                <w:szCs w:val="21"/>
              </w:rPr>
            </w:pPr>
            <w:r>
              <w:rPr>
                <w:rFonts w:hint="eastAsia"/>
                <w:b/>
                <w:bCs/>
                <w:color w:val="auto"/>
                <w:szCs w:val="21"/>
              </w:rPr>
              <w:t>表3-</w:t>
            </w:r>
            <w:r>
              <w:rPr>
                <w:rFonts w:hint="eastAsia"/>
                <w:b/>
                <w:bCs/>
                <w:color w:val="auto"/>
                <w:szCs w:val="21"/>
                <w:lang w:val="en-US" w:eastAsia="zh-CN"/>
              </w:rPr>
              <w:t>4</w:t>
            </w:r>
            <w:r>
              <w:rPr>
                <w:rFonts w:hint="eastAsia"/>
                <w:b/>
                <w:bCs/>
                <w:color w:val="auto"/>
                <w:szCs w:val="21"/>
              </w:rPr>
              <w:t xml:space="preserve">  地表水环境水质评价结果汇总表</w:t>
            </w:r>
          </w:p>
          <w:tbl>
            <w:tblPr>
              <w:tblStyle w:val="29"/>
              <w:tblW w:w="7523" w:type="dxa"/>
              <w:tblInd w:w="0" w:type="dxa"/>
              <w:tblLayout w:type="autofit"/>
              <w:tblCellMar>
                <w:top w:w="0" w:type="dxa"/>
                <w:left w:w="0" w:type="dxa"/>
                <w:bottom w:w="0" w:type="dxa"/>
                <w:right w:w="0" w:type="dxa"/>
              </w:tblCellMar>
            </w:tblPr>
            <w:tblGrid>
              <w:gridCol w:w="699"/>
              <w:gridCol w:w="783"/>
              <w:gridCol w:w="532"/>
              <w:gridCol w:w="532"/>
              <w:gridCol w:w="532"/>
              <w:gridCol w:w="532"/>
              <w:gridCol w:w="532"/>
              <w:gridCol w:w="532"/>
              <w:gridCol w:w="532"/>
              <w:gridCol w:w="532"/>
              <w:gridCol w:w="532"/>
              <w:gridCol w:w="532"/>
              <w:gridCol w:w="532"/>
              <w:gridCol w:w="532"/>
              <w:gridCol w:w="533"/>
            </w:tblGrid>
            <w:tr w14:paraId="0797C1A2">
              <w:tblPrEx>
                <w:tblCellMar>
                  <w:top w:w="0" w:type="dxa"/>
                  <w:left w:w="0" w:type="dxa"/>
                  <w:bottom w:w="0" w:type="dxa"/>
                  <w:right w:w="0" w:type="dxa"/>
                </w:tblCellMar>
              </w:tblPrEx>
              <w:trPr>
                <w:trHeight w:val="283" w:hRule="atLeast"/>
              </w:trPr>
              <w:tc>
                <w:tcPr>
                  <w:tcW w:w="44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BDE68">
                  <w:pPr>
                    <w:adjustRightInd w:val="0"/>
                    <w:snapToGrid w:val="0"/>
                    <w:spacing w:before="60" w:after="60"/>
                    <w:jc w:val="center"/>
                    <w:rPr>
                      <w:color w:val="auto"/>
                      <w:sz w:val="18"/>
                      <w:szCs w:val="18"/>
                    </w:rPr>
                  </w:pPr>
                  <w:r>
                    <w:rPr>
                      <w:color w:val="auto"/>
                      <w:sz w:val="18"/>
                      <w:szCs w:val="18"/>
                    </w:rPr>
                    <w:t>检测点位</w:t>
                  </w:r>
                </w:p>
              </w:tc>
              <w:tc>
                <w:tcPr>
                  <w:tcW w:w="558"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D43555">
                  <w:pPr>
                    <w:adjustRightInd w:val="0"/>
                    <w:snapToGrid w:val="0"/>
                    <w:spacing w:before="60" w:after="60"/>
                    <w:jc w:val="center"/>
                    <w:rPr>
                      <w:color w:val="auto"/>
                      <w:sz w:val="18"/>
                      <w:szCs w:val="18"/>
                    </w:rPr>
                  </w:pPr>
                  <w:r>
                    <w:rPr>
                      <w:color w:val="auto"/>
                      <w:sz w:val="18"/>
                      <w:szCs w:val="18"/>
                    </w:rPr>
                    <w:t>检测日期</w:t>
                  </w:r>
                </w:p>
              </w:tc>
              <w:tc>
                <w:tcPr>
                  <w:tcW w:w="3997" w:type="pct"/>
                  <w:gridSpan w:val="1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157E0B">
                  <w:pPr>
                    <w:adjustRightInd w:val="0"/>
                    <w:snapToGrid w:val="0"/>
                    <w:spacing w:before="60" w:after="60"/>
                    <w:jc w:val="center"/>
                    <w:rPr>
                      <w:color w:val="auto"/>
                      <w:sz w:val="18"/>
                      <w:szCs w:val="18"/>
                    </w:rPr>
                  </w:pPr>
                  <w:r>
                    <w:rPr>
                      <w:color w:val="auto"/>
                      <w:sz w:val="18"/>
                      <w:szCs w:val="18"/>
                    </w:rPr>
                    <w:t>单因子指数分析结果</w:t>
                  </w:r>
                </w:p>
              </w:tc>
            </w:tr>
            <w:tr w14:paraId="78049E00">
              <w:tblPrEx>
                <w:tblCellMar>
                  <w:top w:w="0" w:type="dxa"/>
                  <w:left w:w="0" w:type="dxa"/>
                  <w:bottom w:w="0" w:type="dxa"/>
                  <w:right w:w="0" w:type="dxa"/>
                </w:tblCellMar>
              </w:tblPrEx>
              <w:trPr>
                <w:trHeight w:val="283" w:hRule="atLeast"/>
              </w:trPr>
              <w:tc>
                <w:tcPr>
                  <w:tcW w:w="4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428FD7">
                  <w:pPr>
                    <w:adjustRightInd w:val="0"/>
                    <w:snapToGrid w:val="0"/>
                    <w:spacing w:before="60" w:after="60"/>
                    <w:jc w:val="center"/>
                    <w:rPr>
                      <w:color w:val="auto"/>
                      <w:sz w:val="18"/>
                      <w:szCs w:val="18"/>
                    </w:rPr>
                  </w:pPr>
                </w:p>
              </w:tc>
              <w:tc>
                <w:tcPr>
                  <w:tcW w:w="55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776C2D">
                  <w:pPr>
                    <w:adjustRightInd w:val="0"/>
                    <w:snapToGrid w:val="0"/>
                    <w:spacing w:before="60" w:after="60"/>
                    <w:jc w:val="center"/>
                    <w:rPr>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EDE14">
                  <w:pPr>
                    <w:pStyle w:val="49"/>
                    <w:adjustRightInd w:val="0"/>
                    <w:snapToGrid w:val="0"/>
                    <w:spacing w:before="60" w:after="60"/>
                    <w:rPr>
                      <w:color w:val="auto"/>
                      <w:sz w:val="18"/>
                      <w:szCs w:val="18"/>
                    </w:rPr>
                  </w:pPr>
                  <w:r>
                    <w:rPr>
                      <w:color w:val="auto"/>
                      <w:sz w:val="18"/>
                      <w:szCs w:val="18"/>
                    </w:rPr>
                    <w:t>pH值</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239C8">
                  <w:pPr>
                    <w:pStyle w:val="49"/>
                    <w:adjustRightInd w:val="0"/>
                    <w:snapToGrid w:val="0"/>
                    <w:spacing w:before="60" w:after="60"/>
                    <w:rPr>
                      <w:color w:val="auto"/>
                      <w:sz w:val="18"/>
                      <w:szCs w:val="18"/>
                    </w:rPr>
                  </w:pPr>
                  <w:r>
                    <w:rPr>
                      <w:color w:val="auto"/>
                      <w:sz w:val="18"/>
                      <w:szCs w:val="18"/>
                    </w:rPr>
                    <w:t>DO</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F5CB0A">
                  <w:pPr>
                    <w:pStyle w:val="49"/>
                    <w:adjustRightInd w:val="0"/>
                    <w:snapToGrid w:val="0"/>
                    <w:spacing w:before="60" w:after="60"/>
                    <w:rPr>
                      <w:color w:val="auto"/>
                      <w:sz w:val="18"/>
                      <w:szCs w:val="18"/>
                    </w:rPr>
                  </w:pPr>
                  <w:r>
                    <w:rPr>
                      <w:color w:val="auto"/>
                      <w:sz w:val="18"/>
                      <w:szCs w:val="18"/>
                    </w:rPr>
                    <w:t>COD</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5EEC2">
                  <w:pPr>
                    <w:pStyle w:val="49"/>
                    <w:adjustRightInd w:val="0"/>
                    <w:snapToGrid w:val="0"/>
                    <w:spacing w:before="60" w:after="60"/>
                    <w:rPr>
                      <w:color w:val="auto"/>
                      <w:sz w:val="18"/>
                      <w:szCs w:val="18"/>
                    </w:rPr>
                  </w:pPr>
                  <w:r>
                    <w:rPr>
                      <w:color w:val="auto"/>
                      <w:sz w:val="18"/>
                      <w:szCs w:val="18"/>
                    </w:rPr>
                    <w:t>BOD</w:t>
                  </w:r>
                  <w:r>
                    <w:rPr>
                      <w:color w:val="auto"/>
                      <w:sz w:val="18"/>
                      <w:szCs w:val="18"/>
                      <w:vertAlign w:val="subscript"/>
                    </w:rPr>
                    <w:t>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251A93">
                  <w:pPr>
                    <w:pStyle w:val="49"/>
                    <w:adjustRightInd w:val="0"/>
                    <w:snapToGrid w:val="0"/>
                    <w:spacing w:before="60" w:after="60"/>
                    <w:rPr>
                      <w:color w:val="auto"/>
                      <w:sz w:val="18"/>
                      <w:szCs w:val="18"/>
                    </w:rPr>
                  </w:pPr>
                  <w:r>
                    <w:rPr>
                      <w:color w:val="auto"/>
                      <w:sz w:val="18"/>
                      <w:szCs w:val="18"/>
                    </w:rPr>
                    <w:t>氨氮</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DDEA0B">
                  <w:pPr>
                    <w:pStyle w:val="49"/>
                    <w:adjustRightInd w:val="0"/>
                    <w:snapToGrid w:val="0"/>
                    <w:spacing w:before="60" w:after="60"/>
                    <w:rPr>
                      <w:color w:val="auto"/>
                      <w:sz w:val="18"/>
                      <w:szCs w:val="18"/>
                    </w:rPr>
                  </w:pPr>
                  <w:r>
                    <w:rPr>
                      <w:color w:val="auto"/>
                      <w:sz w:val="18"/>
                      <w:szCs w:val="18"/>
                    </w:rPr>
                    <w:t>总磷</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4393E2">
                  <w:pPr>
                    <w:pStyle w:val="49"/>
                    <w:adjustRightInd w:val="0"/>
                    <w:snapToGrid w:val="0"/>
                    <w:spacing w:before="60" w:after="60"/>
                    <w:rPr>
                      <w:color w:val="auto"/>
                      <w:sz w:val="18"/>
                      <w:szCs w:val="18"/>
                    </w:rPr>
                  </w:pPr>
                  <w:r>
                    <w:rPr>
                      <w:color w:val="auto"/>
                      <w:sz w:val="18"/>
                      <w:szCs w:val="18"/>
                    </w:rPr>
                    <w:t>总氮</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AF0D7">
                  <w:pPr>
                    <w:pStyle w:val="49"/>
                    <w:adjustRightInd w:val="0"/>
                    <w:snapToGrid w:val="0"/>
                    <w:spacing w:before="60" w:after="60"/>
                    <w:rPr>
                      <w:color w:val="auto"/>
                      <w:sz w:val="18"/>
                      <w:szCs w:val="18"/>
                    </w:rPr>
                  </w:pPr>
                  <w:r>
                    <w:rPr>
                      <w:color w:val="auto"/>
                      <w:sz w:val="18"/>
                      <w:szCs w:val="18"/>
                    </w:rPr>
                    <w:t>硫化物</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308883">
                  <w:pPr>
                    <w:pStyle w:val="49"/>
                    <w:adjustRightInd w:val="0"/>
                    <w:snapToGrid w:val="0"/>
                    <w:spacing w:before="60" w:after="60"/>
                    <w:rPr>
                      <w:color w:val="auto"/>
                      <w:sz w:val="18"/>
                      <w:szCs w:val="18"/>
                    </w:rPr>
                  </w:pPr>
                  <w:r>
                    <w:rPr>
                      <w:color w:val="auto"/>
                      <w:sz w:val="18"/>
                      <w:szCs w:val="18"/>
                    </w:rPr>
                    <w:t>挥发酚</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ACE44C">
                  <w:pPr>
                    <w:pStyle w:val="49"/>
                    <w:adjustRightInd w:val="0"/>
                    <w:snapToGrid w:val="0"/>
                    <w:spacing w:before="60" w:after="60"/>
                    <w:rPr>
                      <w:color w:val="auto"/>
                      <w:sz w:val="18"/>
                      <w:szCs w:val="18"/>
                    </w:rPr>
                  </w:pPr>
                  <w:r>
                    <w:rPr>
                      <w:color w:val="auto"/>
                      <w:sz w:val="18"/>
                      <w:szCs w:val="18"/>
                    </w:rPr>
                    <w:t>石油类</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2000CE">
                  <w:pPr>
                    <w:pStyle w:val="49"/>
                    <w:adjustRightInd w:val="0"/>
                    <w:snapToGrid w:val="0"/>
                    <w:spacing w:before="60" w:after="60"/>
                    <w:rPr>
                      <w:color w:val="auto"/>
                      <w:sz w:val="18"/>
                      <w:szCs w:val="18"/>
                    </w:rPr>
                  </w:pPr>
                  <w:r>
                    <w:rPr>
                      <w:color w:val="auto"/>
                      <w:sz w:val="18"/>
                      <w:szCs w:val="18"/>
                    </w:rPr>
                    <w:t>六价铬</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C94B31">
                  <w:pPr>
                    <w:pStyle w:val="49"/>
                    <w:adjustRightInd w:val="0"/>
                    <w:snapToGrid w:val="0"/>
                    <w:spacing w:before="60" w:after="60"/>
                    <w:rPr>
                      <w:color w:val="auto"/>
                      <w:sz w:val="18"/>
                      <w:szCs w:val="18"/>
                    </w:rPr>
                  </w:pPr>
                  <w:r>
                    <w:rPr>
                      <w:color w:val="auto"/>
                      <w:sz w:val="18"/>
                      <w:szCs w:val="18"/>
                    </w:rPr>
                    <w:t>铅</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CF3EF9">
                  <w:pPr>
                    <w:pStyle w:val="49"/>
                    <w:adjustRightInd w:val="0"/>
                    <w:snapToGrid w:val="0"/>
                    <w:spacing w:before="60" w:after="60"/>
                    <w:rPr>
                      <w:color w:val="auto"/>
                      <w:sz w:val="18"/>
                      <w:szCs w:val="18"/>
                    </w:rPr>
                  </w:pPr>
                  <w:r>
                    <w:rPr>
                      <w:color w:val="auto"/>
                      <w:sz w:val="18"/>
                      <w:szCs w:val="18"/>
                    </w:rPr>
                    <w:t>镉</w:t>
                  </w:r>
                </w:p>
              </w:tc>
            </w:tr>
            <w:tr w14:paraId="306EEE1A">
              <w:tblPrEx>
                <w:tblCellMar>
                  <w:top w:w="0" w:type="dxa"/>
                  <w:left w:w="0" w:type="dxa"/>
                  <w:bottom w:w="0" w:type="dxa"/>
                  <w:right w:w="0" w:type="dxa"/>
                </w:tblCellMar>
              </w:tblPrEx>
              <w:trPr>
                <w:trHeight w:val="283" w:hRule="atLeast"/>
              </w:trPr>
              <w:tc>
                <w:tcPr>
                  <w:tcW w:w="4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34CA66">
                  <w:pPr>
                    <w:adjustRightInd w:val="0"/>
                    <w:snapToGrid w:val="0"/>
                    <w:spacing w:before="60" w:after="60"/>
                    <w:jc w:val="center"/>
                    <w:rPr>
                      <w:color w:val="auto"/>
                      <w:sz w:val="18"/>
                      <w:szCs w:val="18"/>
                    </w:rPr>
                  </w:pPr>
                </w:p>
              </w:tc>
              <w:tc>
                <w:tcPr>
                  <w:tcW w:w="558"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48149B">
                  <w:pPr>
                    <w:adjustRightInd w:val="0"/>
                    <w:snapToGrid w:val="0"/>
                    <w:spacing w:before="60" w:after="60"/>
                    <w:jc w:val="center"/>
                    <w:rPr>
                      <w:color w:val="auto"/>
                      <w:sz w:val="18"/>
                      <w:szCs w:val="18"/>
                    </w:rPr>
                  </w:pP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A721F3">
                  <w:pPr>
                    <w:pStyle w:val="49"/>
                    <w:adjustRightInd w:val="0"/>
                    <w:snapToGrid w:val="0"/>
                    <w:spacing w:before="60" w:after="60"/>
                    <w:rPr>
                      <w:color w:val="auto"/>
                      <w:sz w:val="18"/>
                      <w:szCs w:val="18"/>
                    </w:rPr>
                  </w:pPr>
                  <w:r>
                    <w:rPr>
                      <w:color w:val="auto"/>
                      <w:sz w:val="18"/>
                      <w:szCs w:val="18"/>
                    </w:rPr>
                    <w:t>无量纲</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49D3B7">
                  <w:pPr>
                    <w:adjustRightInd w:val="0"/>
                    <w:snapToGrid w:val="0"/>
                    <w:spacing w:before="60" w:after="60"/>
                    <w:jc w:val="center"/>
                    <w:rPr>
                      <w:color w:val="auto"/>
                      <w:sz w:val="18"/>
                      <w:szCs w:val="18"/>
                    </w:rPr>
                  </w:pPr>
                  <w:r>
                    <w:rPr>
                      <w:color w:val="auto"/>
                      <w:sz w:val="18"/>
                      <w:szCs w:val="18"/>
                    </w:rPr>
                    <w:t>无量纲</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075F24">
                  <w:pPr>
                    <w:adjustRightInd w:val="0"/>
                    <w:snapToGrid w:val="0"/>
                    <w:spacing w:before="60" w:after="60"/>
                    <w:jc w:val="center"/>
                    <w:rPr>
                      <w:color w:val="auto"/>
                      <w:sz w:val="18"/>
                      <w:szCs w:val="18"/>
                    </w:rPr>
                  </w:pPr>
                  <w:r>
                    <w:rPr>
                      <w:color w:val="auto"/>
                      <w:sz w:val="18"/>
                      <w:szCs w:val="18"/>
                    </w:rPr>
                    <w:t>无量纲</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42D993">
                  <w:pPr>
                    <w:adjustRightInd w:val="0"/>
                    <w:snapToGrid w:val="0"/>
                    <w:spacing w:before="60" w:after="60"/>
                    <w:jc w:val="center"/>
                    <w:rPr>
                      <w:color w:val="auto"/>
                      <w:sz w:val="18"/>
                      <w:szCs w:val="18"/>
                    </w:rPr>
                  </w:pPr>
                  <w:r>
                    <w:rPr>
                      <w:color w:val="auto"/>
                      <w:sz w:val="18"/>
                      <w:szCs w:val="18"/>
                    </w:rPr>
                    <w:t>无量纲</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9AD59">
                  <w:pPr>
                    <w:adjustRightInd w:val="0"/>
                    <w:snapToGrid w:val="0"/>
                    <w:spacing w:before="60" w:after="60"/>
                    <w:jc w:val="center"/>
                    <w:rPr>
                      <w:color w:val="auto"/>
                      <w:sz w:val="18"/>
                      <w:szCs w:val="18"/>
                    </w:rPr>
                  </w:pPr>
                  <w:r>
                    <w:rPr>
                      <w:color w:val="auto"/>
                      <w:sz w:val="18"/>
                      <w:szCs w:val="18"/>
                    </w:rPr>
                    <w:t>无量纲</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F92014">
                  <w:pPr>
                    <w:adjustRightInd w:val="0"/>
                    <w:snapToGrid w:val="0"/>
                    <w:spacing w:before="60" w:after="60"/>
                    <w:jc w:val="center"/>
                    <w:rPr>
                      <w:color w:val="auto"/>
                      <w:sz w:val="18"/>
                      <w:szCs w:val="18"/>
                    </w:rPr>
                  </w:pPr>
                  <w:r>
                    <w:rPr>
                      <w:color w:val="auto"/>
                      <w:sz w:val="18"/>
                      <w:szCs w:val="18"/>
                    </w:rPr>
                    <w:t>无量纲</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CDE6BA">
                  <w:pPr>
                    <w:adjustRightInd w:val="0"/>
                    <w:snapToGrid w:val="0"/>
                    <w:spacing w:before="60" w:after="60"/>
                    <w:jc w:val="center"/>
                    <w:rPr>
                      <w:color w:val="auto"/>
                      <w:sz w:val="18"/>
                      <w:szCs w:val="18"/>
                    </w:rPr>
                  </w:pPr>
                  <w:r>
                    <w:rPr>
                      <w:color w:val="auto"/>
                      <w:sz w:val="18"/>
                      <w:szCs w:val="18"/>
                    </w:rPr>
                    <w:t>无量纲</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B62DDD">
                  <w:pPr>
                    <w:adjustRightInd w:val="0"/>
                    <w:snapToGrid w:val="0"/>
                    <w:spacing w:before="60" w:after="60"/>
                    <w:jc w:val="center"/>
                    <w:rPr>
                      <w:color w:val="auto"/>
                      <w:sz w:val="18"/>
                      <w:szCs w:val="18"/>
                    </w:rPr>
                  </w:pPr>
                  <w:r>
                    <w:rPr>
                      <w:color w:val="auto"/>
                      <w:sz w:val="18"/>
                      <w:szCs w:val="18"/>
                    </w:rPr>
                    <w:t>无量纲</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D757D">
                  <w:pPr>
                    <w:adjustRightInd w:val="0"/>
                    <w:snapToGrid w:val="0"/>
                    <w:spacing w:before="60" w:after="60"/>
                    <w:jc w:val="center"/>
                    <w:rPr>
                      <w:color w:val="auto"/>
                      <w:sz w:val="18"/>
                      <w:szCs w:val="18"/>
                    </w:rPr>
                  </w:pPr>
                  <w:r>
                    <w:rPr>
                      <w:color w:val="auto"/>
                      <w:sz w:val="18"/>
                      <w:szCs w:val="18"/>
                    </w:rPr>
                    <w:t>无量纲</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BD5C7">
                  <w:pPr>
                    <w:adjustRightInd w:val="0"/>
                    <w:snapToGrid w:val="0"/>
                    <w:spacing w:before="60" w:after="60"/>
                    <w:jc w:val="center"/>
                    <w:rPr>
                      <w:color w:val="auto"/>
                      <w:sz w:val="18"/>
                      <w:szCs w:val="18"/>
                    </w:rPr>
                  </w:pPr>
                  <w:r>
                    <w:rPr>
                      <w:color w:val="auto"/>
                      <w:sz w:val="18"/>
                      <w:szCs w:val="18"/>
                    </w:rPr>
                    <w:t>无量纲</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EE0A3B">
                  <w:pPr>
                    <w:adjustRightInd w:val="0"/>
                    <w:snapToGrid w:val="0"/>
                    <w:spacing w:before="60" w:after="60"/>
                    <w:jc w:val="center"/>
                    <w:rPr>
                      <w:color w:val="auto"/>
                      <w:sz w:val="18"/>
                      <w:szCs w:val="18"/>
                    </w:rPr>
                  </w:pPr>
                  <w:r>
                    <w:rPr>
                      <w:color w:val="auto"/>
                      <w:sz w:val="18"/>
                      <w:szCs w:val="18"/>
                    </w:rPr>
                    <w:t>无量纲</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4F7D78">
                  <w:pPr>
                    <w:adjustRightInd w:val="0"/>
                    <w:snapToGrid w:val="0"/>
                    <w:spacing w:before="60" w:after="60"/>
                    <w:jc w:val="center"/>
                    <w:rPr>
                      <w:color w:val="auto"/>
                      <w:sz w:val="18"/>
                      <w:szCs w:val="18"/>
                    </w:rPr>
                  </w:pPr>
                  <w:r>
                    <w:rPr>
                      <w:color w:val="auto"/>
                      <w:sz w:val="18"/>
                      <w:szCs w:val="18"/>
                    </w:rPr>
                    <w:t>无量纲</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A970E4">
                  <w:pPr>
                    <w:adjustRightInd w:val="0"/>
                    <w:snapToGrid w:val="0"/>
                    <w:spacing w:before="60" w:after="60"/>
                    <w:jc w:val="center"/>
                    <w:rPr>
                      <w:color w:val="auto"/>
                      <w:sz w:val="18"/>
                      <w:szCs w:val="18"/>
                    </w:rPr>
                  </w:pPr>
                  <w:r>
                    <w:rPr>
                      <w:color w:val="auto"/>
                      <w:sz w:val="18"/>
                      <w:szCs w:val="18"/>
                    </w:rPr>
                    <w:t>无量纲</w:t>
                  </w:r>
                </w:p>
              </w:tc>
            </w:tr>
            <w:tr w14:paraId="56C87843">
              <w:tblPrEx>
                <w:tblCellMar>
                  <w:top w:w="0" w:type="dxa"/>
                  <w:left w:w="0" w:type="dxa"/>
                  <w:bottom w:w="0" w:type="dxa"/>
                  <w:right w:w="0" w:type="dxa"/>
                </w:tblCellMar>
              </w:tblPrEx>
              <w:trPr>
                <w:trHeight w:val="274" w:hRule="atLeast"/>
              </w:trPr>
              <w:tc>
                <w:tcPr>
                  <w:tcW w:w="44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A59AC">
                  <w:pPr>
                    <w:pStyle w:val="49"/>
                    <w:adjustRightInd w:val="0"/>
                    <w:snapToGrid w:val="0"/>
                    <w:spacing w:before="60" w:after="60"/>
                    <w:rPr>
                      <w:color w:val="auto"/>
                      <w:sz w:val="18"/>
                      <w:szCs w:val="18"/>
                    </w:rPr>
                  </w:pPr>
                  <w:r>
                    <w:rPr>
                      <w:color w:val="auto"/>
                      <w:sz w:val="18"/>
                      <w:szCs w:val="18"/>
                    </w:rPr>
                    <w:t>W1</w:t>
                  </w: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386676">
                  <w:pPr>
                    <w:pStyle w:val="49"/>
                    <w:adjustRightInd w:val="0"/>
                    <w:snapToGrid w:val="0"/>
                    <w:spacing w:before="60" w:after="60"/>
                    <w:rPr>
                      <w:color w:val="auto"/>
                      <w:sz w:val="18"/>
                      <w:szCs w:val="18"/>
                    </w:rPr>
                  </w:pPr>
                  <w:r>
                    <w:rPr>
                      <w:color w:val="auto"/>
                      <w:sz w:val="18"/>
                      <w:szCs w:val="18"/>
                    </w:rPr>
                    <w:t>2022.08.10</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90790">
                  <w:pPr>
                    <w:pStyle w:val="49"/>
                    <w:adjustRightInd w:val="0"/>
                    <w:snapToGrid w:val="0"/>
                    <w:spacing w:before="60" w:after="60"/>
                    <w:rPr>
                      <w:color w:val="auto"/>
                      <w:sz w:val="18"/>
                      <w:szCs w:val="18"/>
                    </w:rPr>
                  </w:pPr>
                  <w:r>
                    <w:rPr>
                      <w:color w:val="auto"/>
                      <w:sz w:val="18"/>
                      <w:szCs w:val="18"/>
                    </w:rPr>
                    <w:t>0.015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1A1C3B">
                  <w:pPr>
                    <w:pStyle w:val="49"/>
                    <w:adjustRightInd w:val="0"/>
                    <w:snapToGrid w:val="0"/>
                    <w:spacing w:before="60" w:after="60"/>
                    <w:rPr>
                      <w:color w:val="auto"/>
                      <w:sz w:val="18"/>
                      <w:szCs w:val="18"/>
                    </w:rPr>
                  </w:pPr>
                  <w:r>
                    <w:rPr>
                      <w:color w:val="auto"/>
                      <w:sz w:val="18"/>
                      <w:szCs w:val="18"/>
                    </w:rPr>
                    <w:t>2.63</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951AD7">
                  <w:pPr>
                    <w:pStyle w:val="49"/>
                    <w:adjustRightInd w:val="0"/>
                    <w:snapToGrid w:val="0"/>
                    <w:spacing w:before="60" w:after="60"/>
                    <w:rPr>
                      <w:color w:val="auto"/>
                      <w:sz w:val="18"/>
                      <w:szCs w:val="18"/>
                    </w:rPr>
                  </w:pPr>
                  <w:r>
                    <w:rPr>
                      <w:color w:val="auto"/>
                      <w:sz w:val="18"/>
                      <w:szCs w:val="18"/>
                    </w:rPr>
                    <w:t>0.667</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49A3B">
                  <w:pPr>
                    <w:pStyle w:val="49"/>
                    <w:adjustRightInd w:val="0"/>
                    <w:snapToGrid w:val="0"/>
                    <w:spacing w:before="60" w:after="60"/>
                    <w:rPr>
                      <w:color w:val="auto"/>
                      <w:sz w:val="18"/>
                      <w:szCs w:val="18"/>
                    </w:rPr>
                  </w:pPr>
                  <w:r>
                    <w:rPr>
                      <w:color w:val="auto"/>
                      <w:sz w:val="18"/>
                      <w:szCs w:val="18"/>
                    </w:rPr>
                    <w:t>0.917</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252CA4">
                  <w:pPr>
                    <w:pStyle w:val="49"/>
                    <w:adjustRightInd w:val="0"/>
                    <w:snapToGrid w:val="0"/>
                    <w:spacing w:before="60" w:after="60"/>
                    <w:rPr>
                      <w:color w:val="auto"/>
                      <w:sz w:val="18"/>
                      <w:szCs w:val="18"/>
                    </w:rPr>
                  </w:pPr>
                  <w:r>
                    <w:rPr>
                      <w:color w:val="auto"/>
                      <w:sz w:val="18"/>
                      <w:szCs w:val="18"/>
                    </w:rPr>
                    <w:t>0.259</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0A4A9B">
                  <w:pPr>
                    <w:pStyle w:val="49"/>
                    <w:adjustRightInd w:val="0"/>
                    <w:snapToGrid w:val="0"/>
                    <w:spacing w:before="60" w:after="60"/>
                    <w:rPr>
                      <w:color w:val="auto"/>
                      <w:sz w:val="18"/>
                      <w:szCs w:val="18"/>
                    </w:rPr>
                  </w:pPr>
                  <w:r>
                    <w:rPr>
                      <w:color w:val="auto"/>
                      <w:sz w:val="18"/>
                      <w:szCs w:val="18"/>
                    </w:rPr>
                    <w:t>0.167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441360">
                  <w:pPr>
                    <w:pStyle w:val="49"/>
                    <w:adjustRightInd w:val="0"/>
                    <w:snapToGrid w:val="0"/>
                    <w:spacing w:before="60" w:after="60"/>
                    <w:rPr>
                      <w:color w:val="auto"/>
                      <w:sz w:val="18"/>
                      <w:szCs w:val="18"/>
                    </w:rPr>
                  </w:pPr>
                  <w:r>
                    <w:rPr>
                      <w:color w:val="auto"/>
                      <w:sz w:val="18"/>
                      <w:szCs w:val="18"/>
                    </w:rPr>
                    <w:t>0.467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1F8380">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108EFA">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EF91F7">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4907A1">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0A5B8">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899A8D">
                  <w:pPr>
                    <w:adjustRightInd w:val="0"/>
                    <w:snapToGrid w:val="0"/>
                    <w:spacing w:before="60" w:after="60"/>
                    <w:jc w:val="center"/>
                    <w:rPr>
                      <w:color w:val="auto"/>
                      <w:sz w:val="18"/>
                      <w:szCs w:val="18"/>
                    </w:rPr>
                  </w:pPr>
                  <w:r>
                    <w:rPr>
                      <w:color w:val="auto"/>
                      <w:sz w:val="18"/>
                      <w:szCs w:val="18"/>
                    </w:rPr>
                    <w:t>0</w:t>
                  </w:r>
                </w:p>
              </w:tc>
            </w:tr>
            <w:tr w14:paraId="374ECF63">
              <w:tblPrEx>
                <w:tblCellMar>
                  <w:top w:w="0" w:type="dxa"/>
                  <w:left w:w="0" w:type="dxa"/>
                  <w:bottom w:w="0" w:type="dxa"/>
                  <w:right w:w="0" w:type="dxa"/>
                </w:tblCellMar>
              </w:tblPrEx>
              <w:trPr>
                <w:trHeight w:val="283" w:hRule="atLeast"/>
              </w:trPr>
              <w:tc>
                <w:tcPr>
                  <w:tcW w:w="443" w:type="pct"/>
                  <w:vMerge w:val="continue"/>
                  <w:tcBorders>
                    <w:left w:val="single" w:color="000000" w:sz="4" w:space="0"/>
                    <w:right w:val="single" w:color="000000" w:sz="4" w:space="0"/>
                  </w:tcBorders>
                  <w:noWrap/>
                  <w:tcMar>
                    <w:top w:w="15" w:type="dxa"/>
                    <w:left w:w="15" w:type="dxa"/>
                    <w:right w:w="15" w:type="dxa"/>
                  </w:tcMar>
                  <w:vAlign w:val="center"/>
                </w:tcPr>
                <w:p w14:paraId="56DD959A">
                  <w:pPr>
                    <w:pStyle w:val="49"/>
                    <w:adjustRightInd w:val="0"/>
                    <w:snapToGrid w:val="0"/>
                    <w:spacing w:before="60" w:after="60"/>
                    <w:rPr>
                      <w:color w:val="auto"/>
                      <w:sz w:val="18"/>
                      <w:szCs w:val="18"/>
                    </w:rPr>
                  </w:pP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850FB0">
                  <w:pPr>
                    <w:pStyle w:val="49"/>
                    <w:adjustRightInd w:val="0"/>
                    <w:snapToGrid w:val="0"/>
                    <w:spacing w:before="60" w:after="60"/>
                    <w:rPr>
                      <w:color w:val="auto"/>
                      <w:sz w:val="18"/>
                      <w:szCs w:val="18"/>
                    </w:rPr>
                  </w:pPr>
                  <w:r>
                    <w:rPr>
                      <w:color w:val="auto"/>
                      <w:sz w:val="18"/>
                      <w:szCs w:val="18"/>
                    </w:rPr>
                    <w:t>2022.08.11</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358EA4">
                  <w:pPr>
                    <w:pStyle w:val="49"/>
                    <w:adjustRightInd w:val="0"/>
                    <w:snapToGrid w:val="0"/>
                    <w:spacing w:before="60" w:after="60"/>
                    <w:rPr>
                      <w:color w:val="auto"/>
                      <w:sz w:val="18"/>
                      <w:szCs w:val="18"/>
                    </w:rPr>
                  </w:pPr>
                  <w:r>
                    <w:rPr>
                      <w:color w:val="auto"/>
                      <w:sz w:val="18"/>
                      <w:szCs w:val="18"/>
                    </w:rPr>
                    <w:t>0.01</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2A8DDB">
                  <w:pPr>
                    <w:pStyle w:val="49"/>
                    <w:adjustRightInd w:val="0"/>
                    <w:snapToGrid w:val="0"/>
                    <w:spacing w:before="60" w:after="60"/>
                    <w:rPr>
                      <w:color w:val="auto"/>
                      <w:sz w:val="18"/>
                      <w:szCs w:val="18"/>
                    </w:rPr>
                  </w:pPr>
                  <w:r>
                    <w:rPr>
                      <w:color w:val="auto"/>
                      <w:sz w:val="18"/>
                      <w:szCs w:val="18"/>
                    </w:rPr>
                    <w:t>2.9</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BC575">
                  <w:pPr>
                    <w:pStyle w:val="49"/>
                    <w:adjustRightInd w:val="0"/>
                    <w:snapToGrid w:val="0"/>
                    <w:spacing w:before="60" w:after="60"/>
                    <w:rPr>
                      <w:color w:val="auto"/>
                      <w:sz w:val="18"/>
                      <w:szCs w:val="18"/>
                    </w:rPr>
                  </w:pPr>
                  <w:r>
                    <w:rPr>
                      <w:color w:val="auto"/>
                      <w:sz w:val="18"/>
                      <w:szCs w:val="18"/>
                    </w:rPr>
                    <w:t>0.6</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0E31A2">
                  <w:pPr>
                    <w:pStyle w:val="49"/>
                    <w:adjustRightInd w:val="0"/>
                    <w:snapToGrid w:val="0"/>
                    <w:spacing w:before="60" w:after="60"/>
                    <w:rPr>
                      <w:color w:val="auto"/>
                      <w:sz w:val="18"/>
                      <w:szCs w:val="18"/>
                    </w:rPr>
                  </w:pPr>
                  <w:r>
                    <w:rPr>
                      <w:color w:val="auto"/>
                      <w:sz w:val="18"/>
                      <w:szCs w:val="18"/>
                    </w:rPr>
                    <w:t>0.983</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D9216">
                  <w:pPr>
                    <w:pStyle w:val="49"/>
                    <w:adjustRightInd w:val="0"/>
                    <w:snapToGrid w:val="0"/>
                    <w:spacing w:before="60" w:after="60"/>
                    <w:rPr>
                      <w:color w:val="auto"/>
                      <w:sz w:val="18"/>
                      <w:szCs w:val="18"/>
                    </w:rPr>
                  </w:pPr>
                  <w:r>
                    <w:rPr>
                      <w:color w:val="auto"/>
                      <w:sz w:val="18"/>
                      <w:szCs w:val="18"/>
                    </w:rPr>
                    <w:t>0.252</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1DDECF">
                  <w:pPr>
                    <w:pStyle w:val="49"/>
                    <w:adjustRightInd w:val="0"/>
                    <w:snapToGrid w:val="0"/>
                    <w:spacing w:before="60" w:after="60"/>
                    <w:rPr>
                      <w:color w:val="auto"/>
                      <w:sz w:val="18"/>
                      <w:szCs w:val="18"/>
                    </w:rPr>
                  </w:pPr>
                  <w:r>
                    <w:rPr>
                      <w:color w:val="auto"/>
                      <w:sz w:val="18"/>
                      <w:szCs w:val="18"/>
                    </w:rPr>
                    <w:t>0.2</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34A1A4">
                  <w:pPr>
                    <w:pStyle w:val="49"/>
                    <w:adjustRightInd w:val="0"/>
                    <w:snapToGrid w:val="0"/>
                    <w:spacing w:before="60" w:after="60"/>
                    <w:rPr>
                      <w:color w:val="auto"/>
                      <w:sz w:val="18"/>
                      <w:szCs w:val="18"/>
                    </w:rPr>
                  </w:pPr>
                  <w:r>
                    <w:rPr>
                      <w:color w:val="auto"/>
                      <w:sz w:val="18"/>
                      <w:szCs w:val="18"/>
                    </w:rPr>
                    <w:t>0.407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DB1845">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9FA9EF">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0FD4DC">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4CFBD4">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312B8">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56A5A0">
                  <w:pPr>
                    <w:adjustRightInd w:val="0"/>
                    <w:snapToGrid w:val="0"/>
                    <w:spacing w:before="60" w:after="60"/>
                    <w:jc w:val="center"/>
                    <w:rPr>
                      <w:color w:val="auto"/>
                      <w:sz w:val="18"/>
                      <w:szCs w:val="18"/>
                    </w:rPr>
                  </w:pPr>
                  <w:r>
                    <w:rPr>
                      <w:color w:val="auto"/>
                      <w:sz w:val="18"/>
                      <w:szCs w:val="18"/>
                    </w:rPr>
                    <w:t>0</w:t>
                  </w:r>
                </w:p>
              </w:tc>
            </w:tr>
            <w:tr w14:paraId="156B3DCD">
              <w:tblPrEx>
                <w:tblCellMar>
                  <w:top w:w="0" w:type="dxa"/>
                  <w:left w:w="0" w:type="dxa"/>
                  <w:bottom w:w="0" w:type="dxa"/>
                  <w:right w:w="0" w:type="dxa"/>
                </w:tblCellMar>
              </w:tblPrEx>
              <w:trPr>
                <w:trHeight w:val="283" w:hRule="atLeast"/>
              </w:trPr>
              <w:tc>
                <w:tcPr>
                  <w:tcW w:w="4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4B451B">
                  <w:pPr>
                    <w:pStyle w:val="49"/>
                    <w:adjustRightInd w:val="0"/>
                    <w:snapToGrid w:val="0"/>
                    <w:spacing w:before="60" w:after="60"/>
                    <w:rPr>
                      <w:color w:val="auto"/>
                      <w:sz w:val="18"/>
                      <w:szCs w:val="18"/>
                    </w:rPr>
                  </w:pP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46B834">
                  <w:pPr>
                    <w:pStyle w:val="49"/>
                    <w:adjustRightInd w:val="0"/>
                    <w:snapToGrid w:val="0"/>
                    <w:spacing w:before="60" w:after="60"/>
                    <w:rPr>
                      <w:color w:val="auto"/>
                      <w:sz w:val="18"/>
                      <w:szCs w:val="18"/>
                    </w:rPr>
                  </w:pPr>
                  <w:r>
                    <w:rPr>
                      <w:color w:val="auto"/>
                      <w:sz w:val="18"/>
                      <w:szCs w:val="18"/>
                    </w:rPr>
                    <w:t>2022.08.12</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60B753">
                  <w:pPr>
                    <w:pStyle w:val="49"/>
                    <w:adjustRightInd w:val="0"/>
                    <w:snapToGrid w:val="0"/>
                    <w:spacing w:before="60" w:after="60"/>
                    <w:rPr>
                      <w:color w:val="auto"/>
                      <w:sz w:val="18"/>
                      <w:szCs w:val="18"/>
                    </w:rPr>
                  </w:pPr>
                  <w:r>
                    <w:rPr>
                      <w:color w:val="auto"/>
                      <w:sz w:val="18"/>
                      <w:szCs w:val="18"/>
                    </w:rPr>
                    <w:t>0.03</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EABAD5">
                  <w:pPr>
                    <w:pStyle w:val="49"/>
                    <w:adjustRightInd w:val="0"/>
                    <w:snapToGrid w:val="0"/>
                    <w:spacing w:before="60" w:after="60"/>
                    <w:rPr>
                      <w:color w:val="auto"/>
                      <w:sz w:val="18"/>
                      <w:szCs w:val="18"/>
                    </w:rPr>
                  </w:pPr>
                  <w:r>
                    <w:rPr>
                      <w:color w:val="auto"/>
                      <w:sz w:val="18"/>
                      <w:szCs w:val="18"/>
                    </w:rPr>
                    <w:t>2.77</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2CB5B1">
                  <w:pPr>
                    <w:pStyle w:val="49"/>
                    <w:adjustRightInd w:val="0"/>
                    <w:snapToGrid w:val="0"/>
                    <w:spacing w:before="60" w:after="60"/>
                    <w:rPr>
                      <w:color w:val="auto"/>
                      <w:sz w:val="18"/>
                      <w:szCs w:val="18"/>
                    </w:rPr>
                  </w:pPr>
                  <w:r>
                    <w:rPr>
                      <w:color w:val="auto"/>
                      <w:sz w:val="18"/>
                      <w:szCs w:val="18"/>
                    </w:rPr>
                    <w:t>0.7</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854B91">
                  <w:pPr>
                    <w:pStyle w:val="49"/>
                    <w:adjustRightInd w:val="0"/>
                    <w:snapToGrid w:val="0"/>
                    <w:spacing w:before="60" w:after="60"/>
                    <w:rPr>
                      <w:color w:val="auto"/>
                      <w:sz w:val="18"/>
                      <w:szCs w:val="18"/>
                    </w:rPr>
                  </w:pPr>
                  <w:r>
                    <w:rPr>
                      <w:color w:val="auto"/>
                      <w:sz w:val="18"/>
                      <w:szCs w:val="18"/>
                    </w:rPr>
                    <w:t>0.967</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E6F02">
                  <w:pPr>
                    <w:pStyle w:val="49"/>
                    <w:adjustRightInd w:val="0"/>
                    <w:snapToGrid w:val="0"/>
                    <w:spacing w:before="60" w:after="60"/>
                    <w:rPr>
                      <w:color w:val="auto"/>
                      <w:sz w:val="18"/>
                      <w:szCs w:val="18"/>
                    </w:rPr>
                  </w:pPr>
                  <w:r>
                    <w:rPr>
                      <w:color w:val="auto"/>
                      <w:sz w:val="18"/>
                      <w:szCs w:val="18"/>
                    </w:rPr>
                    <w:t>0.196</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575B29">
                  <w:pPr>
                    <w:pStyle w:val="49"/>
                    <w:adjustRightInd w:val="0"/>
                    <w:snapToGrid w:val="0"/>
                    <w:spacing w:before="60" w:after="60"/>
                    <w:rPr>
                      <w:color w:val="auto"/>
                      <w:sz w:val="18"/>
                      <w:szCs w:val="18"/>
                    </w:rPr>
                  </w:pPr>
                  <w:r>
                    <w:rPr>
                      <w:color w:val="auto"/>
                      <w:sz w:val="18"/>
                      <w:szCs w:val="18"/>
                    </w:rPr>
                    <w:t>0.2</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345027">
                  <w:pPr>
                    <w:pStyle w:val="49"/>
                    <w:adjustRightInd w:val="0"/>
                    <w:snapToGrid w:val="0"/>
                    <w:spacing w:before="60" w:after="60"/>
                    <w:rPr>
                      <w:color w:val="auto"/>
                      <w:sz w:val="18"/>
                      <w:szCs w:val="18"/>
                    </w:rPr>
                  </w:pPr>
                  <w:r>
                    <w:rPr>
                      <w:color w:val="auto"/>
                      <w:sz w:val="18"/>
                      <w:szCs w:val="18"/>
                    </w:rPr>
                    <w:t>0.52</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CEF693">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E1916D">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4D88F5">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37377">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35C21A">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AB6C2">
                  <w:pPr>
                    <w:adjustRightInd w:val="0"/>
                    <w:snapToGrid w:val="0"/>
                    <w:spacing w:before="60" w:after="60"/>
                    <w:jc w:val="center"/>
                    <w:rPr>
                      <w:color w:val="auto"/>
                      <w:sz w:val="18"/>
                      <w:szCs w:val="18"/>
                    </w:rPr>
                  </w:pPr>
                  <w:r>
                    <w:rPr>
                      <w:color w:val="auto"/>
                      <w:sz w:val="18"/>
                      <w:szCs w:val="18"/>
                    </w:rPr>
                    <w:t>0</w:t>
                  </w:r>
                </w:p>
              </w:tc>
            </w:tr>
            <w:tr w14:paraId="766DC6AF">
              <w:tblPrEx>
                <w:tblCellMar>
                  <w:top w:w="0" w:type="dxa"/>
                  <w:left w:w="0" w:type="dxa"/>
                  <w:bottom w:w="0" w:type="dxa"/>
                  <w:right w:w="0" w:type="dxa"/>
                </w:tblCellMar>
              </w:tblPrEx>
              <w:trPr>
                <w:trHeight w:val="283" w:hRule="atLeast"/>
              </w:trPr>
              <w:tc>
                <w:tcPr>
                  <w:tcW w:w="44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416F1E">
                  <w:pPr>
                    <w:pStyle w:val="49"/>
                    <w:adjustRightInd w:val="0"/>
                    <w:snapToGrid w:val="0"/>
                    <w:spacing w:before="60" w:after="60"/>
                    <w:rPr>
                      <w:color w:val="auto"/>
                      <w:sz w:val="18"/>
                      <w:szCs w:val="18"/>
                    </w:rPr>
                  </w:pPr>
                  <w:r>
                    <w:rPr>
                      <w:color w:val="auto"/>
                      <w:sz w:val="18"/>
                      <w:szCs w:val="18"/>
                    </w:rPr>
                    <w:t>W2</w:t>
                  </w: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1D488">
                  <w:pPr>
                    <w:pStyle w:val="49"/>
                    <w:adjustRightInd w:val="0"/>
                    <w:snapToGrid w:val="0"/>
                    <w:spacing w:before="60" w:after="60"/>
                    <w:rPr>
                      <w:color w:val="auto"/>
                      <w:sz w:val="18"/>
                      <w:szCs w:val="18"/>
                    </w:rPr>
                  </w:pPr>
                  <w:r>
                    <w:rPr>
                      <w:color w:val="auto"/>
                      <w:sz w:val="18"/>
                      <w:szCs w:val="18"/>
                    </w:rPr>
                    <w:t>2022.08.10</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3C0B61">
                  <w:pPr>
                    <w:pStyle w:val="49"/>
                    <w:adjustRightInd w:val="0"/>
                    <w:snapToGrid w:val="0"/>
                    <w:spacing w:before="60" w:after="60"/>
                    <w:rPr>
                      <w:color w:val="auto"/>
                      <w:sz w:val="18"/>
                      <w:szCs w:val="18"/>
                    </w:rPr>
                  </w:pPr>
                  <w:r>
                    <w:rPr>
                      <w:color w:val="auto"/>
                      <w:sz w:val="18"/>
                      <w:szCs w:val="18"/>
                    </w:rPr>
                    <w:t>0.025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F14A9">
                  <w:pPr>
                    <w:pStyle w:val="49"/>
                    <w:adjustRightInd w:val="0"/>
                    <w:snapToGrid w:val="0"/>
                    <w:spacing w:before="60" w:after="60"/>
                    <w:rPr>
                      <w:color w:val="auto"/>
                      <w:sz w:val="18"/>
                      <w:szCs w:val="18"/>
                    </w:rPr>
                  </w:pPr>
                  <w:r>
                    <w:rPr>
                      <w:color w:val="auto"/>
                      <w:sz w:val="18"/>
                      <w:szCs w:val="18"/>
                    </w:rPr>
                    <w:t>2.7</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54550C">
                  <w:pPr>
                    <w:pStyle w:val="49"/>
                    <w:adjustRightInd w:val="0"/>
                    <w:snapToGrid w:val="0"/>
                    <w:spacing w:before="60" w:after="60"/>
                    <w:rPr>
                      <w:color w:val="auto"/>
                      <w:sz w:val="18"/>
                      <w:szCs w:val="18"/>
                    </w:rPr>
                  </w:pPr>
                  <w:r>
                    <w:rPr>
                      <w:color w:val="auto"/>
                      <w:sz w:val="18"/>
                      <w:szCs w:val="18"/>
                    </w:rPr>
                    <w:t>0.933</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88F01">
                  <w:pPr>
                    <w:pStyle w:val="49"/>
                    <w:adjustRightInd w:val="0"/>
                    <w:snapToGrid w:val="0"/>
                    <w:spacing w:before="60" w:after="60"/>
                    <w:rPr>
                      <w:color w:val="auto"/>
                      <w:sz w:val="18"/>
                      <w:szCs w:val="18"/>
                    </w:rPr>
                  </w:pPr>
                  <w:r>
                    <w:rPr>
                      <w:color w:val="auto"/>
                      <w:sz w:val="18"/>
                      <w:szCs w:val="18"/>
                    </w:rPr>
                    <w:t>0.95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E7C7A2">
                  <w:pPr>
                    <w:pStyle w:val="49"/>
                    <w:adjustRightInd w:val="0"/>
                    <w:snapToGrid w:val="0"/>
                    <w:spacing w:before="60" w:after="60"/>
                    <w:rPr>
                      <w:color w:val="auto"/>
                      <w:sz w:val="18"/>
                      <w:szCs w:val="18"/>
                    </w:rPr>
                  </w:pPr>
                  <w:r>
                    <w:rPr>
                      <w:color w:val="auto"/>
                      <w:sz w:val="18"/>
                      <w:szCs w:val="18"/>
                    </w:rPr>
                    <w:t>0.33</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4C5189">
                  <w:pPr>
                    <w:pStyle w:val="49"/>
                    <w:adjustRightInd w:val="0"/>
                    <w:snapToGrid w:val="0"/>
                    <w:spacing w:before="60" w:after="60"/>
                    <w:rPr>
                      <w:color w:val="auto"/>
                      <w:sz w:val="18"/>
                      <w:szCs w:val="18"/>
                    </w:rPr>
                  </w:pPr>
                  <w:r>
                    <w:rPr>
                      <w:color w:val="auto"/>
                      <w:sz w:val="18"/>
                      <w:szCs w:val="18"/>
                    </w:rPr>
                    <w:t>0.267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DA39F">
                  <w:pPr>
                    <w:pStyle w:val="49"/>
                    <w:adjustRightInd w:val="0"/>
                    <w:snapToGrid w:val="0"/>
                    <w:spacing w:before="60" w:after="60"/>
                    <w:rPr>
                      <w:color w:val="auto"/>
                      <w:sz w:val="18"/>
                      <w:szCs w:val="18"/>
                    </w:rPr>
                  </w:pPr>
                  <w:r>
                    <w:rPr>
                      <w:color w:val="auto"/>
                      <w:sz w:val="18"/>
                      <w:szCs w:val="18"/>
                    </w:rPr>
                    <w:t>0.66</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0A7E9E">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EB3848">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521B">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12F617">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E9554">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E82574">
                  <w:pPr>
                    <w:adjustRightInd w:val="0"/>
                    <w:snapToGrid w:val="0"/>
                    <w:spacing w:before="60" w:after="60"/>
                    <w:jc w:val="center"/>
                    <w:rPr>
                      <w:color w:val="auto"/>
                      <w:sz w:val="18"/>
                      <w:szCs w:val="18"/>
                    </w:rPr>
                  </w:pPr>
                  <w:r>
                    <w:rPr>
                      <w:color w:val="auto"/>
                      <w:sz w:val="18"/>
                      <w:szCs w:val="18"/>
                    </w:rPr>
                    <w:t>0</w:t>
                  </w:r>
                </w:p>
              </w:tc>
            </w:tr>
            <w:tr w14:paraId="7D905ACA">
              <w:tblPrEx>
                <w:tblCellMar>
                  <w:top w:w="0" w:type="dxa"/>
                  <w:left w:w="0" w:type="dxa"/>
                  <w:bottom w:w="0" w:type="dxa"/>
                  <w:right w:w="0" w:type="dxa"/>
                </w:tblCellMar>
              </w:tblPrEx>
              <w:trPr>
                <w:trHeight w:val="283" w:hRule="atLeast"/>
              </w:trPr>
              <w:tc>
                <w:tcPr>
                  <w:tcW w:w="443" w:type="pct"/>
                  <w:vMerge w:val="continue"/>
                  <w:tcBorders>
                    <w:left w:val="single" w:color="000000" w:sz="4" w:space="0"/>
                    <w:right w:val="single" w:color="000000" w:sz="4" w:space="0"/>
                  </w:tcBorders>
                  <w:noWrap/>
                  <w:tcMar>
                    <w:top w:w="15" w:type="dxa"/>
                    <w:left w:w="15" w:type="dxa"/>
                    <w:right w:w="15" w:type="dxa"/>
                  </w:tcMar>
                  <w:vAlign w:val="center"/>
                </w:tcPr>
                <w:p w14:paraId="5E25E0FB">
                  <w:pPr>
                    <w:pStyle w:val="49"/>
                    <w:adjustRightInd w:val="0"/>
                    <w:snapToGrid w:val="0"/>
                    <w:spacing w:before="60" w:after="60"/>
                    <w:rPr>
                      <w:color w:val="auto"/>
                      <w:sz w:val="18"/>
                      <w:szCs w:val="18"/>
                    </w:rPr>
                  </w:pP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7C587A">
                  <w:pPr>
                    <w:pStyle w:val="49"/>
                    <w:adjustRightInd w:val="0"/>
                    <w:snapToGrid w:val="0"/>
                    <w:spacing w:before="60" w:after="60"/>
                    <w:rPr>
                      <w:color w:val="auto"/>
                      <w:sz w:val="18"/>
                      <w:szCs w:val="18"/>
                    </w:rPr>
                  </w:pPr>
                  <w:r>
                    <w:rPr>
                      <w:color w:val="auto"/>
                      <w:sz w:val="18"/>
                      <w:szCs w:val="18"/>
                    </w:rPr>
                    <w:t>2022.08.11</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2C30D0">
                  <w:pPr>
                    <w:pStyle w:val="49"/>
                    <w:adjustRightInd w:val="0"/>
                    <w:snapToGrid w:val="0"/>
                    <w:spacing w:before="60" w:after="60"/>
                    <w:rPr>
                      <w:color w:val="auto"/>
                      <w:sz w:val="18"/>
                      <w:szCs w:val="18"/>
                    </w:rPr>
                  </w:pPr>
                  <w:r>
                    <w:rPr>
                      <w:color w:val="auto"/>
                      <w:sz w:val="18"/>
                      <w:szCs w:val="18"/>
                    </w:rPr>
                    <w:t>0.025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BF9EE9">
                  <w:pPr>
                    <w:pStyle w:val="49"/>
                    <w:adjustRightInd w:val="0"/>
                    <w:snapToGrid w:val="0"/>
                    <w:spacing w:before="60" w:after="60"/>
                    <w:rPr>
                      <w:color w:val="auto"/>
                      <w:sz w:val="18"/>
                      <w:szCs w:val="18"/>
                    </w:rPr>
                  </w:pPr>
                  <w:r>
                    <w:rPr>
                      <w:color w:val="auto"/>
                      <w:sz w:val="18"/>
                      <w:szCs w:val="18"/>
                    </w:rPr>
                    <w:t>3.07</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F4CF19">
                  <w:pPr>
                    <w:pStyle w:val="49"/>
                    <w:adjustRightInd w:val="0"/>
                    <w:snapToGrid w:val="0"/>
                    <w:spacing w:before="60" w:after="60"/>
                    <w:rPr>
                      <w:color w:val="auto"/>
                      <w:sz w:val="18"/>
                      <w:szCs w:val="18"/>
                    </w:rPr>
                  </w:pPr>
                  <w:r>
                    <w:rPr>
                      <w:color w:val="auto"/>
                      <w:sz w:val="18"/>
                      <w:szCs w:val="18"/>
                    </w:rPr>
                    <w:t>0.9</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CCBD0E">
                  <w:pPr>
                    <w:pStyle w:val="49"/>
                    <w:adjustRightInd w:val="0"/>
                    <w:snapToGrid w:val="0"/>
                    <w:spacing w:before="60" w:after="60"/>
                    <w:rPr>
                      <w:color w:val="auto"/>
                      <w:sz w:val="18"/>
                      <w:szCs w:val="18"/>
                    </w:rPr>
                  </w:pPr>
                  <w:r>
                    <w:rPr>
                      <w:color w:val="auto"/>
                      <w:sz w:val="18"/>
                      <w:szCs w:val="18"/>
                    </w:rPr>
                    <w:t>0.85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F34D22">
                  <w:pPr>
                    <w:pStyle w:val="49"/>
                    <w:adjustRightInd w:val="0"/>
                    <w:snapToGrid w:val="0"/>
                    <w:spacing w:before="60" w:after="60"/>
                    <w:rPr>
                      <w:color w:val="auto"/>
                      <w:sz w:val="18"/>
                      <w:szCs w:val="18"/>
                    </w:rPr>
                  </w:pPr>
                  <w:r>
                    <w:rPr>
                      <w:color w:val="auto"/>
                      <w:sz w:val="18"/>
                      <w:szCs w:val="18"/>
                    </w:rPr>
                    <w:t>0.3</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CF05C">
                  <w:pPr>
                    <w:pStyle w:val="49"/>
                    <w:adjustRightInd w:val="0"/>
                    <w:snapToGrid w:val="0"/>
                    <w:spacing w:before="60" w:after="60"/>
                    <w:rPr>
                      <w:color w:val="auto"/>
                      <w:sz w:val="18"/>
                      <w:szCs w:val="18"/>
                    </w:rPr>
                  </w:pPr>
                  <w:r>
                    <w:rPr>
                      <w:color w:val="auto"/>
                      <w:sz w:val="18"/>
                      <w:szCs w:val="18"/>
                    </w:rPr>
                    <w:t>0.3</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2D4511">
                  <w:pPr>
                    <w:pStyle w:val="49"/>
                    <w:adjustRightInd w:val="0"/>
                    <w:snapToGrid w:val="0"/>
                    <w:spacing w:before="60" w:after="60"/>
                    <w:rPr>
                      <w:color w:val="auto"/>
                      <w:sz w:val="18"/>
                      <w:szCs w:val="18"/>
                    </w:rPr>
                  </w:pPr>
                  <w:r>
                    <w:rPr>
                      <w:color w:val="auto"/>
                      <w:sz w:val="18"/>
                      <w:szCs w:val="18"/>
                    </w:rPr>
                    <w:t>0.467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8DB07">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87FE8">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BE98E9">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E914FE">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0F82C">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A0D46">
                  <w:pPr>
                    <w:adjustRightInd w:val="0"/>
                    <w:snapToGrid w:val="0"/>
                    <w:spacing w:before="60" w:after="60"/>
                    <w:jc w:val="center"/>
                    <w:rPr>
                      <w:color w:val="auto"/>
                      <w:sz w:val="18"/>
                      <w:szCs w:val="18"/>
                    </w:rPr>
                  </w:pPr>
                  <w:r>
                    <w:rPr>
                      <w:color w:val="auto"/>
                      <w:sz w:val="18"/>
                      <w:szCs w:val="18"/>
                    </w:rPr>
                    <w:t>0</w:t>
                  </w:r>
                </w:p>
              </w:tc>
            </w:tr>
            <w:tr w14:paraId="3CACC355">
              <w:tblPrEx>
                <w:tblCellMar>
                  <w:top w:w="0" w:type="dxa"/>
                  <w:left w:w="0" w:type="dxa"/>
                  <w:bottom w:w="0" w:type="dxa"/>
                  <w:right w:w="0" w:type="dxa"/>
                </w:tblCellMar>
              </w:tblPrEx>
              <w:trPr>
                <w:trHeight w:val="283" w:hRule="atLeast"/>
              </w:trPr>
              <w:tc>
                <w:tcPr>
                  <w:tcW w:w="44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83E77F">
                  <w:pPr>
                    <w:pStyle w:val="49"/>
                    <w:adjustRightInd w:val="0"/>
                    <w:snapToGrid w:val="0"/>
                    <w:spacing w:before="60" w:after="60"/>
                    <w:rPr>
                      <w:color w:val="auto"/>
                      <w:sz w:val="18"/>
                      <w:szCs w:val="18"/>
                    </w:rPr>
                  </w:pP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8CFAA3">
                  <w:pPr>
                    <w:pStyle w:val="49"/>
                    <w:adjustRightInd w:val="0"/>
                    <w:snapToGrid w:val="0"/>
                    <w:spacing w:before="60" w:after="60"/>
                    <w:rPr>
                      <w:color w:val="auto"/>
                      <w:sz w:val="18"/>
                      <w:szCs w:val="18"/>
                    </w:rPr>
                  </w:pPr>
                  <w:r>
                    <w:rPr>
                      <w:color w:val="auto"/>
                      <w:sz w:val="18"/>
                      <w:szCs w:val="18"/>
                    </w:rPr>
                    <w:t>2022.08.12</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CFD8D3">
                  <w:pPr>
                    <w:pStyle w:val="49"/>
                    <w:adjustRightInd w:val="0"/>
                    <w:snapToGrid w:val="0"/>
                    <w:spacing w:before="60" w:after="60"/>
                    <w:rPr>
                      <w:color w:val="auto"/>
                      <w:sz w:val="18"/>
                      <w:szCs w:val="18"/>
                    </w:rPr>
                  </w:pPr>
                  <w:r>
                    <w:rPr>
                      <w:color w:val="auto"/>
                      <w:sz w:val="18"/>
                      <w:szCs w:val="18"/>
                    </w:rPr>
                    <w:t>0.025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9BDAFE">
                  <w:pPr>
                    <w:pStyle w:val="49"/>
                    <w:adjustRightInd w:val="0"/>
                    <w:snapToGrid w:val="0"/>
                    <w:spacing w:before="60" w:after="60"/>
                    <w:rPr>
                      <w:color w:val="auto"/>
                      <w:sz w:val="18"/>
                      <w:szCs w:val="18"/>
                    </w:rPr>
                  </w:pPr>
                  <w:r>
                    <w:rPr>
                      <w:color w:val="auto"/>
                      <w:sz w:val="18"/>
                      <w:szCs w:val="18"/>
                    </w:rPr>
                    <w:t>3.1</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6DF493">
                  <w:pPr>
                    <w:pStyle w:val="49"/>
                    <w:adjustRightInd w:val="0"/>
                    <w:snapToGrid w:val="0"/>
                    <w:spacing w:before="60" w:after="60"/>
                    <w:rPr>
                      <w:color w:val="auto"/>
                      <w:sz w:val="18"/>
                      <w:szCs w:val="18"/>
                    </w:rPr>
                  </w:pPr>
                  <w:r>
                    <w:rPr>
                      <w:color w:val="auto"/>
                      <w:sz w:val="18"/>
                      <w:szCs w:val="18"/>
                    </w:rPr>
                    <w:t>0.8</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2DECF7">
                  <w:pPr>
                    <w:pStyle w:val="49"/>
                    <w:adjustRightInd w:val="0"/>
                    <w:snapToGrid w:val="0"/>
                    <w:spacing w:before="60" w:after="60"/>
                    <w:rPr>
                      <w:color w:val="auto"/>
                      <w:sz w:val="18"/>
                      <w:szCs w:val="18"/>
                    </w:rPr>
                  </w:pPr>
                  <w:r>
                    <w:rPr>
                      <w:color w:val="auto"/>
                      <w:sz w:val="18"/>
                      <w:szCs w:val="18"/>
                    </w:rPr>
                    <w:t>0.85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DD25D1">
                  <w:pPr>
                    <w:pStyle w:val="49"/>
                    <w:adjustRightInd w:val="0"/>
                    <w:snapToGrid w:val="0"/>
                    <w:spacing w:before="60" w:after="60"/>
                    <w:rPr>
                      <w:color w:val="auto"/>
                      <w:sz w:val="18"/>
                      <w:szCs w:val="18"/>
                    </w:rPr>
                  </w:pPr>
                  <w:r>
                    <w:rPr>
                      <w:color w:val="auto"/>
                      <w:sz w:val="18"/>
                      <w:szCs w:val="18"/>
                    </w:rPr>
                    <w:t>0.231</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1A896">
                  <w:pPr>
                    <w:pStyle w:val="49"/>
                    <w:adjustRightInd w:val="0"/>
                    <w:snapToGrid w:val="0"/>
                    <w:spacing w:before="60" w:after="60"/>
                    <w:rPr>
                      <w:color w:val="auto"/>
                      <w:sz w:val="18"/>
                      <w:szCs w:val="18"/>
                    </w:rPr>
                  </w:pPr>
                  <w:r>
                    <w:rPr>
                      <w:color w:val="auto"/>
                      <w:sz w:val="18"/>
                      <w:szCs w:val="18"/>
                    </w:rPr>
                    <w:t>0.233</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0B976F">
                  <w:pPr>
                    <w:pStyle w:val="49"/>
                    <w:adjustRightInd w:val="0"/>
                    <w:snapToGrid w:val="0"/>
                    <w:spacing w:before="60" w:after="60"/>
                    <w:rPr>
                      <w:color w:val="auto"/>
                      <w:sz w:val="18"/>
                      <w:szCs w:val="18"/>
                    </w:rPr>
                  </w:pPr>
                  <w:r>
                    <w:rPr>
                      <w:color w:val="auto"/>
                      <w:sz w:val="18"/>
                      <w:szCs w:val="18"/>
                    </w:rPr>
                    <w:t>0.533</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868DD8">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99425A">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F02064">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19831">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555C83">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7873DB">
                  <w:pPr>
                    <w:adjustRightInd w:val="0"/>
                    <w:snapToGrid w:val="0"/>
                    <w:spacing w:before="60" w:after="60"/>
                    <w:jc w:val="center"/>
                    <w:rPr>
                      <w:color w:val="auto"/>
                      <w:sz w:val="18"/>
                      <w:szCs w:val="18"/>
                    </w:rPr>
                  </w:pPr>
                  <w:r>
                    <w:rPr>
                      <w:color w:val="auto"/>
                      <w:sz w:val="18"/>
                      <w:szCs w:val="18"/>
                    </w:rPr>
                    <w:t>0</w:t>
                  </w:r>
                </w:p>
              </w:tc>
            </w:tr>
            <w:tr w14:paraId="4C29A23B">
              <w:tblPrEx>
                <w:tblCellMar>
                  <w:top w:w="0" w:type="dxa"/>
                  <w:left w:w="0" w:type="dxa"/>
                  <w:bottom w:w="0" w:type="dxa"/>
                  <w:right w:w="0" w:type="dxa"/>
                </w:tblCellMar>
              </w:tblPrEx>
              <w:trPr>
                <w:trHeight w:val="283" w:hRule="atLeast"/>
              </w:trPr>
              <w:tc>
                <w:tcPr>
                  <w:tcW w:w="443"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369BD4EB">
                  <w:pPr>
                    <w:pStyle w:val="49"/>
                    <w:adjustRightInd w:val="0"/>
                    <w:snapToGrid w:val="0"/>
                    <w:spacing w:before="60" w:after="60"/>
                    <w:rPr>
                      <w:color w:val="auto"/>
                      <w:sz w:val="18"/>
                      <w:szCs w:val="18"/>
                    </w:rPr>
                  </w:pPr>
                  <w:r>
                    <w:rPr>
                      <w:color w:val="auto"/>
                      <w:sz w:val="18"/>
                      <w:szCs w:val="18"/>
                    </w:rPr>
                    <w:t>W3</w:t>
                  </w: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8B1C65">
                  <w:pPr>
                    <w:pStyle w:val="49"/>
                    <w:adjustRightInd w:val="0"/>
                    <w:snapToGrid w:val="0"/>
                    <w:spacing w:before="60" w:after="60"/>
                    <w:rPr>
                      <w:color w:val="auto"/>
                      <w:sz w:val="18"/>
                      <w:szCs w:val="18"/>
                    </w:rPr>
                  </w:pPr>
                  <w:r>
                    <w:rPr>
                      <w:color w:val="auto"/>
                      <w:sz w:val="18"/>
                      <w:szCs w:val="18"/>
                    </w:rPr>
                    <w:t>2022.08.10</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FAABA3">
                  <w:pPr>
                    <w:pStyle w:val="49"/>
                    <w:adjustRightInd w:val="0"/>
                    <w:snapToGrid w:val="0"/>
                    <w:spacing w:before="60" w:after="60"/>
                    <w:rPr>
                      <w:color w:val="auto"/>
                      <w:sz w:val="18"/>
                      <w:szCs w:val="18"/>
                    </w:rPr>
                  </w:pPr>
                  <w:r>
                    <w:rPr>
                      <w:color w:val="auto"/>
                      <w:sz w:val="18"/>
                      <w:szCs w:val="18"/>
                    </w:rPr>
                    <w:t>0.015</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97DD0">
                  <w:pPr>
                    <w:pStyle w:val="49"/>
                    <w:adjustRightInd w:val="0"/>
                    <w:snapToGrid w:val="0"/>
                    <w:spacing w:before="60" w:after="60"/>
                    <w:rPr>
                      <w:color w:val="auto"/>
                      <w:sz w:val="18"/>
                      <w:szCs w:val="18"/>
                    </w:rPr>
                  </w:pPr>
                  <w:r>
                    <w:rPr>
                      <w:color w:val="auto"/>
                      <w:sz w:val="18"/>
                      <w:szCs w:val="18"/>
                    </w:rPr>
                    <w:t>2.8</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1A81F0">
                  <w:pPr>
                    <w:pStyle w:val="49"/>
                    <w:adjustRightInd w:val="0"/>
                    <w:snapToGrid w:val="0"/>
                    <w:spacing w:before="60" w:after="60"/>
                    <w:rPr>
                      <w:color w:val="auto"/>
                      <w:sz w:val="18"/>
                      <w:szCs w:val="18"/>
                    </w:rPr>
                  </w:pPr>
                  <w:r>
                    <w:rPr>
                      <w:color w:val="auto"/>
                      <w:sz w:val="18"/>
                      <w:szCs w:val="18"/>
                    </w:rPr>
                    <w:t>0.8</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59EEB">
                  <w:pPr>
                    <w:pStyle w:val="49"/>
                    <w:adjustRightInd w:val="0"/>
                    <w:snapToGrid w:val="0"/>
                    <w:spacing w:before="60" w:after="60"/>
                    <w:rPr>
                      <w:color w:val="auto"/>
                      <w:sz w:val="18"/>
                      <w:szCs w:val="18"/>
                    </w:rPr>
                  </w:pPr>
                  <w:r>
                    <w:rPr>
                      <w:color w:val="auto"/>
                      <w:sz w:val="18"/>
                      <w:szCs w:val="18"/>
                    </w:rPr>
                    <w:t>0.917</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3B995">
                  <w:pPr>
                    <w:pStyle w:val="49"/>
                    <w:adjustRightInd w:val="0"/>
                    <w:snapToGrid w:val="0"/>
                    <w:spacing w:before="60" w:after="60"/>
                    <w:rPr>
                      <w:color w:val="auto"/>
                      <w:sz w:val="18"/>
                      <w:szCs w:val="18"/>
                    </w:rPr>
                  </w:pPr>
                  <w:r>
                    <w:rPr>
                      <w:color w:val="auto"/>
                      <w:sz w:val="18"/>
                      <w:szCs w:val="18"/>
                    </w:rPr>
                    <w:t>0.25</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570C41">
                  <w:pPr>
                    <w:pStyle w:val="49"/>
                    <w:adjustRightInd w:val="0"/>
                    <w:snapToGrid w:val="0"/>
                    <w:spacing w:before="60" w:after="60"/>
                    <w:rPr>
                      <w:color w:val="auto"/>
                      <w:sz w:val="18"/>
                      <w:szCs w:val="18"/>
                    </w:rPr>
                  </w:pPr>
                  <w:r>
                    <w:rPr>
                      <w:color w:val="auto"/>
                      <w:sz w:val="18"/>
                      <w:szCs w:val="18"/>
                    </w:rPr>
                    <w:t>0.167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FE919">
                  <w:pPr>
                    <w:pStyle w:val="49"/>
                    <w:adjustRightInd w:val="0"/>
                    <w:snapToGrid w:val="0"/>
                    <w:spacing w:before="60" w:after="60"/>
                    <w:rPr>
                      <w:color w:val="auto"/>
                      <w:sz w:val="18"/>
                      <w:szCs w:val="18"/>
                    </w:rPr>
                  </w:pPr>
                  <w:r>
                    <w:rPr>
                      <w:color w:val="auto"/>
                      <w:sz w:val="18"/>
                      <w:szCs w:val="18"/>
                    </w:rPr>
                    <w:t>0.5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F1156E">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92721">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2EECF8">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1C254">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36A267">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6C1994">
                  <w:pPr>
                    <w:adjustRightInd w:val="0"/>
                    <w:snapToGrid w:val="0"/>
                    <w:spacing w:before="60" w:after="60"/>
                    <w:jc w:val="center"/>
                    <w:rPr>
                      <w:color w:val="auto"/>
                      <w:sz w:val="18"/>
                      <w:szCs w:val="18"/>
                    </w:rPr>
                  </w:pPr>
                  <w:r>
                    <w:rPr>
                      <w:color w:val="auto"/>
                      <w:sz w:val="18"/>
                      <w:szCs w:val="18"/>
                    </w:rPr>
                    <w:t>0</w:t>
                  </w:r>
                </w:p>
              </w:tc>
            </w:tr>
            <w:tr w14:paraId="3555808E">
              <w:tblPrEx>
                <w:tblCellMar>
                  <w:top w:w="0" w:type="dxa"/>
                  <w:left w:w="0" w:type="dxa"/>
                  <w:bottom w:w="0" w:type="dxa"/>
                  <w:right w:w="0" w:type="dxa"/>
                </w:tblCellMar>
              </w:tblPrEx>
              <w:trPr>
                <w:trHeight w:val="283" w:hRule="atLeast"/>
              </w:trPr>
              <w:tc>
                <w:tcPr>
                  <w:tcW w:w="443" w:type="pct"/>
                  <w:vMerge w:val="continue"/>
                  <w:tcBorders>
                    <w:left w:val="single" w:color="000000" w:sz="4" w:space="0"/>
                    <w:right w:val="single" w:color="000000" w:sz="4" w:space="0"/>
                  </w:tcBorders>
                  <w:noWrap/>
                  <w:tcMar>
                    <w:top w:w="15" w:type="dxa"/>
                    <w:left w:w="15" w:type="dxa"/>
                    <w:right w:w="15" w:type="dxa"/>
                  </w:tcMar>
                  <w:vAlign w:val="center"/>
                </w:tcPr>
                <w:p w14:paraId="46F2F71C">
                  <w:pPr>
                    <w:pStyle w:val="49"/>
                    <w:adjustRightInd w:val="0"/>
                    <w:snapToGrid w:val="0"/>
                    <w:spacing w:before="60" w:after="60"/>
                    <w:rPr>
                      <w:color w:val="auto"/>
                      <w:sz w:val="18"/>
                      <w:szCs w:val="18"/>
                    </w:rPr>
                  </w:pP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12823C">
                  <w:pPr>
                    <w:pStyle w:val="49"/>
                    <w:adjustRightInd w:val="0"/>
                    <w:snapToGrid w:val="0"/>
                    <w:spacing w:before="60" w:after="60"/>
                    <w:rPr>
                      <w:color w:val="auto"/>
                      <w:sz w:val="18"/>
                      <w:szCs w:val="18"/>
                    </w:rPr>
                  </w:pPr>
                  <w:r>
                    <w:rPr>
                      <w:color w:val="auto"/>
                      <w:sz w:val="18"/>
                      <w:szCs w:val="18"/>
                    </w:rPr>
                    <w:t>2022.08.11</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022BCF">
                  <w:pPr>
                    <w:pStyle w:val="49"/>
                    <w:adjustRightInd w:val="0"/>
                    <w:snapToGrid w:val="0"/>
                    <w:spacing w:before="60" w:after="60"/>
                    <w:rPr>
                      <w:color w:val="auto"/>
                      <w:sz w:val="18"/>
                      <w:szCs w:val="18"/>
                    </w:rPr>
                  </w:pPr>
                  <w:r>
                    <w:rPr>
                      <w:color w:val="auto"/>
                      <w:sz w:val="18"/>
                      <w:szCs w:val="18"/>
                    </w:rPr>
                    <w:t>0.01</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3091D0">
                  <w:pPr>
                    <w:pStyle w:val="49"/>
                    <w:adjustRightInd w:val="0"/>
                    <w:snapToGrid w:val="0"/>
                    <w:spacing w:before="60" w:after="60"/>
                    <w:rPr>
                      <w:color w:val="auto"/>
                      <w:sz w:val="18"/>
                      <w:szCs w:val="18"/>
                    </w:rPr>
                  </w:pPr>
                  <w:r>
                    <w:rPr>
                      <w:color w:val="auto"/>
                      <w:sz w:val="18"/>
                      <w:szCs w:val="18"/>
                    </w:rPr>
                    <w:t>3.13</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01993">
                  <w:pPr>
                    <w:pStyle w:val="49"/>
                    <w:adjustRightInd w:val="0"/>
                    <w:snapToGrid w:val="0"/>
                    <w:spacing w:before="60" w:after="60"/>
                    <w:rPr>
                      <w:color w:val="auto"/>
                      <w:sz w:val="18"/>
                      <w:szCs w:val="18"/>
                    </w:rPr>
                  </w:pPr>
                  <w:r>
                    <w:rPr>
                      <w:color w:val="auto"/>
                      <w:sz w:val="18"/>
                      <w:szCs w:val="18"/>
                    </w:rPr>
                    <w:t>0.767</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022E0">
                  <w:pPr>
                    <w:pStyle w:val="49"/>
                    <w:adjustRightInd w:val="0"/>
                    <w:snapToGrid w:val="0"/>
                    <w:spacing w:before="60" w:after="60"/>
                    <w:rPr>
                      <w:color w:val="auto"/>
                      <w:sz w:val="18"/>
                      <w:szCs w:val="18"/>
                    </w:rPr>
                  </w:pPr>
                  <w:r>
                    <w:rPr>
                      <w:color w:val="auto"/>
                      <w:sz w:val="18"/>
                      <w:szCs w:val="18"/>
                    </w:rPr>
                    <w:t>0.867</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7B1C8C">
                  <w:pPr>
                    <w:pStyle w:val="49"/>
                    <w:adjustRightInd w:val="0"/>
                    <w:snapToGrid w:val="0"/>
                    <w:spacing w:before="60" w:after="60"/>
                    <w:rPr>
                      <w:color w:val="auto"/>
                      <w:sz w:val="18"/>
                      <w:szCs w:val="18"/>
                    </w:rPr>
                  </w:pPr>
                  <w:r>
                    <w:rPr>
                      <w:color w:val="auto"/>
                      <w:sz w:val="18"/>
                      <w:szCs w:val="18"/>
                    </w:rPr>
                    <w:t>0.264</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87A59">
                  <w:pPr>
                    <w:pStyle w:val="49"/>
                    <w:adjustRightInd w:val="0"/>
                    <w:snapToGrid w:val="0"/>
                    <w:spacing w:before="60" w:after="60"/>
                    <w:rPr>
                      <w:color w:val="auto"/>
                      <w:sz w:val="18"/>
                      <w:szCs w:val="18"/>
                    </w:rPr>
                  </w:pPr>
                  <w:r>
                    <w:rPr>
                      <w:color w:val="auto"/>
                      <w:sz w:val="18"/>
                      <w:szCs w:val="18"/>
                    </w:rPr>
                    <w:t>0.233</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7DBCD5">
                  <w:pPr>
                    <w:pStyle w:val="49"/>
                    <w:adjustRightInd w:val="0"/>
                    <w:snapToGrid w:val="0"/>
                    <w:spacing w:before="60" w:after="60"/>
                    <w:rPr>
                      <w:color w:val="auto"/>
                      <w:sz w:val="18"/>
                      <w:szCs w:val="18"/>
                    </w:rPr>
                  </w:pPr>
                  <w:r>
                    <w:rPr>
                      <w:color w:val="auto"/>
                      <w:sz w:val="18"/>
                      <w:szCs w:val="18"/>
                    </w:rPr>
                    <w:t>0.427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BC020D">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E459A5">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BBF760">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15550">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A47098">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FD4BF">
                  <w:pPr>
                    <w:adjustRightInd w:val="0"/>
                    <w:snapToGrid w:val="0"/>
                    <w:spacing w:before="60" w:after="60"/>
                    <w:jc w:val="center"/>
                    <w:rPr>
                      <w:color w:val="auto"/>
                      <w:sz w:val="18"/>
                      <w:szCs w:val="18"/>
                    </w:rPr>
                  </w:pPr>
                  <w:r>
                    <w:rPr>
                      <w:color w:val="auto"/>
                      <w:sz w:val="18"/>
                      <w:szCs w:val="18"/>
                    </w:rPr>
                    <w:t>0</w:t>
                  </w:r>
                </w:p>
              </w:tc>
            </w:tr>
            <w:tr w14:paraId="3F491A5C">
              <w:tblPrEx>
                <w:tblCellMar>
                  <w:top w:w="0" w:type="dxa"/>
                  <w:left w:w="0" w:type="dxa"/>
                  <w:bottom w:w="0" w:type="dxa"/>
                  <w:right w:w="0" w:type="dxa"/>
                </w:tblCellMar>
              </w:tblPrEx>
              <w:trPr>
                <w:trHeight w:val="283" w:hRule="atLeast"/>
              </w:trPr>
              <w:tc>
                <w:tcPr>
                  <w:tcW w:w="443"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2AB81227">
                  <w:pPr>
                    <w:pStyle w:val="49"/>
                    <w:adjustRightInd w:val="0"/>
                    <w:snapToGrid w:val="0"/>
                    <w:spacing w:before="60" w:after="60"/>
                    <w:rPr>
                      <w:color w:val="auto"/>
                      <w:sz w:val="18"/>
                      <w:szCs w:val="18"/>
                    </w:rPr>
                  </w:pPr>
                </w:p>
              </w:tc>
              <w:tc>
                <w:tcPr>
                  <w:tcW w:w="55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2E54CA">
                  <w:pPr>
                    <w:pStyle w:val="49"/>
                    <w:adjustRightInd w:val="0"/>
                    <w:snapToGrid w:val="0"/>
                    <w:spacing w:before="60" w:after="60"/>
                    <w:rPr>
                      <w:color w:val="auto"/>
                      <w:sz w:val="18"/>
                      <w:szCs w:val="18"/>
                    </w:rPr>
                  </w:pPr>
                  <w:r>
                    <w:rPr>
                      <w:color w:val="auto"/>
                      <w:sz w:val="18"/>
                      <w:szCs w:val="18"/>
                    </w:rPr>
                    <w:t>2022.08.12</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84F1CB">
                  <w:pPr>
                    <w:pStyle w:val="49"/>
                    <w:adjustRightInd w:val="0"/>
                    <w:snapToGrid w:val="0"/>
                    <w:spacing w:before="60" w:after="60"/>
                    <w:rPr>
                      <w:color w:val="auto"/>
                      <w:sz w:val="18"/>
                      <w:szCs w:val="18"/>
                    </w:rPr>
                  </w:pPr>
                  <w:r>
                    <w:rPr>
                      <w:color w:val="auto"/>
                      <w:sz w:val="18"/>
                      <w:szCs w:val="18"/>
                    </w:rPr>
                    <w:t>0.02</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29B1F5">
                  <w:pPr>
                    <w:pStyle w:val="49"/>
                    <w:adjustRightInd w:val="0"/>
                    <w:snapToGrid w:val="0"/>
                    <w:spacing w:before="60" w:after="60"/>
                    <w:rPr>
                      <w:color w:val="auto"/>
                      <w:sz w:val="18"/>
                      <w:szCs w:val="18"/>
                    </w:rPr>
                  </w:pPr>
                  <w:r>
                    <w:rPr>
                      <w:color w:val="auto"/>
                      <w:sz w:val="18"/>
                      <w:szCs w:val="18"/>
                    </w:rPr>
                    <w:t>3.13</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FCB5C">
                  <w:pPr>
                    <w:pStyle w:val="49"/>
                    <w:adjustRightInd w:val="0"/>
                    <w:snapToGrid w:val="0"/>
                    <w:spacing w:before="60" w:after="60"/>
                    <w:rPr>
                      <w:color w:val="auto"/>
                      <w:sz w:val="18"/>
                      <w:szCs w:val="18"/>
                    </w:rPr>
                  </w:pPr>
                  <w:r>
                    <w:rPr>
                      <w:color w:val="auto"/>
                      <w:sz w:val="18"/>
                      <w:szCs w:val="18"/>
                    </w:rPr>
                    <w:t>0.833</w:t>
                  </w:r>
                </w:p>
              </w:tc>
              <w:tc>
                <w:tcPr>
                  <w:tcW w:w="31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6CB1C3">
                  <w:pPr>
                    <w:pStyle w:val="49"/>
                    <w:adjustRightInd w:val="0"/>
                    <w:snapToGrid w:val="0"/>
                    <w:spacing w:before="60" w:after="60"/>
                    <w:rPr>
                      <w:color w:val="auto"/>
                      <w:sz w:val="18"/>
                      <w:szCs w:val="18"/>
                    </w:rPr>
                  </w:pPr>
                  <w:r>
                    <w:rPr>
                      <w:color w:val="auto"/>
                      <w:sz w:val="18"/>
                      <w:szCs w:val="18"/>
                    </w:rPr>
                    <w:t>0.883</w:t>
                  </w:r>
                </w:p>
              </w:tc>
              <w:tc>
                <w:tcPr>
                  <w:tcW w:w="29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3E294">
                  <w:pPr>
                    <w:pStyle w:val="49"/>
                    <w:adjustRightInd w:val="0"/>
                    <w:snapToGrid w:val="0"/>
                    <w:spacing w:before="60" w:after="60"/>
                    <w:rPr>
                      <w:color w:val="auto"/>
                      <w:sz w:val="18"/>
                      <w:szCs w:val="18"/>
                    </w:rPr>
                  </w:pPr>
                  <w:r>
                    <w:rPr>
                      <w:color w:val="auto"/>
                      <w:sz w:val="18"/>
                      <w:szCs w:val="18"/>
                    </w:rPr>
                    <w:t>0.237</w:t>
                  </w:r>
                </w:p>
              </w:tc>
              <w:tc>
                <w:tcPr>
                  <w:tcW w:w="36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DDA2F3">
                  <w:pPr>
                    <w:pStyle w:val="49"/>
                    <w:adjustRightInd w:val="0"/>
                    <w:snapToGrid w:val="0"/>
                    <w:spacing w:before="60" w:after="60"/>
                    <w:rPr>
                      <w:color w:val="auto"/>
                      <w:sz w:val="18"/>
                      <w:szCs w:val="18"/>
                    </w:rPr>
                  </w:pPr>
                  <w:r>
                    <w:rPr>
                      <w:color w:val="auto"/>
                      <w:sz w:val="18"/>
                      <w:szCs w:val="18"/>
                    </w:rPr>
                    <w:t>0.133</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28814">
                  <w:pPr>
                    <w:pStyle w:val="49"/>
                    <w:adjustRightInd w:val="0"/>
                    <w:snapToGrid w:val="0"/>
                    <w:spacing w:before="60" w:after="60"/>
                    <w:rPr>
                      <w:color w:val="auto"/>
                      <w:sz w:val="18"/>
                      <w:szCs w:val="18"/>
                    </w:rPr>
                  </w:pPr>
                  <w:r>
                    <w:rPr>
                      <w:color w:val="auto"/>
                      <w:sz w:val="18"/>
                      <w:szCs w:val="18"/>
                    </w:rPr>
                    <w:t>0.507</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7B44D">
                  <w:pPr>
                    <w:adjustRightInd w:val="0"/>
                    <w:snapToGrid w:val="0"/>
                    <w:spacing w:before="60" w:after="60"/>
                    <w:jc w:val="center"/>
                    <w:rPr>
                      <w:color w:val="auto"/>
                      <w:sz w:val="18"/>
                      <w:szCs w:val="18"/>
                    </w:rPr>
                  </w:pPr>
                  <w:r>
                    <w:rPr>
                      <w:color w:val="auto"/>
                      <w:sz w:val="18"/>
                      <w:szCs w:val="18"/>
                    </w:rPr>
                    <w:t>0</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ADDD4C">
                  <w:pPr>
                    <w:adjustRightInd w:val="0"/>
                    <w:snapToGrid w:val="0"/>
                    <w:spacing w:before="60" w:after="60"/>
                    <w:jc w:val="center"/>
                    <w:rPr>
                      <w:color w:val="auto"/>
                      <w:sz w:val="18"/>
                      <w:szCs w:val="18"/>
                    </w:rPr>
                  </w:pPr>
                  <w:r>
                    <w:rPr>
                      <w:color w:val="auto"/>
                      <w:sz w:val="18"/>
                      <w:szCs w:val="18"/>
                    </w:rPr>
                    <w:t>&lt;0.15</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DCB3C6">
                  <w:pPr>
                    <w:adjustRightInd w:val="0"/>
                    <w:snapToGrid w:val="0"/>
                    <w:spacing w:before="60" w:after="60"/>
                    <w:jc w:val="center"/>
                    <w:rPr>
                      <w:color w:val="auto"/>
                      <w:sz w:val="18"/>
                      <w:szCs w:val="18"/>
                    </w:rPr>
                  </w:pPr>
                  <w:r>
                    <w:rPr>
                      <w:color w:val="auto"/>
                      <w:sz w:val="18"/>
                      <w:szCs w:val="18"/>
                    </w:rPr>
                    <w:t>&lt;0.1</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6DA2F">
                  <w:pPr>
                    <w:adjustRightInd w:val="0"/>
                    <w:snapToGrid w:val="0"/>
                    <w:spacing w:before="60" w:after="60"/>
                    <w:jc w:val="center"/>
                    <w:rPr>
                      <w:color w:val="auto"/>
                      <w:sz w:val="18"/>
                      <w:szCs w:val="18"/>
                    </w:rPr>
                  </w:pPr>
                  <w:r>
                    <w:rPr>
                      <w:color w:val="auto"/>
                      <w:sz w:val="18"/>
                      <w:szCs w:val="18"/>
                    </w:rPr>
                    <w:t>&lt;0.04</w:t>
                  </w:r>
                </w:p>
              </w:tc>
              <w:tc>
                <w:tcPr>
                  <w:tcW w:w="3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6536ED">
                  <w:pPr>
                    <w:adjustRightInd w:val="0"/>
                    <w:snapToGrid w:val="0"/>
                    <w:spacing w:before="60" w:after="60"/>
                    <w:jc w:val="center"/>
                    <w:rPr>
                      <w:color w:val="auto"/>
                      <w:sz w:val="18"/>
                      <w:szCs w:val="18"/>
                    </w:rPr>
                  </w:pPr>
                  <w:r>
                    <w:rPr>
                      <w:color w:val="auto"/>
                      <w:sz w:val="18"/>
                      <w:szCs w:val="18"/>
                    </w:rPr>
                    <w:t>0</w:t>
                  </w:r>
                </w:p>
              </w:tc>
              <w:tc>
                <w:tcPr>
                  <w:tcW w:w="31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4AAAAD">
                  <w:pPr>
                    <w:adjustRightInd w:val="0"/>
                    <w:snapToGrid w:val="0"/>
                    <w:spacing w:before="60" w:after="60"/>
                    <w:jc w:val="center"/>
                    <w:rPr>
                      <w:color w:val="auto"/>
                      <w:sz w:val="18"/>
                      <w:szCs w:val="18"/>
                    </w:rPr>
                  </w:pPr>
                  <w:r>
                    <w:rPr>
                      <w:color w:val="auto"/>
                      <w:sz w:val="18"/>
                      <w:szCs w:val="18"/>
                    </w:rPr>
                    <w:t>0</w:t>
                  </w:r>
                </w:p>
              </w:tc>
            </w:tr>
          </w:tbl>
          <w:p w14:paraId="3F632590">
            <w:pPr>
              <w:pStyle w:val="7"/>
              <w:spacing w:beforeLines="50" w:line="360" w:lineRule="auto"/>
              <w:ind w:firstLine="480"/>
              <w:rPr>
                <w:color w:val="auto"/>
                <w:kern w:val="0"/>
                <w:sz w:val="24"/>
                <w:szCs w:val="24"/>
              </w:rPr>
            </w:pPr>
            <w:r>
              <w:rPr>
                <w:rFonts w:hint="eastAsia"/>
                <w:color w:val="auto"/>
                <w:kern w:val="0"/>
                <w:sz w:val="24"/>
                <w:szCs w:val="24"/>
              </w:rPr>
              <w:t>由上表可知，泥河水质满足《地表水环境质量标准》（GB3838-2002）IV类标准，表明区域地表水环境质量状况良好。</w:t>
            </w:r>
          </w:p>
          <w:p w14:paraId="274C5E3E">
            <w:pPr>
              <w:widowControl/>
              <w:spacing w:line="360" w:lineRule="auto"/>
              <w:jc w:val="left"/>
              <w:rPr>
                <w:color w:val="auto"/>
                <w:sz w:val="24"/>
              </w:rPr>
            </w:pPr>
            <w:r>
              <w:rPr>
                <w:b/>
                <w:bCs/>
                <w:color w:val="auto"/>
                <w:kern w:val="0"/>
                <w:sz w:val="24"/>
              </w:rPr>
              <w:t xml:space="preserve">三、声环境质量状况 </w:t>
            </w:r>
          </w:p>
          <w:p w14:paraId="60A0FBF8">
            <w:pPr>
              <w:widowControl/>
              <w:spacing w:line="360" w:lineRule="auto"/>
              <w:ind w:firstLine="480" w:firstLineChars="200"/>
              <w:rPr>
                <w:color w:val="auto"/>
                <w:kern w:val="0"/>
                <w:sz w:val="24"/>
              </w:rPr>
            </w:pPr>
            <w:r>
              <w:rPr>
                <w:rFonts w:hint="eastAsia"/>
                <w:color w:val="auto"/>
                <w:kern w:val="0"/>
                <w:sz w:val="24"/>
              </w:rPr>
              <w:t>根据现场调查，项目厂界外50m范围内不存在声环境保护目标，根据《建设项目环境影响报告表编制技术指南（污染影响类）》，本次不对区域声环境现状进行评价。</w:t>
            </w:r>
          </w:p>
          <w:p w14:paraId="225CBAFB">
            <w:pPr>
              <w:widowControl/>
              <w:spacing w:line="360" w:lineRule="auto"/>
              <w:rPr>
                <w:color w:val="auto"/>
                <w:sz w:val="24"/>
              </w:rPr>
            </w:pPr>
            <w:r>
              <w:rPr>
                <w:b/>
                <w:bCs/>
                <w:color w:val="auto"/>
                <w:kern w:val="0"/>
                <w:sz w:val="24"/>
              </w:rPr>
              <w:t xml:space="preserve">四、生态环境状况 </w:t>
            </w:r>
          </w:p>
          <w:p w14:paraId="3739B362">
            <w:pPr>
              <w:widowControl/>
              <w:spacing w:line="360" w:lineRule="auto"/>
              <w:ind w:firstLine="480" w:firstLineChars="200"/>
              <w:rPr>
                <w:color w:val="auto"/>
                <w:kern w:val="0"/>
                <w:sz w:val="24"/>
              </w:rPr>
            </w:pPr>
            <w:r>
              <w:rPr>
                <w:color w:val="auto"/>
                <w:kern w:val="0"/>
                <w:sz w:val="24"/>
              </w:rPr>
              <w:t>本项目用地范围内无生态环境保护目标。</w:t>
            </w:r>
          </w:p>
          <w:p w14:paraId="29518153">
            <w:pPr>
              <w:widowControl/>
              <w:spacing w:line="360" w:lineRule="auto"/>
              <w:rPr>
                <w:color w:val="auto"/>
                <w:sz w:val="24"/>
              </w:rPr>
            </w:pPr>
            <w:r>
              <w:rPr>
                <w:b/>
                <w:bCs/>
                <w:color w:val="auto"/>
                <w:kern w:val="0"/>
                <w:sz w:val="24"/>
              </w:rPr>
              <w:t xml:space="preserve">五、地下水、土壤环境质量现状 </w:t>
            </w:r>
          </w:p>
          <w:p w14:paraId="1340B597">
            <w:pPr>
              <w:widowControl/>
              <w:spacing w:line="360" w:lineRule="auto"/>
              <w:ind w:firstLine="480" w:firstLineChars="200"/>
              <w:rPr>
                <w:color w:val="auto"/>
                <w:kern w:val="0"/>
                <w:sz w:val="24"/>
              </w:rPr>
            </w:pPr>
            <w:r>
              <w:rPr>
                <w:color w:val="auto"/>
                <w:kern w:val="0"/>
                <w:sz w:val="24"/>
              </w:rPr>
              <w:t>根据《建设项目环境影响报告表编制技术指南（污染影响类）（试行）》，原则上不开展地下水、土壤环境质量现状调查，企业采取各项防渗、防污措施，一般不存在土壤和地下水环境污染途径，可不开展地下水、土壤环境现状调查。</w:t>
            </w:r>
          </w:p>
          <w:p w14:paraId="10CCBFF1">
            <w:pPr>
              <w:widowControl/>
              <w:spacing w:line="360" w:lineRule="auto"/>
              <w:jc w:val="left"/>
              <w:rPr>
                <w:color w:val="auto"/>
                <w:sz w:val="24"/>
              </w:rPr>
            </w:pPr>
            <w:r>
              <w:rPr>
                <w:b/>
                <w:bCs/>
                <w:color w:val="auto"/>
                <w:kern w:val="0"/>
                <w:sz w:val="24"/>
              </w:rPr>
              <w:t>六、辐射环境现状</w:t>
            </w:r>
          </w:p>
          <w:p w14:paraId="3400499D">
            <w:pPr>
              <w:widowControl/>
              <w:spacing w:line="360" w:lineRule="auto"/>
              <w:ind w:firstLine="480" w:firstLineChars="200"/>
              <w:jc w:val="left"/>
              <w:rPr>
                <w:rFonts w:hint="eastAsia"/>
                <w:color w:val="auto"/>
                <w:kern w:val="0"/>
                <w:sz w:val="24"/>
                <w:lang w:eastAsia="zh-CN"/>
              </w:rPr>
            </w:pPr>
            <w:r>
              <w:rPr>
                <w:color w:val="auto"/>
                <w:kern w:val="0"/>
                <w:sz w:val="24"/>
              </w:rPr>
              <w:t>本项目不涉及电磁辐射</w:t>
            </w:r>
            <w:r>
              <w:rPr>
                <w:rFonts w:hint="eastAsia"/>
                <w:color w:val="auto"/>
                <w:kern w:val="0"/>
                <w:sz w:val="24"/>
                <w:lang w:eastAsia="zh-CN"/>
              </w:rPr>
              <w:t>。</w:t>
            </w:r>
          </w:p>
          <w:p w14:paraId="55B166D0">
            <w:pPr>
              <w:widowControl/>
              <w:spacing w:line="360" w:lineRule="auto"/>
              <w:ind w:firstLine="420" w:firstLineChars="200"/>
              <w:jc w:val="left"/>
              <w:rPr>
                <w:color w:val="auto"/>
                <w:kern w:val="21"/>
                <w:szCs w:val="21"/>
              </w:rPr>
            </w:pPr>
          </w:p>
        </w:tc>
      </w:tr>
      <w:tr w14:paraId="1B64F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4E7895D8">
            <w:pPr>
              <w:adjustRightInd w:val="0"/>
              <w:snapToGrid w:val="0"/>
              <w:jc w:val="center"/>
              <w:rPr>
                <w:b/>
                <w:bCs/>
                <w:color w:val="auto"/>
                <w:kern w:val="21"/>
                <w:sz w:val="24"/>
              </w:rPr>
            </w:pPr>
            <w:r>
              <w:rPr>
                <w:b/>
                <w:bCs/>
                <w:color w:val="auto"/>
                <w:kern w:val="21"/>
                <w:sz w:val="24"/>
              </w:rPr>
              <w:t>环境保护</w:t>
            </w:r>
          </w:p>
          <w:p w14:paraId="07EA1EF2">
            <w:pPr>
              <w:adjustRightInd w:val="0"/>
              <w:snapToGrid w:val="0"/>
              <w:jc w:val="center"/>
              <w:rPr>
                <w:color w:val="auto"/>
                <w:kern w:val="21"/>
                <w:szCs w:val="21"/>
              </w:rPr>
            </w:pPr>
            <w:r>
              <w:rPr>
                <w:b/>
                <w:bCs/>
                <w:color w:val="auto"/>
                <w:kern w:val="21"/>
                <w:sz w:val="24"/>
              </w:rPr>
              <w:t>目标</w:t>
            </w:r>
          </w:p>
        </w:tc>
        <w:tc>
          <w:tcPr>
            <w:tcW w:w="7736" w:type="dxa"/>
            <w:vAlign w:val="center"/>
          </w:tcPr>
          <w:p w14:paraId="2A927459">
            <w:pPr>
              <w:widowControl/>
              <w:adjustRightInd w:val="0"/>
              <w:snapToGrid w:val="0"/>
              <w:spacing w:beforeLines="50" w:line="360" w:lineRule="auto"/>
              <w:jc w:val="left"/>
              <w:rPr>
                <w:b/>
                <w:bCs/>
                <w:color w:val="auto"/>
                <w:kern w:val="0"/>
                <w:sz w:val="24"/>
              </w:rPr>
            </w:pPr>
            <w:r>
              <w:rPr>
                <w:b/>
                <w:bCs/>
                <w:color w:val="auto"/>
                <w:kern w:val="0"/>
                <w:sz w:val="24"/>
              </w:rPr>
              <w:t>一、大气环境</w:t>
            </w:r>
          </w:p>
          <w:p w14:paraId="15434AA0">
            <w:pPr>
              <w:widowControl/>
              <w:spacing w:line="360" w:lineRule="auto"/>
              <w:ind w:firstLine="480" w:firstLineChars="200"/>
              <w:jc w:val="left"/>
              <w:rPr>
                <w:color w:val="auto"/>
                <w:kern w:val="0"/>
                <w:sz w:val="24"/>
              </w:rPr>
            </w:pPr>
            <w:r>
              <w:rPr>
                <w:color w:val="auto"/>
                <w:kern w:val="0"/>
                <w:sz w:val="24"/>
              </w:rPr>
              <w:t>建设项目厂界外500米范围内环境保护目标见表3-</w:t>
            </w:r>
            <w:r>
              <w:rPr>
                <w:rFonts w:hint="eastAsia"/>
                <w:color w:val="auto"/>
                <w:kern w:val="0"/>
                <w:sz w:val="24"/>
                <w:lang w:val="en-US" w:eastAsia="zh-CN"/>
              </w:rPr>
              <w:t>5</w:t>
            </w:r>
            <w:r>
              <w:rPr>
                <w:color w:val="auto"/>
                <w:kern w:val="0"/>
                <w:sz w:val="24"/>
              </w:rPr>
              <w:t>。</w:t>
            </w:r>
          </w:p>
          <w:p w14:paraId="756417D7">
            <w:pPr>
              <w:widowControl/>
              <w:spacing w:line="360" w:lineRule="auto"/>
              <w:jc w:val="left"/>
              <w:rPr>
                <w:b/>
                <w:color w:val="auto"/>
                <w:kern w:val="0"/>
                <w:sz w:val="24"/>
              </w:rPr>
            </w:pPr>
            <w:r>
              <w:rPr>
                <w:b/>
                <w:color w:val="auto"/>
                <w:kern w:val="0"/>
                <w:sz w:val="24"/>
              </w:rPr>
              <w:t>二、声环境</w:t>
            </w:r>
          </w:p>
          <w:p w14:paraId="526DDC48">
            <w:pPr>
              <w:widowControl/>
              <w:spacing w:line="360" w:lineRule="auto"/>
              <w:ind w:firstLine="480" w:firstLineChars="200"/>
              <w:jc w:val="left"/>
              <w:rPr>
                <w:color w:val="auto"/>
                <w:kern w:val="0"/>
                <w:sz w:val="24"/>
              </w:rPr>
            </w:pPr>
            <w:r>
              <w:rPr>
                <w:color w:val="auto"/>
                <w:kern w:val="0"/>
                <w:sz w:val="24"/>
              </w:rPr>
              <w:t>建设项目厂界外50米范围无声环境保护目标。</w:t>
            </w:r>
          </w:p>
          <w:p w14:paraId="1031DDFD">
            <w:pPr>
              <w:widowControl/>
              <w:spacing w:line="360" w:lineRule="auto"/>
              <w:jc w:val="left"/>
              <w:rPr>
                <w:b/>
                <w:color w:val="auto"/>
                <w:kern w:val="0"/>
                <w:sz w:val="24"/>
              </w:rPr>
            </w:pPr>
            <w:r>
              <w:rPr>
                <w:b/>
                <w:color w:val="auto"/>
                <w:kern w:val="0"/>
                <w:sz w:val="24"/>
              </w:rPr>
              <w:t>三、地下水环境</w:t>
            </w:r>
          </w:p>
          <w:p w14:paraId="27A6F206">
            <w:pPr>
              <w:widowControl/>
              <w:spacing w:line="360" w:lineRule="auto"/>
              <w:ind w:firstLine="480" w:firstLineChars="200"/>
              <w:jc w:val="left"/>
              <w:rPr>
                <w:color w:val="auto"/>
                <w:kern w:val="0"/>
                <w:sz w:val="24"/>
              </w:rPr>
            </w:pPr>
            <w:r>
              <w:rPr>
                <w:color w:val="auto"/>
                <w:kern w:val="0"/>
                <w:sz w:val="24"/>
              </w:rPr>
              <w:t>建设项目厂界外500米范围内无地下水集中式饮用水水源和热水、矿泉水、温泉等特殊地下水资源。</w:t>
            </w:r>
          </w:p>
          <w:p w14:paraId="5A795912">
            <w:pPr>
              <w:widowControl/>
              <w:spacing w:line="360" w:lineRule="auto"/>
              <w:jc w:val="left"/>
              <w:rPr>
                <w:b/>
                <w:color w:val="auto"/>
                <w:kern w:val="0"/>
                <w:sz w:val="24"/>
              </w:rPr>
            </w:pPr>
            <w:r>
              <w:rPr>
                <w:b/>
                <w:color w:val="auto"/>
                <w:kern w:val="0"/>
                <w:sz w:val="24"/>
              </w:rPr>
              <w:t>四、生态环境</w:t>
            </w:r>
          </w:p>
          <w:p w14:paraId="1C220E6E">
            <w:pPr>
              <w:widowControl/>
              <w:spacing w:line="360" w:lineRule="auto"/>
              <w:ind w:firstLine="480" w:firstLineChars="200"/>
              <w:jc w:val="left"/>
              <w:rPr>
                <w:color w:val="auto"/>
                <w:kern w:val="0"/>
                <w:sz w:val="24"/>
              </w:rPr>
            </w:pPr>
            <w:r>
              <w:rPr>
                <w:color w:val="auto"/>
                <w:kern w:val="0"/>
                <w:sz w:val="24"/>
              </w:rPr>
              <w:t>建设项目新增用地范围内无生态环境保护目标。</w:t>
            </w:r>
          </w:p>
          <w:p w14:paraId="7A173C12">
            <w:pPr>
              <w:widowControl/>
              <w:jc w:val="center"/>
              <w:rPr>
                <w:b/>
                <w:bCs/>
                <w:color w:val="auto"/>
                <w:kern w:val="0"/>
                <w:szCs w:val="21"/>
              </w:rPr>
            </w:pPr>
            <w:r>
              <w:rPr>
                <w:b/>
                <w:bCs/>
                <w:color w:val="auto"/>
                <w:kern w:val="0"/>
                <w:szCs w:val="21"/>
              </w:rPr>
              <w:t>表3-</w:t>
            </w:r>
            <w:r>
              <w:rPr>
                <w:rFonts w:hint="eastAsia"/>
                <w:b/>
                <w:bCs/>
                <w:color w:val="auto"/>
                <w:kern w:val="0"/>
                <w:szCs w:val="21"/>
                <w:lang w:val="en-US" w:eastAsia="zh-CN"/>
              </w:rPr>
              <w:t>5</w:t>
            </w:r>
            <w:r>
              <w:rPr>
                <w:rFonts w:hint="eastAsia"/>
                <w:b/>
                <w:bCs/>
                <w:color w:val="auto"/>
                <w:kern w:val="0"/>
                <w:szCs w:val="21"/>
              </w:rPr>
              <w:t xml:space="preserve"> </w:t>
            </w:r>
            <w:r>
              <w:rPr>
                <w:b/>
                <w:bCs/>
                <w:color w:val="auto"/>
                <w:kern w:val="0"/>
                <w:szCs w:val="21"/>
              </w:rPr>
              <w:t xml:space="preserve"> 环境保护目标一览表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21"/>
              <w:gridCol w:w="666"/>
              <w:gridCol w:w="699"/>
              <w:gridCol w:w="731"/>
              <w:gridCol w:w="912"/>
              <w:gridCol w:w="988"/>
              <w:gridCol w:w="2171"/>
              <w:gridCol w:w="673"/>
              <w:gridCol w:w="930"/>
            </w:tblGrid>
            <w:tr w14:paraId="61BE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56" w:type="dxa"/>
                  <w:vMerge w:val="restart"/>
                  <w:tcBorders>
                    <w:tl2br w:val="nil"/>
                    <w:tr2bl w:val="nil"/>
                  </w:tcBorders>
                  <w:noWrap/>
                  <w:vAlign w:val="center"/>
                </w:tcPr>
                <w:p w14:paraId="6314CEF8">
                  <w:pPr>
                    <w:adjustRightInd w:val="0"/>
                    <w:snapToGrid w:val="0"/>
                    <w:spacing w:before="60" w:after="60"/>
                    <w:jc w:val="center"/>
                    <w:rPr>
                      <w:b/>
                      <w:bCs/>
                      <w:color w:val="auto"/>
                      <w:szCs w:val="21"/>
                    </w:rPr>
                  </w:pPr>
                  <w:r>
                    <w:rPr>
                      <w:b/>
                      <w:bCs/>
                      <w:color w:val="auto"/>
                      <w:szCs w:val="21"/>
                    </w:rPr>
                    <w:t>环境要素</w:t>
                  </w:r>
                </w:p>
              </w:tc>
              <w:tc>
                <w:tcPr>
                  <w:tcW w:w="1221" w:type="dxa"/>
                  <w:gridSpan w:val="2"/>
                  <w:tcBorders>
                    <w:tl2br w:val="nil"/>
                    <w:tr2bl w:val="nil"/>
                  </w:tcBorders>
                  <w:noWrap/>
                  <w:vAlign w:val="center"/>
                </w:tcPr>
                <w:p w14:paraId="2ECBD85B">
                  <w:pPr>
                    <w:adjustRightInd w:val="0"/>
                    <w:snapToGrid w:val="0"/>
                    <w:spacing w:before="60" w:after="60"/>
                    <w:jc w:val="center"/>
                    <w:rPr>
                      <w:b/>
                      <w:bCs/>
                      <w:color w:val="auto"/>
                      <w:szCs w:val="21"/>
                    </w:rPr>
                  </w:pPr>
                  <w:r>
                    <w:rPr>
                      <w:b/>
                      <w:bCs/>
                      <w:color w:val="auto"/>
                      <w:szCs w:val="21"/>
                    </w:rPr>
                    <w:t>坐标</w:t>
                  </w:r>
                </w:p>
              </w:tc>
              <w:tc>
                <w:tcPr>
                  <w:tcW w:w="654" w:type="dxa"/>
                  <w:vMerge w:val="restart"/>
                  <w:tcBorders>
                    <w:tl2br w:val="nil"/>
                    <w:tr2bl w:val="nil"/>
                  </w:tcBorders>
                  <w:noWrap/>
                  <w:vAlign w:val="center"/>
                </w:tcPr>
                <w:p w14:paraId="2618A3B0">
                  <w:pPr>
                    <w:adjustRightInd w:val="0"/>
                    <w:snapToGrid w:val="0"/>
                    <w:spacing w:before="60" w:after="60"/>
                    <w:jc w:val="center"/>
                    <w:rPr>
                      <w:b/>
                      <w:bCs/>
                      <w:color w:val="auto"/>
                      <w:szCs w:val="21"/>
                    </w:rPr>
                  </w:pPr>
                  <w:r>
                    <w:rPr>
                      <w:b/>
                      <w:bCs/>
                      <w:color w:val="auto"/>
                      <w:szCs w:val="21"/>
                    </w:rPr>
                    <w:t>保护对象</w:t>
                  </w:r>
                </w:p>
              </w:tc>
              <w:tc>
                <w:tcPr>
                  <w:tcW w:w="816" w:type="dxa"/>
                  <w:vMerge w:val="restart"/>
                  <w:tcBorders>
                    <w:tl2br w:val="nil"/>
                    <w:tr2bl w:val="nil"/>
                  </w:tcBorders>
                  <w:noWrap/>
                  <w:vAlign w:val="center"/>
                </w:tcPr>
                <w:p w14:paraId="6523A4CD">
                  <w:pPr>
                    <w:adjustRightInd w:val="0"/>
                    <w:snapToGrid w:val="0"/>
                    <w:spacing w:before="60" w:after="60"/>
                    <w:jc w:val="center"/>
                    <w:rPr>
                      <w:b/>
                      <w:bCs/>
                      <w:color w:val="auto"/>
                      <w:szCs w:val="21"/>
                    </w:rPr>
                  </w:pPr>
                  <w:r>
                    <w:rPr>
                      <w:b/>
                      <w:bCs/>
                      <w:color w:val="auto"/>
                      <w:szCs w:val="21"/>
                    </w:rPr>
                    <w:t>保护内容</w:t>
                  </w:r>
                </w:p>
              </w:tc>
              <w:tc>
                <w:tcPr>
                  <w:tcW w:w="884" w:type="dxa"/>
                  <w:vMerge w:val="restart"/>
                  <w:tcBorders>
                    <w:tl2br w:val="nil"/>
                    <w:tr2bl w:val="nil"/>
                  </w:tcBorders>
                  <w:noWrap/>
                  <w:vAlign w:val="center"/>
                </w:tcPr>
                <w:p w14:paraId="4BF7B0E3">
                  <w:pPr>
                    <w:adjustRightInd w:val="0"/>
                    <w:snapToGrid w:val="0"/>
                    <w:spacing w:before="60" w:after="60"/>
                    <w:jc w:val="center"/>
                    <w:rPr>
                      <w:b/>
                      <w:bCs/>
                      <w:color w:val="auto"/>
                      <w:szCs w:val="21"/>
                    </w:rPr>
                  </w:pPr>
                  <w:r>
                    <w:rPr>
                      <w:b/>
                      <w:bCs/>
                      <w:color w:val="auto"/>
                      <w:szCs w:val="21"/>
                    </w:rPr>
                    <w:t>规模</w:t>
                  </w:r>
                </w:p>
              </w:tc>
              <w:tc>
                <w:tcPr>
                  <w:tcW w:w="1942" w:type="dxa"/>
                  <w:vMerge w:val="restart"/>
                  <w:tcBorders>
                    <w:tl2br w:val="nil"/>
                    <w:tr2bl w:val="nil"/>
                  </w:tcBorders>
                  <w:noWrap/>
                  <w:vAlign w:val="center"/>
                </w:tcPr>
                <w:p w14:paraId="787278A6">
                  <w:pPr>
                    <w:adjustRightInd w:val="0"/>
                    <w:snapToGrid w:val="0"/>
                    <w:spacing w:before="60" w:after="60"/>
                    <w:jc w:val="center"/>
                    <w:rPr>
                      <w:b/>
                      <w:bCs/>
                      <w:color w:val="auto"/>
                      <w:szCs w:val="21"/>
                    </w:rPr>
                  </w:pPr>
                  <w:r>
                    <w:rPr>
                      <w:b/>
                      <w:bCs/>
                      <w:color w:val="auto"/>
                      <w:szCs w:val="21"/>
                    </w:rPr>
                    <w:t>环境功能区</w:t>
                  </w:r>
                </w:p>
              </w:tc>
              <w:tc>
                <w:tcPr>
                  <w:tcW w:w="602" w:type="dxa"/>
                  <w:vMerge w:val="restart"/>
                  <w:tcBorders>
                    <w:tl2br w:val="nil"/>
                    <w:tr2bl w:val="nil"/>
                  </w:tcBorders>
                  <w:noWrap/>
                  <w:vAlign w:val="center"/>
                </w:tcPr>
                <w:p w14:paraId="555ABFFD">
                  <w:pPr>
                    <w:adjustRightInd w:val="0"/>
                    <w:snapToGrid w:val="0"/>
                    <w:spacing w:before="60" w:after="60"/>
                    <w:jc w:val="center"/>
                    <w:rPr>
                      <w:b/>
                      <w:bCs/>
                      <w:color w:val="auto"/>
                      <w:szCs w:val="21"/>
                    </w:rPr>
                  </w:pPr>
                  <w:r>
                    <w:rPr>
                      <w:b/>
                      <w:bCs/>
                      <w:color w:val="auto"/>
                      <w:szCs w:val="21"/>
                    </w:rPr>
                    <w:t>相对厂址方位</w:t>
                  </w:r>
                </w:p>
              </w:tc>
              <w:tc>
                <w:tcPr>
                  <w:tcW w:w="832" w:type="dxa"/>
                  <w:vMerge w:val="restart"/>
                  <w:tcBorders>
                    <w:tl2br w:val="nil"/>
                    <w:tr2bl w:val="nil"/>
                  </w:tcBorders>
                  <w:noWrap/>
                  <w:vAlign w:val="center"/>
                </w:tcPr>
                <w:p w14:paraId="748B1536">
                  <w:pPr>
                    <w:adjustRightInd w:val="0"/>
                    <w:snapToGrid w:val="0"/>
                    <w:spacing w:before="60" w:after="60"/>
                    <w:jc w:val="center"/>
                    <w:rPr>
                      <w:b/>
                      <w:bCs/>
                      <w:color w:val="auto"/>
                      <w:szCs w:val="21"/>
                    </w:rPr>
                  </w:pPr>
                  <w:r>
                    <w:rPr>
                      <w:b/>
                      <w:bCs/>
                      <w:color w:val="auto"/>
                      <w:szCs w:val="21"/>
                    </w:rPr>
                    <w:t>相对厂址距离</w:t>
                  </w:r>
                </w:p>
                <w:p w14:paraId="61FDA816">
                  <w:pPr>
                    <w:pStyle w:val="17"/>
                    <w:adjustRightInd w:val="0"/>
                    <w:snapToGrid w:val="0"/>
                    <w:spacing w:before="60" w:after="60"/>
                    <w:ind w:left="0" w:leftChars="0" w:firstLine="0"/>
                    <w:jc w:val="center"/>
                    <w:rPr>
                      <w:rFonts w:ascii="Times New Roman" w:hAnsi="Times New Roman"/>
                      <w:b/>
                      <w:bCs/>
                      <w:color w:val="auto"/>
                      <w:szCs w:val="21"/>
                    </w:rPr>
                  </w:pPr>
                  <w:r>
                    <w:rPr>
                      <w:rFonts w:ascii="Times New Roman" w:hAnsi="Times New Roman"/>
                      <w:b/>
                      <w:bCs/>
                      <w:color w:val="auto"/>
                      <w:szCs w:val="21"/>
                    </w:rPr>
                    <w:t>（m）</w:t>
                  </w:r>
                </w:p>
              </w:tc>
            </w:tr>
            <w:tr w14:paraId="2B2E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56" w:type="dxa"/>
                  <w:vMerge w:val="continue"/>
                  <w:tcBorders>
                    <w:tl2br w:val="nil"/>
                    <w:tr2bl w:val="nil"/>
                  </w:tcBorders>
                  <w:noWrap/>
                  <w:vAlign w:val="center"/>
                </w:tcPr>
                <w:p w14:paraId="12393F77">
                  <w:pPr>
                    <w:adjustRightInd w:val="0"/>
                    <w:snapToGrid w:val="0"/>
                    <w:spacing w:before="60" w:after="60"/>
                    <w:jc w:val="center"/>
                    <w:rPr>
                      <w:color w:val="auto"/>
                      <w:szCs w:val="21"/>
                    </w:rPr>
                  </w:pPr>
                </w:p>
              </w:tc>
              <w:tc>
                <w:tcPr>
                  <w:tcW w:w="596" w:type="dxa"/>
                  <w:tcBorders>
                    <w:tl2br w:val="nil"/>
                    <w:tr2bl w:val="nil"/>
                  </w:tcBorders>
                  <w:noWrap/>
                  <w:vAlign w:val="center"/>
                </w:tcPr>
                <w:p w14:paraId="40283A8B">
                  <w:pPr>
                    <w:adjustRightInd w:val="0"/>
                    <w:snapToGrid w:val="0"/>
                    <w:spacing w:before="60" w:after="60"/>
                    <w:jc w:val="center"/>
                    <w:rPr>
                      <w:b/>
                      <w:bCs/>
                      <w:color w:val="auto"/>
                      <w:szCs w:val="21"/>
                    </w:rPr>
                  </w:pPr>
                  <w:r>
                    <w:rPr>
                      <w:b/>
                      <w:bCs/>
                      <w:color w:val="auto"/>
                      <w:szCs w:val="21"/>
                    </w:rPr>
                    <w:t>X</w:t>
                  </w:r>
                </w:p>
              </w:tc>
              <w:tc>
                <w:tcPr>
                  <w:tcW w:w="625" w:type="dxa"/>
                  <w:tcBorders>
                    <w:tl2br w:val="nil"/>
                    <w:tr2bl w:val="nil"/>
                  </w:tcBorders>
                  <w:noWrap/>
                  <w:vAlign w:val="center"/>
                </w:tcPr>
                <w:p w14:paraId="1E376D89">
                  <w:pPr>
                    <w:adjustRightInd w:val="0"/>
                    <w:snapToGrid w:val="0"/>
                    <w:spacing w:before="60" w:after="60"/>
                    <w:jc w:val="center"/>
                    <w:rPr>
                      <w:b/>
                      <w:bCs/>
                      <w:color w:val="auto"/>
                      <w:szCs w:val="21"/>
                    </w:rPr>
                  </w:pPr>
                  <w:r>
                    <w:rPr>
                      <w:b/>
                      <w:bCs/>
                      <w:color w:val="auto"/>
                      <w:szCs w:val="21"/>
                    </w:rPr>
                    <w:t>Y</w:t>
                  </w:r>
                </w:p>
              </w:tc>
              <w:tc>
                <w:tcPr>
                  <w:tcW w:w="654" w:type="dxa"/>
                  <w:vMerge w:val="continue"/>
                  <w:tcBorders>
                    <w:tl2br w:val="nil"/>
                    <w:tr2bl w:val="nil"/>
                  </w:tcBorders>
                  <w:noWrap/>
                  <w:vAlign w:val="center"/>
                </w:tcPr>
                <w:p w14:paraId="14316A37">
                  <w:pPr>
                    <w:adjustRightInd w:val="0"/>
                    <w:snapToGrid w:val="0"/>
                    <w:spacing w:before="60" w:after="60"/>
                    <w:jc w:val="center"/>
                    <w:rPr>
                      <w:color w:val="auto"/>
                      <w:szCs w:val="21"/>
                    </w:rPr>
                  </w:pPr>
                </w:p>
              </w:tc>
              <w:tc>
                <w:tcPr>
                  <w:tcW w:w="816" w:type="dxa"/>
                  <w:vMerge w:val="continue"/>
                  <w:tcBorders>
                    <w:tl2br w:val="nil"/>
                    <w:tr2bl w:val="nil"/>
                  </w:tcBorders>
                  <w:noWrap/>
                  <w:vAlign w:val="center"/>
                </w:tcPr>
                <w:p w14:paraId="64EA9250">
                  <w:pPr>
                    <w:adjustRightInd w:val="0"/>
                    <w:snapToGrid w:val="0"/>
                    <w:spacing w:before="60" w:after="60"/>
                    <w:jc w:val="center"/>
                    <w:rPr>
                      <w:color w:val="auto"/>
                      <w:szCs w:val="21"/>
                    </w:rPr>
                  </w:pPr>
                </w:p>
              </w:tc>
              <w:tc>
                <w:tcPr>
                  <w:tcW w:w="884" w:type="dxa"/>
                  <w:vMerge w:val="continue"/>
                  <w:tcBorders>
                    <w:tl2br w:val="nil"/>
                    <w:tr2bl w:val="nil"/>
                  </w:tcBorders>
                  <w:noWrap/>
                  <w:vAlign w:val="center"/>
                </w:tcPr>
                <w:p w14:paraId="6AB945F1">
                  <w:pPr>
                    <w:adjustRightInd w:val="0"/>
                    <w:snapToGrid w:val="0"/>
                    <w:spacing w:before="60" w:after="60"/>
                    <w:jc w:val="center"/>
                    <w:rPr>
                      <w:color w:val="auto"/>
                      <w:szCs w:val="21"/>
                    </w:rPr>
                  </w:pPr>
                </w:p>
              </w:tc>
              <w:tc>
                <w:tcPr>
                  <w:tcW w:w="1942" w:type="dxa"/>
                  <w:vMerge w:val="continue"/>
                  <w:tcBorders>
                    <w:tl2br w:val="nil"/>
                    <w:tr2bl w:val="nil"/>
                  </w:tcBorders>
                  <w:noWrap/>
                  <w:vAlign w:val="center"/>
                </w:tcPr>
                <w:p w14:paraId="61D1285F">
                  <w:pPr>
                    <w:adjustRightInd w:val="0"/>
                    <w:snapToGrid w:val="0"/>
                    <w:spacing w:before="60" w:after="60"/>
                    <w:jc w:val="center"/>
                    <w:rPr>
                      <w:color w:val="auto"/>
                      <w:szCs w:val="21"/>
                    </w:rPr>
                  </w:pPr>
                </w:p>
              </w:tc>
              <w:tc>
                <w:tcPr>
                  <w:tcW w:w="602" w:type="dxa"/>
                  <w:vMerge w:val="continue"/>
                  <w:tcBorders>
                    <w:tl2br w:val="nil"/>
                    <w:tr2bl w:val="nil"/>
                  </w:tcBorders>
                  <w:noWrap/>
                  <w:vAlign w:val="center"/>
                </w:tcPr>
                <w:p w14:paraId="71180584">
                  <w:pPr>
                    <w:adjustRightInd w:val="0"/>
                    <w:snapToGrid w:val="0"/>
                    <w:spacing w:before="60" w:after="60"/>
                    <w:jc w:val="center"/>
                    <w:rPr>
                      <w:color w:val="auto"/>
                      <w:szCs w:val="21"/>
                    </w:rPr>
                  </w:pPr>
                </w:p>
              </w:tc>
              <w:tc>
                <w:tcPr>
                  <w:tcW w:w="832" w:type="dxa"/>
                  <w:vMerge w:val="continue"/>
                  <w:tcBorders>
                    <w:tl2br w:val="nil"/>
                    <w:tr2bl w:val="nil"/>
                  </w:tcBorders>
                  <w:noWrap/>
                  <w:vAlign w:val="center"/>
                </w:tcPr>
                <w:p w14:paraId="76BF3FA1">
                  <w:pPr>
                    <w:adjustRightInd w:val="0"/>
                    <w:snapToGrid w:val="0"/>
                    <w:spacing w:before="60" w:after="60"/>
                    <w:jc w:val="center"/>
                    <w:rPr>
                      <w:color w:val="auto"/>
                      <w:szCs w:val="21"/>
                    </w:rPr>
                  </w:pPr>
                </w:p>
              </w:tc>
            </w:tr>
            <w:tr w14:paraId="55EB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56" w:type="dxa"/>
                  <w:tcBorders>
                    <w:tl2br w:val="nil"/>
                    <w:tr2bl w:val="nil"/>
                  </w:tcBorders>
                  <w:noWrap/>
                  <w:vAlign w:val="center"/>
                </w:tcPr>
                <w:p w14:paraId="5148776F">
                  <w:pPr>
                    <w:adjustRightInd w:val="0"/>
                    <w:snapToGrid w:val="0"/>
                    <w:spacing w:before="60" w:after="60"/>
                    <w:jc w:val="center"/>
                    <w:rPr>
                      <w:color w:val="auto"/>
                      <w:szCs w:val="21"/>
                    </w:rPr>
                  </w:pPr>
                  <w:r>
                    <w:rPr>
                      <w:color w:val="auto"/>
                      <w:szCs w:val="21"/>
                    </w:rPr>
                    <w:t>大气环境</w:t>
                  </w:r>
                </w:p>
              </w:tc>
              <w:tc>
                <w:tcPr>
                  <w:tcW w:w="596" w:type="dxa"/>
                  <w:tcBorders>
                    <w:tl2br w:val="nil"/>
                    <w:tr2bl w:val="nil"/>
                  </w:tcBorders>
                  <w:noWrap/>
                  <w:vAlign w:val="center"/>
                </w:tcPr>
                <w:p w14:paraId="20C2D4C3">
                  <w:pPr>
                    <w:adjustRightInd w:val="0"/>
                    <w:snapToGrid w:val="0"/>
                    <w:spacing w:before="60" w:after="60"/>
                    <w:jc w:val="center"/>
                    <w:rPr>
                      <w:rFonts w:hint="default" w:eastAsia="宋体"/>
                      <w:color w:val="auto"/>
                      <w:szCs w:val="21"/>
                      <w:lang w:val="en-US" w:eastAsia="zh-CN"/>
                    </w:rPr>
                  </w:pPr>
                  <w:r>
                    <w:rPr>
                      <w:rFonts w:hint="eastAsia"/>
                      <w:color w:val="auto"/>
                      <w:szCs w:val="21"/>
                      <w:lang w:val="en-US" w:eastAsia="zh-CN"/>
                    </w:rPr>
                    <w:t>-174</w:t>
                  </w:r>
                </w:p>
              </w:tc>
              <w:tc>
                <w:tcPr>
                  <w:tcW w:w="625" w:type="dxa"/>
                  <w:tcBorders>
                    <w:tl2br w:val="nil"/>
                    <w:tr2bl w:val="nil"/>
                  </w:tcBorders>
                  <w:noWrap/>
                  <w:vAlign w:val="center"/>
                </w:tcPr>
                <w:p w14:paraId="3CC64F5D">
                  <w:pPr>
                    <w:adjustRightInd w:val="0"/>
                    <w:snapToGrid w:val="0"/>
                    <w:spacing w:before="60" w:after="60"/>
                    <w:jc w:val="center"/>
                    <w:rPr>
                      <w:rFonts w:hint="default" w:eastAsia="宋体"/>
                      <w:color w:val="auto"/>
                      <w:szCs w:val="21"/>
                      <w:lang w:val="en-US" w:eastAsia="zh-CN"/>
                    </w:rPr>
                  </w:pPr>
                  <w:r>
                    <w:rPr>
                      <w:rFonts w:hint="eastAsia"/>
                      <w:color w:val="auto"/>
                      <w:szCs w:val="21"/>
                      <w:lang w:val="en-US" w:eastAsia="zh-CN"/>
                    </w:rPr>
                    <w:t>-235</w:t>
                  </w:r>
                </w:p>
              </w:tc>
              <w:tc>
                <w:tcPr>
                  <w:tcW w:w="654" w:type="dxa"/>
                  <w:tcBorders>
                    <w:tl2br w:val="nil"/>
                    <w:tr2bl w:val="nil"/>
                  </w:tcBorders>
                  <w:noWrap/>
                  <w:vAlign w:val="center"/>
                </w:tcPr>
                <w:p w14:paraId="3FB196DC">
                  <w:pPr>
                    <w:adjustRightInd w:val="0"/>
                    <w:snapToGrid w:val="0"/>
                    <w:spacing w:before="60" w:after="60"/>
                    <w:jc w:val="center"/>
                    <w:rPr>
                      <w:rFonts w:hint="eastAsia" w:eastAsia="宋体"/>
                      <w:color w:val="auto"/>
                      <w:szCs w:val="21"/>
                      <w:lang w:eastAsia="zh-CN"/>
                    </w:rPr>
                  </w:pPr>
                  <w:r>
                    <w:rPr>
                      <w:rFonts w:hint="eastAsia"/>
                      <w:color w:val="auto"/>
                      <w:szCs w:val="21"/>
                      <w:lang w:eastAsia="zh-CN"/>
                    </w:rPr>
                    <w:t>陶新庄</w:t>
                  </w:r>
                </w:p>
              </w:tc>
              <w:tc>
                <w:tcPr>
                  <w:tcW w:w="816" w:type="dxa"/>
                  <w:tcBorders>
                    <w:tl2br w:val="nil"/>
                    <w:tr2bl w:val="nil"/>
                  </w:tcBorders>
                  <w:noWrap/>
                  <w:vAlign w:val="center"/>
                </w:tcPr>
                <w:p w14:paraId="574DA002">
                  <w:pPr>
                    <w:adjustRightInd w:val="0"/>
                    <w:snapToGrid w:val="0"/>
                    <w:spacing w:before="60" w:after="60"/>
                    <w:jc w:val="center"/>
                    <w:rPr>
                      <w:color w:val="auto"/>
                      <w:szCs w:val="21"/>
                    </w:rPr>
                  </w:pPr>
                  <w:r>
                    <w:rPr>
                      <w:color w:val="auto"/>
                      <w:szCs w:val="21"/>
                    </w:rPr>
                    <w:t>居民区</w:t>
                  </w:r>
                </w:p>
              </w:tc>
              <w:tc>
                <w:tcPr>
                  <w:tcW w:w="884" w:type="dxa"/>
                  <w:tcBorders>
                    <w:tl2br w:val="nil"/>
                    <w:tr2bl w:val="nil"/>
                  </w:tcBorders>
                  <w:noWrap/>
                  <w:vAlign w:val="center"/>
                </w:tcPr>
                <w:p w14:paraId="40E82F0F">
                  <w:pPr>
                    <w:adjustRightInd w:val="0"/>
                    <w:snapToGrid w:val="0"/>
                    <w:spacing w:before="60" w:after="60"/>
                    <w:jc w:val="center"/>
                    <w:rPr>
                      <w:color w:val="auto"/>
                      <w:szCs w:val="21"/>
                    </w:rPr>
                  </w:pPr>
                  <w:r>
                    <w:rPr>
                      <w:rFonts w:hint="eastAsia"/>
                      <w:color w:val="auto"/>
                      <w:szCs w:val="21"/>
                    </w:rPr>
                    <w:t>280</w:t>
                  </w:r>
                  <w:r>
                    <w:rPr>
                      <w:color w:val="auto"/>
                      <w:szCs w:val="21"/>
                    </w:rPr>
                    <w:t>人</w:t>
                  </w:r>
                </w:p>
              </w:tc>
              <w:tc>
                <w:tcPr>
                  <w:tcW w:w="1942" w:type="dxa"/>
                  <w:tcBorders>
                    <w:tl2br w:val="nil"/>
                    <w:tr2bl w:val="nil"/>
                  </w:tcBorders>
                  <w:noWrap/>
                  <w:vAlign w:val="center"/>
                </w:tcPr>
                <w:p w14:paraId="208DC909">
                  <w:pPr>
                    <w:adjustRightInd w:val="0"/>
                    <w:snapToGrid w:val="0"/>
                    <w:spacing w:before="60" w:after="60"/>
                    <w:jc w:val="center"/>
                    <w:rPr>
                      <w:color w:val="auto"/>
                      <w:szCs w:val="21"/>
                    </w:rPr>
                  </w:pPr>
                  <w:r>
                    <w:rPr>
                      <w:color w:val="auto"/>
                      <w:szCs w:val="21"/>
                    </w:rPr>
                    <w:t>《环境空气质量标准》（GB3095-2012）二</w:t>
                  </w:r>
                  <w:r>
                    <w:rPr>
                      <w:color w:val="auto"/>
                      <w:szCs w:val="21"/>
                    </w:rPr>
                    <w:cr/>
                  </w:r>
                  <w:r>
                    <w:rPr>
                      <w:color w:val="auto"/>
                      <w:szCs w:val="21"/>
                    </w:rPr>
                    <w:t>级标准</w:t>
                  </w:r>
                </w:p>
              </w:tc>
              <w:tc>
                <w:tcPr>
                  <w:tcW w:w="602" w:type="dxa"/>
                  <w:tcBorders>
                    <w:tl2br w:val="nil"/>
                    <w:tr2bl w:val="nil"/>
                  </w:tcBorders>
                  <w:noWrap/>
                  <w:vAlign w:val="center"/>
                </w:tcPr>
                <w:p w14:paraId="2B001E35">
                  <w:pPr>
                    <w:adjustRightInd w:val="0"/>
                    <w:snapToGrid w:val="0"/>
                    <w:spacing w:before="60" w:after="60"/>
                    <w:jc w:val="center"/>
                    <w:rPr>
                      <w:rFonts w:hint="default" w:eastAsia="宋体"/>
                      <w:color w:val="auto"/>
                      <w:szCs w:val="21"/>
                      <w:lang w:val="en-US" w:eastAsia="zh-CN"/>
                    </w:rPr>
                  </w:pPr>
                  <w:r>
                    <w:rPr>
                      <w:rFonts w:hint="eastAsia"/>
                      <w:color w:val="auto"/>
                      <w:szCs w:val="21"/>
                      <w:lang w:val="en-US" w:eastAsia="zh-CN"/>
                    </w:rPr>
                    <w:t>NW</w:t>
                  </w:r>
                </w:p>
              </w:tc>
              <w:tc>
                <w:tcPr>
                  <w:tcW w:w="832" w:type="dxa"/>
                  <w:tcBorders>
                    <w:tl2br w:val="nil"/>
                    <w:tr2bl w:val="nil"/>
                  </w:tcBorders>
                  <w:noWrap/>
                  <w:vAlign w:val="center"/>
                </w:tcPr>
                <w:p w14:paraId="1D7429B3">
                  <w:pPr>
                    <w:adjustRightInd w:val="0"/>
                    <w:snapToGrid w:val="0"/>
                    <w:spacing w:before="60" w:after="60"/>
                    <w:jc w:val="center"/>
                    <w:rPr>
                      <w:rFonts w:hint="default" w:eastAsia="宋体"/>
                      <w:color w:val="auto"/>
                      <w:szCs w:val="21"/>
                      <w:lang w:val="en-US" w:eastAsia="zh-CN"/>
                    </w:rPr>
                  </w:pPr>
                  <w:r>
                    <w:rPr>
                      <w:rFonts w:hint="eastAsia"/>
                      <w:color w:val="auto"/>
                      <w:szCs w:val="21"/>
                      <w:lang w:val="en-US" w:eastAsia="zh-CN"/>
                    </w:rPr>
                    <w:t>300</w:t>
                  </w:r>
                </w:p>
              </w:tc>
            </w:tr>
            <w:tr w14:paraId="66F0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56" w:type="dxa"/>
                  <w:tcBorders>
                    <w:tl2br w:val="nil"/>
                    <w:tr2bl w:val="nil"/>
                  </w:tcBorders>
                  <w:noWrap/>
                  <w:vAlign w:val="center"/>
                </w:tcPr>
                <w:p w14:paraId="4FFC403C">
                  <w:pPr>
                    <w:adjustRightInd w:val="0"/>
                    <w:snapToGrid w:val="0"/>
                    <w:spacing w:before="60" w:after="60"/>
                    <w:jc w:val="center"/>
                    <w:rPr>
                      <w:color w:val="auto"/>
                      <w:szCs w:val="21"/>
                    </w:rPr>
                  </w:pPr>
                  <w:r>
                    <w:rPr>
                      <w:color w:val="auto"/>
                      <w:szCs w:val="21"/>
                    </w:rPr>
                    <w:t>声环境</w:t>
                  </w:r>
                </w:p>
              </w:tc>
              <w:tc>
                <w:tcPr>
                  <w:tcW w:w="596" w:type="dxa"/>
                  <w:tcBorders>
                    <w:tl2br w:val="nil"/>
                    <w:tr2bl w:val="nil"/>
                  </w:tcBorders>
                  <w:noWrap/>
                  <w:vAlign w:val="center"/>
                </w:tcPr>
                <w:p w14:paraId="0ED16490">
                  <w:pPr>
                    <w:adjustRightInd w:val="0"/>
                    <w:snapToGrid w:val="0"/>
                    <w:spacing w:before="60" w:after="60"/>
                    <w:jc w:val="center"/>
                    <w:rPr>
                      <w:color w:val="auto"/>
                      <w:szCs w:val="21"/>
                    </w:rPr>
                  </w:pPr>
                  <w:r>
                    <w:rPr>
                      <w:color w:val="auto"/>
                      <w:szCs w:val="21"/>
                    </w:rPr>
                    <w:t>/</w:t>
                  </w:r>
                </w:p>
              </w:tc>
              <w:tc>
                <w:tcPr>
                  <w:tcW w:w="625" w:type="dxa"/>
                  <w:tcBorders>
                    <w:tl2br w:val="nil"/>
                    <w:tr2bl w:val="nil"/>
                  </w:tcBorders>
                  <w:noWrap/>
                  <w:vAlign w:val="center"/>
                </w:tcPr>
                <w:p w14:paraId="03CD08B1">
                  <w:pPr>
                    <w:adjustRightInd w:val="0"/>
                    <w:snapToGrid w:val="0"/>
                    <w:spacing w:before="60" w:after="60"/>
                    <w:jc w:val="center"/>
                    <w:rPr>
                      <w:color w:val="auto"/>
                      <w:szCs w:val="21"/>
                    </w:rPr>
                  </w:pPr>
                  <w:r>
                    <w:rPr>
                      <w:color w:val="auto"/>
                      <w:szCs w:val="21"/>
                    </w:rPr>
                    <w:t>/</w:t>
                  </w:r>
                </w:p>
              </w:tc>
              <w:tc>
                <w:tcPr>
                  <w:tcW w:w="654" w:type="dxa"/>
                  <w:tcBorders>
                    <w:tl2br w:val="nil"/>
                    <w:tr2bl w:val="nil"/>
                  </w:tcBorders>
                  <w:noWrap/>
                  <w:vAlign w:val="center"/>
                </w:tcPr>
                <w:p w14:paraId="34407F5A">
                  <w:pPr>
                    <w:adjustRightInd w:val="0"/>
                    <w:snapToGrid w:val="0"/>
                    <w:spacing w:before="60" w:after="60"/>
                    <w:jc w:val="center"/>
                    <w:rPr>
                      <w:color w:val="auto"/>
                      <w:szCs w:val="21"/>
                    </w:rPr>
                  </w:pPr>
                  <w:r>
                    <w:rPr>
                      <w:color w:val="auto"/>
                      <w:szCs w:val="21"/>
                    </w:rPr>
                    <w:t>厂界外1m</w:t>
                  </w:r>
                </w:p>
              </w:tc>
              <w:tc>
                <w:tcPr>
                  <w:tcW w:w="816" w:type="dxa"/>
                  <w:tcBorders>
                    <w:tl2br w:val="nil"/>
                    <w:tr2bl w:val="nil"/>
                  </w:tcBorders>
                  <w:noWrap/>
                  <w:vAlign w:val="center"/>
                </w:tcPr>
                <w:p w14:paraId="482CEF1E">
                  <w:pPr>
                    <w:adjustRightInd w:val="0"/>
                    <w:snapToGrid w:val="0"/>
                    <w:spacing w:before="60" w:after="60"/>
                    <w:jc w:val="center"/>
                    <w:rPr>
                      <w:color w:val="auto"/>
                      <w:szCs w:val="21"/>
                    </w:rPr>
                  </w:pPr>
                  <w:r>
                    <w:rPr>
                      <w:color w:val="auto"/>
                      <w:szCs w:val="21"/>
                    </w:rPr>
                    <w:t>/</w:t>
                  </w:r>
                </w:p>
              </w:tc>
              <w:tc>
                <w:tcPr>
                  <w:tcW w:w="884" w:type="dxa"/>
                  <w:tcBorders>
                    <w:tl2br w:val="nil"/>
                    <w:tr2bl w:val="nil"/>
                  </w:tcBorders>
                  <w:noWrap/>
                  <w:vAlign w:val="center"/>
                </w:tcPr>
                <w:p w14:paraId="21495133">
                  <w:pPr>
                    <w:adjustRightInd w:val="0"/>
                    <w:snapToGrid w:val="0"/>
                    <w:spacing w:before="60" w:after="60"/>
                    <w:jc w:val="center"/>
                    <w:rPr>
                      <w:color w:val="auto"/>
                      <w:szCs w:val="21"/>
                    </w:rPr>
                  </w:pPr>
                  <w:r>
                    <w:rPr>
                      <w:color w:val="auto"/>
                      <w:szCs w:val="21"/>
                    </w:rPr>
                    <w:t>/</w:t>
                  </w:r>
                </w:p>
              </w:tc>
              <w:tc>
                <w:tcPr>
                  <w:tcW w:w="1942" w:type="dxa"/>
                  <w:tcBorders>
                    <w:tl2br w:val="nil"/>
                    <w:tr2bl w:val="nil"/>
                  </w:tcBorders>
                  <w:noWrap/>
                  <w:vAlign w:val="center"/>
                </w:tcPr>
                <w:p w14:paraId="2923B064">
                  <w:pPr>
                    <w:adjustRightInd w:val="0"/>
                    <w:snapToGrid w:val="0"/>
                    <w:spacing w:before="60" w:after="60"/>
                    <w:jc w:val="center"/>
                    <w:rPr>
                      <w:color w:val="auto"/>
                      <w:szCs w:val="21"/>
                    </w:rPr>
                  </w:pPr>
                  <w:r>
                    <w:rPr>
                      <w:color w:val="auto"/>
                      <w:szCs w:val="21"/>
                    </w:rPr>
                    <w:t>声环境质量标准（GB3096-2008）中2类标准</w:t>
                  </w:r>
                </w:p>
              </w:tc>
              <w:tc>
                <w:tcPr>
                  <w:tcW w:w="602" w:type="dxa"/>
                  <w:tcBorders>
                    <w:tl2br w:val="nil"/>
                    <w:tr2bl w:val="nil"/>
                  </w:tcBorders>
                  <w:noWrap/>
                  <w:vAlign w:val="center"/>
                </w:tcPr>
                <w:p w14:paraId="670B0857">
                  <w:pPr>
                    <w:adjustRightInd w:val="0"/>
                    <w:snapToGrid w:val="0"/>
                    <w:spacing w:before="60" w:after="60"/>
                    <w:jc w:val="center"/>
                    <w:rPr>
                      <w:color w:val="auto"/>
                      <w:szCs w:val="21"/>
                    </w:rPr>
                  </w:pPr>
                  <w:r>
                    <w:rPr>
                      <w:color w:val="auto"/>
                      <w:szCs w:val="21"/>
                    </w:rPr>
                    <w:t>/</w:t>
                  </w:r>
                </w:p>
              </w:tc>
              <w:tc>
                <w:tcPr>
                  <w:tcW w:w="832" w:type="dxa"/>
                  <w:tcBorders>
                    <w:tl2br w:val="nil"/>
                    <w:tr2bl w:val="nil"/>
                  </w:tcBorders>
                  <w:noWrap/>
                  <w:vAlign w:val="center"/>
                </w:tcPr>
                <w:p w14:paraId="3C91978B">
                  <w:pPr>
                    <w:adjustRightInd w:val="0"/>
                    <w:snapToGrid w:val="0"/>
                    <w:spacing w:before="60" w:after="60"/>
                    <w:jc w:val="center"/>
                    <w:rPr>
                      <w:color w:val="auto"/>
                      <w:szCs w:val="21"/>
                    </w:rPr>
                  </w:pPr>
                  <w:r>
                    <w:rPr>
                      <w:color w:val="auto"/>
                      <w:szCs w:val="21"/>
                    </w:rPr>
                    <w:t>/</w:t>
                  </w:r>
                </w:p>
              </w:tc>
            </w:tr>
            <w:tr w14:paraId="73CA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556" w:type="dxa"/>
                  <w:tcBorders>
                    <w:tl2br w:val="nil"/>
                    <w:tr2bl w:val="nil"/>
                  </w:tcBorders>
                  <w:noWrap/>
                  <w:vAlign w:val="center"/>
                </w:tcPr>
                <w:p w14:paraId="6C2FEB3D">
                  <w:pPr>
                    <w:adjustRightInd w:val="0"/>
                    <w:snapToGrid w:val="0"/>
                    <w:spacing w:before="60" w:after="60"/>
                    <w:jc w:val="center"/>
                    <w:rPr>
                      <w:color w:val="auto"/>
                      <w:szCs w:val="21"/>
                    </w:rPr>
                  </w:pPr>
                  <w:r>
                    <w:rPr>
                      <w:color w:val="auto"/>
                      <w:szCs w:val="21"/>
                    </w:rPr>
                    <w:t>地表水环境</w:t>
                  </w:r>
                </w:p>
              </w:tc>
              <w:tc>
                <w:tcPr>
                  <w:tcW w:w="596" w:type="dxa"/>
                  <w:tcBorders>
                    <w:tl2br w:val="nil"/>
                    <w:tr2bl w:val="nil"/>
                  </w:tcBorders>
                  <w:noWrap/>
                  <w:vAlign w:val="center"/>
                </w:tcPr>
                <w:p w14:paraId="63AC635D">
                  <w:pPr>
                    <w:adjustRightInd w:val="0"/>
                    <w:snapToGrid w:val="0"/>
                    <w:spacing w:before="60" w:after="60"/>
                    <w:jc w:val="center"/>
                    <w:rPr>
                      <w:color w:val="auto"/>
                      <w:szCs w:val="21"/>
                    </w:rPr>
                  </w:pPr>
                  <w:r>
                    <w:rPr>
                      <w:color w:val="auto"/>
                      <w:szCs w:val="21"/>
                    </w:rPr>
                    <w:t>/</w:t>
                  </w:r>
                </w:p>
              </w:tc>
              <w:tc>
                <w:tcPr>
                  <w:tcW w:w="625" w:type="dxa"/>
                  <w:tcBorders>
                    <w:tl2br w:val="nil"/>
                    <w:tr2bl w:val="nil"/>
                  </w:tcBorders>
                  <w:noWrap/>
                  <w:vAlign w:val="center"/>
                </w:tcPr>
                <w:p w14:paraId="53E38F5C">
                  <w:pPr>
                    <w:adjustRightInd w:val="0"/>
                    <w:snapToGrid w:val="0"/>
                    <w:spacing w:before="60" w:after="60"/>
                    <w:jc w:val="center"/>
                    <w:rPr>
                      <w:color w:val="auto"/>
                      <w:szCs w:val="21"/>
                    </w:rPr>
                  </w:pPr>
                  <w:r>
                    <w:rPr>
                      <w:color w:val="auto"/>
                      <w:szCs w:val="21"/>
                    </w:rPr>
                    <w:t>/</w:t>
                  </w:r>
                </w:p>
              </w:tc>
              <w:tc>
                <w:tcPr>
                  <w:tcW w:w="654" w:type="dxa"/>
                  <w:tcBorders>
                    <w:tl2br w:val="nil"/>
                    <w:tr2bl w:val="nil"/>
                  </w:tcBorders>
                  <w:noWrap/>
                  <w:vAlign w:val="center"/>
                </w:tcPr>
                <w:p w14:paraId="34C18439">
                  <w:pPr>
                    <w:adjustRightInd w:val="0"/>
                    <w:snapToGrid w:val="0"/>
                    <w:spacing w:before="60" w:after="60"/>
                    <w:jc w:val="center"/>
                    <w:rPr>
                      <w:color w:val="auto"/>
                      <w:szCs w:val="21"/>
                    </w:rPr>
                  </w:pPr>
                  <w:r>
                    <w:rPr>
                      <w:color w:val="auto"/>
                      <w:szCs w:val="21"/>
                    </w:rPr>
                    <w:t>淮河</w:t>
                  </w:r>
                </w:p>
              </w:tc>
              <w:tc>
                <w:tcPr>
                  <w:tcW w:w="816" w:type="dxa"/>
                  <w:tcBorders>
                    <w:tl2br w:val="nil"/>
                    <w:tr2bl w:val="nil"/>
                  </w:tcBorders>
                  <w:noWrap/>
                  <w:vAlign w:val="center"/>
                </w:tcPr>
                <w:p w14:paraId="28F4E888">
                  <w:pPr>
                    <w:adjustRightInd w:val="0"/>
                    <w:snapToGrid w:val="0"/>
                    <w:spacing w:before="60" w:after="60"/>
                    <w:jc w:val="center"/>
                    <w:rPr>
                      <w:color w:val="auto"/>
                      <w:szCs w:val="21"/>
                    </w:rPr>
                  </w:pPr>
                  <w:r>
                    <w:rPr>
                      <w:color w:val="auto"/>
                      <w:szCs w:val="21"/>
                    </w:rPr>
                    <w:t>/</w:t>
                  </w:r>
                </w:p>
              </w:tc>
              <w:tc>
                <w:tcPr>
                  <w:tcW w:w="884" w:type="dxa"/>
                  <w:tcBorders>
                    <w:tl2br w:val="nil"/>
                    <w:tr2bl w:val="nil"/>
                  </w:tcBorders>
                  <w:noWrap/>
                  <w:vAlign w:val="center"/>
                </w:tcPr>
                <w:p w14:paraId="3F25F29C">
                  <w:pPr>
                    <w:adjustRightInd w:val="0"/>
                    <w:snapToGrid w:val="0"/>
                    <w:spacing w:before="60" w:after="60"/>
                    <w:jc w:val="center"/>
                    <w:rPr>
                      <w:color w:val="auto"/>
                      <w:szCs w:val="21"/>
                    </w:rPr>
                  </w:pPr>
                  <w:r>
                    <w:rPr>
                      <w:color w:val="auto"/>
                      <w:szCs w:val="21"/>
                    </w:rPr>
                    <w:t>/</w:t>
                  </w:r>
                </w:p>
              </w:tc>
              <w:tc>
                <w:tcPr>
                  <w:tcW w:w="1942" w:type="dxa"/>
                  <w:tcBorders>
                    <w:tl2br w:val="nil"/>
                    <w:tr2bl w:val="nil"/>
                  </w:tcBorders>
                  <w:noWrap/>
                  <w:vAlign w:val="center"/>
                </w:tcPr>
                <w:p w14:paraId="59B8B737">
                  <w:pPr>
                    <w:adjustRightInd w:val="0"/>
                    <w:snapToGrid w:val="0"/>
                    <w:spacing w:before="60" w:after="60"/>
                    <w:jc w:val="center"/>
                    <w:rPr>
                      <w:color w:val="auto"/>
                      <w:szCs w:val="21"/>
                    </w:rPr>
                  </w:pPr>
                  <w:r>
                    <w:rPr>
                      <w:color w:val="auto"/>
                      <w:szCs w:val="21"/>
                    </w:rPr>
                    <w:t>《地表水环境质量标准》</w:t>
                  </w:r>
                </w:p>
                <w:p w14:paraId="59337FFD">
                  <w:pPr>
                    <w:adjustRightInd w:val="0"/>
                    <w:snapToGrid w:val="0"/>
                    <w:spacing w:before="60" w:after="60"/>
                    <w:jc w:val="center"/>
                    <w:rPr>
                      <w:color w:val="auto"/>
                      <w:szCs w:val="21"/>
                    </w:rPr>
                  </w:pPr>
                  <w:r>
                    <w:rPr>
                      <w:color w:val="auto"/>
                      <w:szCs w:val="21"/>
                    </w:rPr>
                    <w:t>（GB3838-2002） 中Ⅲ类标准</w:t>
                  </w:r>
                </w:p>
              </w:tc>
              <w:tc>
                <w:tcPr>
                  <w:tcW w:w="602" w:type="dxa"/>
                  <w:tcBorders>
                    <w:tl2br w:val="nil"/>
                    <w:tr2bl w:val="nil"/>
                  </w:tcBorders>
                  <w:noWrap/>
                  <w:vAlign w:val="center"/>
                </w:tcPr>
                <w:p w14:paraId="25BFA170">
                  <w:pPr>
                    <w:adjustRightInd w:val="0"/>
                    <w:snapToGrid w:val="0"/>
                    <w:spacing w:before="60" w:after="60"/>
                    <w:jc w:val="center"/>
                    <w:rPr>
                      <w:color w:val="auto"/>
                      <w:szCs w:val="21"/>
                    </w:rPr>
                  </w:pPr>
                  <w:r>
                    <w:rPr>
                      <w:color w:val="auto"/>
                      <w:szCs w:val="21"/>
                    </w:rPr>
                    <w:t>S</w:t>
                  </w:r>
                </w:p>
              </w:tc>
              <w:tc>
                <w:tcPr>
                  <w:tcW w:w="832" w:type="dxa"/>
                  <w:tcBorders>
                    <w:tl2br w:val="nil"/>
                    <w:tr2bl w:val="nil"/>
                  </w:tcBorders>
                  <w:noWrap/>
                  <w:vAlign w:val="center"/>
                </w:tcPr>
                <w:p w14:paraId="6092C9E9">
                  <w:pPr>
                    <w:adjustRightInd w:val="0"/>
                    <w:snapToGrid w:val="0"/>
                    <w:spacing w:before="60" w:after="60"/>
                    <w:jc w:val="center"/>
                    <w:rPr>
                      <w:rFonts w:hint="default" w:eastAsia="宋体"/>
                      <w:color w:val="auto"/>
                      <w:szCs w:val="21"/>
                      <w:lang w:val="en-US" w:eastAsia="zh-CN"/>
                    </w:rPr>
                  </w:pPr>
                  <w:r>
                    <w:rPr>
                      <w:rFonts w:hint="eastAsia"/>
                      <w:color w:val="auto"/>
                      <w:szCs w:val="21"/>
                      <w:lang w:val="en-US" w:eastAsia="zh-CN"/>
                    </w:rPr>
                    <w:t>2480</w:t>
                  </w:r>
                </w:p>
              </w:tc>
            </w:tr>
          </w:tbl>
          <w:p w14:paraId="2FFAEC0E">
            <w:pPr>
              <w:widowControl/>
              <w:jc w:val="center"/>
              <w:rPr>
                <w:color w:val="auto"/>
              </w:rPr>
            </w:pPr>
          </w:p>
          <w:p w14:paraId="55F884E8">
            <w:pPr>
              <w:widowControl/>
              <w:jc w:val="center"/>
              <w:rPr>
                <w:rFonts w:hint="eastAsia"/>
                <w:color w:val="auto"/>
                <w:lang w:val="en-US" w:eastAsia="zh-CN"/>
              </w:rPr>
            </w:pPr>
          </w:p>
          <w:p w14:paraId="71A860E3">
            <w:pPr>
              <w:widowControl/>
              <w:jc w:val="center"/>
              <w:rPr>
                <w:rFonts w:hint="eastAsia"/>
                <w:color w:val="auto"/>
                <w:lang w:val="en-US" w:eastAsia="zh-CN"/>
              </w:rPr>
            </w:pPr>
          </w:p>
          <w:p w14:paraId="4AE330AF">
            <w:pPr>
              <w:widowControl/>
              <w:jc w:val="center"/>
              <w:rPr>
                <w:rFonts w:hint="eastAsia"/>
                <w:color w:val="auto"/>
                <w:lang w:val="en-US" w:eastAsia="zh-CN"/>
              </w:rPr>
            </w:pPr>
          </w:p>
          <w:p w14:paraId="031F3D2A">
            <w:pPr>
              <w:widowControl/>
              <w:jc w:val="center"/>
              <w:rPr>
                <w:rFonts w:hint="eastAsia"/>
                <w:color w:val="auto"/>
                <w:lang w:val="en-US" w:eastAsia="zh-CN"/>
              </w:rPr>
            </w:pPr>
          </w:p>
          <w:p w14:paraId="5F5AEC55">
            <w:pPr>
              <w:widowControl/>
              <w:jc w:val="center"/>
              <w:rPr>
                <w:rFonts w:hint="eastAsia"/>
                <w:color w:val="auto"/>
                <w:lang w:val="en-US" w:eastAsia="zh-CN"/>
              </w:rPr>
            </w:pPr>
          </w:p>
          <w:p w14:paraId="22A0DE31">
            <w:pPr>
              <w:widowControl/>
              <w:jc w:val="center"/>
              <w:rPr>
                <w:rFonts w:hint="eastAsia"/>
                <w:color w:val="auto"/>
                <w:lang w:val="en-US" w:eastAsia="zh-CN"/>
              </w:rPr>
            </w:pPr>
          </w:p>
          <w:p w14:paraId="696223B4">
            <w:pPr>
              <w:widowControl/>
              <w:jc w:val="center"/>
              <w:rPr>
                <w:rFonts w:hint="eastAsia"/>
                <w:color w:val="auto"/>
                <w:lang w:val="en-US" w:eastAsia="zh-CN"/>
              </w:rPr>
            </w:pPr>
          </w:p>
          <w:p w14:paraId="459D3D92">
            <w:pPr>
              <w:widowControl/>
              <w:jc w:val="center"/>
              <w:rPr>
                <w:rFonts w:hint="eastAsia"/>
                <w:color w:val="auto"/>
                <w:lang w:val="en-US" w:eastAsia="zh-CN"/>
              </w:rPr>
            </w:pPr>
          </w:p>
          <w:p w14:paraId="3983B803">
            <w:pPr>
              <w:widowControl/>
              <w:jc w:val="center"/>
              <w:rPr>
                <w:rFonts w:hint="eastAsia"/>
                <w:color w:val="auto"/>
                <w:lang w:val="en-US" w:eastAsia="zh-CN"/>
              </w:rPr>
            </w:pPr>
          </w:p>
          <w:p w14:paraId="46B81237">
            <w:pPr>
              <w:widowControl/>
              <w:jc w:val="center"/>
              <w:rPr>
                <w:rFonts w:hint="eastAsia"/>
                <w:color w:val="auto"/>
                <w:lang w:val="en-US" w:eastAsia="zh-CN"/>
              </w:rPr>
            </w:pPr>
          </w:p>
          <w:p w14:paraId="30130293">
            <w:pPr>
              <w:widowControl/>
              <w:jc w:val="center"/>
              <w:rPr>
                <w:rFonts w:hint="eastAsia"/>
                <w:color w:val="auto"/>
                <w:lang w:val="en-US" w:eastAsia="zh-CN"/>
              </w:rPr>
            </w:pPr>
          </w:p>
          <w:p w14:paraId="0B990FD4">
            <w:pPr>
              <w:widowControl/>
              <w:jc w:val="center"/>
              <w:rPr>
                <w:rFonts w:hint="eastAsia"/>
                <w:color w:val="auto"/>
                <w:lang w:val="en-US" w:eastAsia="zh-CN"/>
              </w:rPr>
            </w:pPr>
          </w:p>
          <w:p w14:paraId="28937037">
            <w:pPr>
              <w:widowControl/>
              <w:jc w:val="center"/>
              <w:rPr>
                <w:rFonts w:hint="eastAsia"/>
                <w:color w:val="auto"/>
                <w:lang w:val="en-US" w:eastAsia="zh-CN"/>
              </w:rPr>
            </w:pPr>
          </w:p>
          <w:p w14:paraId="44CCDB66">
            <w:pPr>
              <w:widowControl/>
              <w:jc w:val="center"/>
              <w:rPr>
                <w:rFonts w:hint="eastAsia"/>
                <w:color w:val="auto"/>
                <w:lang w:val="en-US" w:eastAsia="zh-CN"/>
              </w:rPr>
            </w:pPr>
          </w:p>
          <w:p w14:paraId="02B53291">
            <w:pPr>
              <w:widowControl/>
              <w:jc w:val="center"/>
              <w:rPr>
                <w:rFonts w:hint="eastAsia"/>
                <w:color w:val="auto"/>
                <w:lang w:val="en-US" w:eastAsia="zh-CN"/>
              </w:rPr>
            </w:pPr>
          </w:p>
          <w:p w14:paraId="0C40C5C1">
            <w:pPr>
              <w:widowControl/>
              <w:jc w:val="center"/>
              <w:rPr>
                <w:rFonts w:hint="eastAsia" w:eastAsia="宋体"/>
                <w:color w:val="auto"/>
                <w:lang w:val="en-US" w:eastAsia="zh-CN"/>
              </w:rPr>
            </w:pPr>
          </w:p>
        </w:tc>
      </w:tr>
      <w:tr w14:paraId="6531A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tcMar>
              <w:left w:w="28" w:type="dxa"/>
              <w:right w:w="28" w:type="dxa"/>
            </w:tcMar>
            <w:vAlign w:val="center"/>
          </w:tcPr>
          <w:p w14:paraId="4D391C47">
            <w:pPr>
              <w:adjustRightInd w:val="0"/>
              <w:snapToGrid w:val="0"/>
              <w:jc w:val="center"/>
              <w:rPr>
                <w:color w:val="auto"/>
                <w:kern w:val="21"/>
                <w:szCs w:val="21"/>
              </w:rPr>
            </w:pPr>
            <w:r>
              <w:rPr>
                <w:b/>
                <w:bCs/>
                <w:color w:val="auto"/>
                <w:kern w:val="21"/>
                <w:sz w:val="24"/>
              </w:rPr>
              <w:t>污染物排放控制标准</w:t>
            </w:r>
          </w:p>
        </w:tc>
        <w:tc>
          <w:tcPr>
            <w:tcW w:w="7736" w:type="dxa"/>
            <w:vAlign w:val="center"/>
          </w:tcPr>
          <w:p w14:paraId="1452C87B">
            <w:pPr>
              <w:widowControl/>
              <w:spacing w:beforeLines="50" w:line="360" w:lineRule="auto"/>
              <w:jc w:val="left"/>
              <w:rPr>
                <w:b/>
                <w:bCs/>
                <w:color w:val="auto"/>
                <w:sz w:val="24"/>
              </w:rPr>
            </w:pPr>
            <w:r>
              <w:rPr>
                <w:rFonts w:hint="eastAsia"/>
                <w:b/>
                <w:bCs/>
                <w:color w:val="auto"/>
                <w:sz w:val="24"/>
              </w:rPr>
              <w:t>一、</w:t>
            </w:r>
            <w:r>
              <w:rPr>
                <w:b/>
                <w:bCs/>
                <w:color w:val="auto"/>
                <w:sz w:val="24"/>
              </w:rPr>
              <w:t>废气排放标准</w:t>
            </w:r>
          </w:p>
          <w:p w14:paraId="7F311CEE">
            <w:pPr>
              <w:spacing w:line="360" w:lineRule="auto"/>
              <w:ind w:firstLine="480" w:firstLineChars="200"/>
              <w:rPr>
                <w:color w:val="auto"/>
                <w:sz w:val="24"/>
              </w:rPr>
            </w:pPr>
            <w:r>
              <w:rPr>
                <w:color w:val="auto"/>
                <w:sz w:val="24"/>
              </w:rPr>
              <w:t>本项目</w:t>
            </w:r>
            <w:r>
              <w:rPr>
                <w:rFonts w:hint="eastAsia"/>
                <w:color w:val="auto"/>
                <w:sz w:val="24"/>
                <w:lang w:eastAsia="zh-CN"/>
              </w:rPr>
              <w:t>沼气锅炉</w:t>
            </w:r>
            <w:r>
              <w:rPr>
                <w:rFonts w:hint="eastAsia"/>
                <w:color w:val="auto"/>
                <w:sz w:val="24"/>
              </w:rPr>
              <w:t>燃烧废气</w:t>
            </w:r>
            <w:r>
              <w:rPr>
                <w:rFonts w:hint="eastAsia"/>
                <w:color w:val="auto"/>
                <w:sz w:val="24"/>
                <w:lang w:val="en-US" w:eastAsia="zh-CN"/>
              </w:rPr>
              <w:t>参照</w:t>
            </w:r>
            <w:r>
              <w:rPr>
                <w:rFonts w:hint="eastAsia"/>
                <w:color w:val="auto"/>
                <w:sz w:val="24"/>
              </w:rPr>
              <w:t>执行《锅炉大气污染物排放标准》（GB13271-2014）表3中燃气锅炉特别排放限值；氮氧化物执行《淮南市大气环境质量限期达标规划》（淮府办秘〔2022〕10号）中规定的50mg/m</w:t>
            </w:r>
            <w:r>
              <w:rPr>
                <w:rFonts w:hint="eastAsia"/>
                <w:color w:val="auto"/>
                <w:sz w:val="24"/>
                <w:vertAlign w:val="superscript"/>
                <w:lang w:val="en-US" w:eastAsia="zh-CN"/>
              </w:rPr>
              <w:t>3</w:t>
            </w:r>
            <w:r>
              <w:rPr>
                <w:rFonts w:hint="eastAsia"/>
                <w:color w:val="auto"/>
                <w:sz w:val="24"/>
              </w:rPr>
              <w:t>排放限值要求；</w:t>
            </w:r>
            <w:r>
              <w:rPr>
                <w:rFonts w:hint="eastAsia"/>
                <w:color w:val="auto"/>
                <w:sz w:val="24"/>
                <w:lang w:eastAsia="zh-CN"/>
              </w:rPr>
              <w:t>车间</w:t>
            </w:r>
            <w:r>
              <w:rPr>
                <w:rFonts w:hint="eastAsia"/>
                <w:color w:val="auto"/>
                <w:sz w:val="24"/>
              </w:rPr>
              <w:t>产生的NH</w:t>
            </w:r>
            <w:r>
              <w:rPr>
                <w:rFonts w:hint="eastAsia"/>
                <w:color w:val="auto"/>
                <w:sz w:val="24"/>
                <w:vertAlign w:val="subscript"/>
              </w:rPr>
              <w:t>3</w:t>
            </w:r>
            <w:r>
              <w:rPr>
                <w:rFonts w:hint="eastAsia"/>
                <w:color w:val="auto"/>
                <w:sz w:val="24"/>
              </w:rPr>
              <w:t>、H</w:t>
            </w:r>
            <w:r>
              <w:rPr>
                <w:rFonts w:hint="eastAsia"/>
                <w:color w:val="auto"/>
                <w:sz w:val="24"/>
                <w:vertAlign w:val="subscript"/>
              </w:rPr>
              <w:t>2</w:t>
            </w:r>
            <w:r>
              <w:rPr>
                <w:rFonts w:hint="eastAsia"/>
                <w:color w:val="auto"/>
                <w:sz w:val="24"/>
              </w:rPr>
              <w:t>S和臭气浓度排放执行《恶臭污染物排放标准》（GB14554-93）中表2的排放速率限值和厂界二级新、扩、改建项目厂界标准值</w:t>
            </w:r>
            <w:r>
              <w:rPr>
                <w:color w:val="auto"/>
                <w:sz w:val="24"/>
              </w:rPr>
              <w:t>；</w:t>
            </w:r>
            <w:r>
              <w:rPr>
                <w:rFonts w:hint="eastAsia"/>
                <w:color w:val="auto"/>
                <w:sz w:val="24"/>
                <w:lang w:val="en-US" w:eastAsia="zh-CN"/>
              </w:rPr>
              <w:t>厂界无组织颗粒物执行</w:t>
            </w:r>
            <w:r>
              <w:rPr>
                <w:rFonts w:hint="eastAsia"/>
                <w:color w:val="auto"/>
                <w:sz w:val="24"/>
              </w:rPr>
              <w:t>《大气污染物综合排放标准》（GB 16297-1996）表2中新污染源无组织排放监控浓度限值</w:t>
            </w:r>
            <w:r>
              <w:rPr>
                <w:rFonts w:hint="eastAsia"/>
                <w:color w:val="auto"/>
                <w:sz w:val="24"/>
                <w:lang w:eastAsia="zh-CN"/>
              </w:rPr>
              <w:t>；</w:t>
            </w:r>
            <w:r>
              <w:rPr>
                <w:color w:val="auto"/>
                <w:sz w:val="24"/>
              </w:rPr>
              <w:t>具体执行数值见下表。</w:t>
            </w:r>
          </w:p>
          <w:p w14:paraId="0C85048F">
            <w:pPr>
              <w:widowControl/>
              <w:jc w:val="center"/>
              <w:rPr>
                <w:b/>
                <w:bCs/>
                <w:color w:val="auto"/>
                <w:kern w:val="0"/>
                <w:sz w:val="24"/>
              </w:rPr>
            </w:pPr>
            <w:r>
              <w:rPr>
                <w:b/>
                <w:bCs/>
                <w:color w:val="auto"/>
                <w:kern w:val="0"/>
                <w:szCs w:val="21"/>
              </w:rPr>
              <w:t>表3-</w:t>
            </w:r>
            <w:r>
              <w:rPr>
                <w:rFonts w:hint="eastAsia"/>
                <w:b/>
                <w:bCs/>
                <w:color w:val="auto"/>
                <w:kern w:val="0"/>
                <w:szCs w:val="21"/>
                <w:lang w:val="en-US" w:eastAsia="zh-CN"/>
              </w:rPr>
              <w:t>6</w:t>
            </w:r>
            <w:r>
              <w:rPr>
                <w:rFonts w:hint="eastAsia"/>
                <w:b/>
                <w:bCs/>
                <w:color w:val="auto"/>
                <w:kern w:val="0"/>
                <w:szCs w:val="21"/>
              </w:rPr>
              <w:t xml:space="preserve"> </w:t>
            </w:r>
            <w:r>
              <w:rPr>
                <w:b/>
                <w:bCs/>
                <w:color w:val="auto"/>
                <w:kern w:val="0"/>
                <w:szCs w:val="21"/>
              </w:rPr>
              <w:t xml:space="preserve"> 恶臭污染物排放标准</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9"/>
              <w:gridCol w:w="1444"/>
              <w:gridCol w:w="1669"/>
              <w:gridCol w:w="1219"/>
              <w:gridCol w:w="1850"/>
            </w:tblGrid>
            <w:tr w14:paraId="5C42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pct"/>
                  <w:vMerge w:val="restart"/>
                  <w:shd w:val="clear" w:color="auto" w:fill="auto"/>
                  <w:vAlign w:val="center"/>
                </w:tcPr>
                <w:p w14:paraId="5460A2F1">
                  <w:pPr>
                    <w:pStyle w:val="7"/>
                    <w:spacing w:before="60" w:after="60" w:line="240" w:lineRule="auto"/>
                    <w:ind w:firstLine="0" w:firstLineChars="0"/>
                    <w:jc w:val="center"/>
                    <w:rPr>
                      <w:color w:val="auto"/>
                      <w:sz w:val="21"/>
                      <w:szCs w:val="21"/>
                    </w:rPr>
                  </w:pPr>
                  <w:r>
                    <w:rPr>
                      <w:color w:val="auto"/>
                      <w:sz w:val="21"/>
                      <w:szCs w:val="21"/>
                    </w:rPr>
                    <w:t>污染物</w:t>
                  </w:r>
                </w:p>
              </w:tc>
              <w:tc>
                <w:tcPr>
                  <w:tcW w:w="1854" w:type="pct"/>
                  <w:gridSpan w:val="2"/>
                  <w:shd w:val="clear" w:color="auto" w:fill="auto"/>
                  <w:vAlign w:val="center"/>
                </w:tcPr>
                <w:p w14:paraId="1912172E">
                  <w:pPr>
                    <w:adjustRightInd w:val="0"/>
                    <w:snapToGrid w:val="0"/>
                    <w:spacing w:before="60" w:after="60"/>
                    <w:jc w:val="center"/>
                    <w:rPr>
                      <w:color w:val="auto"/>
                      <w:szCs w:val="21"/>
                    </w:rPr>
                  </w:pPr>
                  <w:r>
                    <w:rPr>
                      <w:color w:val="auto"/>
                      <w:szCs w:val="21"/>
                    </w:rPr>
                    <w:t>有组织排放标准值</w:t>
                  </w:r>
                </w:p>
              </w:tc>
              <w:tc>
                <w:tcPr>
                  <w:tcW w:w="1828" w:type="pct"/>
                  <w:gridSpan w:val="2"/>
                  <w:shd w:val="clear" w:color="auto" w:fill="auto"/>
                  <w:vAlign w:val="center"/>
                </w:tcPr>
                <w:p w14:paraId="09E4BB12">
                  <w:pPr>
                    <w:pStyle w:val="7"/>
                    <w:spacing w:before="60" w:after="60" w:line="240" w:lineRule="auto"/>
                    <w:ind w:firstLine="0" w:firstLineChars="0"/>
                    <w:jc w:val="center"/>
                    <w:rPr>
                      <w:color w:val="auto"/>
                      <w:sz w:val="21"/>
                      <w:szCs w:val="21"/>
                    </w:rPr>
                  </w:pPr>
                  <w:r>
                    <w:rPr>
                      <w:color w:val="auto"/>
                      <w:sz w:val="21"/>
                      <w:szCs w:val="21"/>
                    </w:rPr>
                    <w:t>无组织排放监控限值</w:t>
                  </w:r>
                </w:p>
              </w:tc>
            </w:tr>
            <w:tr w14:paraId="2765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pct"/>
                  <w:vMerge w:val="continue"/>
                  <w:shd w:val="clear" w:color="auto" w:fill="auto"/>
                  <w:vAlign w:val="center"/>
                </w:tcPr>
                <w:p w14:paraId="55AA66CC">
                  <w:pPr>
                    <w:pStyle w:val="7"/>
                    <w:spacing w:before="60" w:after="60" w:line="240" w:lineRule="auto"/>
                    <w:ind w:firstLine="0" w:firstLineChars="0"/>
                    <w:jc w:val="center"/>
                    <w:rPr>
                      <w:color w:val="auto"/>
                      <w:sz w:val="21"/>
                      <w:szCs w:val="21"/>
                    </w:rPr>
                  </w:pPr>
                </w:p>
              </w:tc>
              <w:tc>
                <w:tcPr>
                  <w:tcW w:w="860" w:type="pct"/>
                  <w:shd w:val="clear" w:color="auto" w:fill="auto"/>
                  <w:vAlign w:val="center"/>
                </w:tcPr>
                <w:p w14:paraId="3550477B">
                  <w:pPr>
                    <w:pStyle w:val="7"/>
                    <w:spacing w:before="60" w:after="60" w:line="240" w:lineRule="auto"/>
                    <w:ind w:firstLine="0" w:firstLineChars="0"/>
                    <w:jc w:val="center"/>
                    <w:rPr>
                      <w:color w:val="auto"/>
                      <w:sz w:val="21"/>
                      <w:szCs w:val="21"/>
                    </w:rPr>
                  </w:pPr>
                  <w:r>
                    <w:rPr>
                      <w:color w:val="auto"/>
                      <w:sz w:val="21"/>
                      <w:szCs w:val="21"/>
                    </w:rPr>
                    <w:t>排气筒高度（m）</w:t>
                  </w:r>
                </w:p>
              </w:tc>
              <w:tc>
                <w:tcPr>
                  <w:tcW w:w="993" w:type="pct"/>
                  <w:shd w:val="clear" w:color="auto" w:fill="auto"/>
                  <w:vAlign w:val="center"/>
                </w:tcPr>
                <w:p w14:paraId="31EF4AF1">
                  <w:pPr>
                    <w:adjustRightInd w:val="0"/>
                    <w:snapToGrid w:val="0"/>
                    <w:spacing w:before="60" w:after="60"/>
                    <w:jc w:val="center"/>
                    <w:rPr>
                      <w:color w:val="auto"/>
                      <w:szCs w:val="21"/>
                    </w:rPr>
                  </w:pPr>
                  <w:r>
                    <w:rPr>
                      <w:color w:val="auto"/>
                      <w:szCs w:val="21"/>
                    </w:rPr>
                    <w:t>最高允许排放速率（kg/h）</w:t>
                  </w:r>
                </w:p>
              </w:tc>
              <w:tc>
                <w:tcPr>
                  <w:tcW w:w="726" w:type="pct"/>
                  <w:shd w:val="clear" w:color="auto" w:fill="auto"/>
                  <w:vAlign w:val="center"/>
                </w:tcPr>
                <w:p w14:paraId="5B974C09">
                  <w:pPr>
                    <w:pStyle w:val="7"/>
                    <w:spacing w:before="60" w:after="60" w:line="240" w:lineRule="auto"/>
                    <w:ind w:firstLine="0" w:firstLineChars="0"/>
                    <w:jc w:val="center"/>
                    <w:rPr>
                      <w:color w:val="auto"/>
                      <w:sz w:val="21"/>
                      <w:szCs w:val="21"/>
                    </w:rPr>
                  </w:pPr>
                  <w:r>
                    <w:rPr>
                      <w:color w:val="auto"/>
                      <w:sz w:val="21"/>
                      <w:szCs w:val="21"/>
                    </w:rPr>
                    <w:t>监控点</w:t>
                  </w:r>
                </w:p>
              </w:tc>
              <w:tc>
                <w:tcPr>
                  <w:tcW w:w="1102" w:type="pct"/>
                  <w:shd w:val="clear" w:color="auto" w:fill="auto"/>
                  <w:vAlign w:val="center"/>
                </w:tcPr>
                <w:p w14:paraId="00F348F0">
                  <w:pPr>
                    <w:pStyle w:val="7"/>
                    <w:spacing w:before="60" w:after="60" w:line="240" w:lineRule="auto"/>
                    <w:ind w:firstLine="0" w:firstLineChars="0"/>
                    <w:jc w:val="center"/>
                    <w:rPr>
                      <w:color w:val="auto"/>
                      <w:sz w:val="21"/>
                      <w:szCs w:val="21"/>
                    </w:rPr>
                  </w:pPr>
                  <w:r>
                    <w:rPr>
                      <w:color w:val="auto"/>
                      <w:sz w:val="21"/>
                      <w:szCs w:val="21"/>
                    </w:rPr>
                    <w:t>浓度（mg/m</w:t>
                  </w:r>
                  <w:r>
                    <w:rPr>
                      <w:color w:val="auto"/>
                      <w:sz w:val="21"/>
                      <w:szCs w:val="21"/>
                      <w:vertAlign w:val="superscript"/>
                    </w:rPr>
                    <w:t>3</w:t>
                  </w:r>
                  <w:r>
                    <w:rPr>
                      <w:color w:val="auto"/>
                      <w:sz w:val="21"/>
                      <w:szCs w:val="21"/>
                    </w:rPr>
                    <w:t>）</w:t>
                  </w:r>
                </w:p>
              </w:tc>
            </w:tr>
            <w:tr w14:paraId="703F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pct"/>
                  <w:shd w:val="clear" w:color="auto" w:fill="auto"/>
                  <w:vAlign w:val="center"/>
                </w:tcPr>
                <w:p w14:paraId="0AA0DD75">
                  <w:pPr>
                    <w:pStyle w:val="7"/>
                    <w:spacing w:before="60" w:after="60" w:line="240" w:lineRule="auto"/>
                    <w:ind w:firstLine="0" w:firstLineChars="0"/>
                    <w:jc w:val="center"/>
                    <w:rPr>
                      <w:color w:val="auto"/>
                      <w:sz w:val="21"/>
                      <w:szCs w:val="21"/>
                    </w:rPr>
                  </w:pPr>
                  <w:r>
                    <w:rPr>
                      <w:color w:val="auto"/>
                      <w:sz w:val="21"/>
                      <w:szCs w:val="21"/>
                    </w:rPr>
                    <w:t>氨</w:t>
                  </w:r>
                </w:p>
              </w:tc>
              <w:tc>
                <w:tcPr>
                  <w:tcW w:w="860" w:type="pct"/>
                  <w:shd w:val="clear" w:color="auto" w:fill="auto"/>
                  <w:vAlign w:val="center"/>
                </w:tcPr>
                <w:p w14:paraId="7706877A">
                  <w:pPr>
                    <w:pStyle w:val="7"/>
                    <w:spacing w:before="60" w:after="60" w:line="240" w:lineRule="auto"/>
                    <w:ind w:firstLine="0" w:firstLineChars="0"/>
                    <w:jc w:val="center"/>
                    <w:rPr>
                      <w:color w:val="auto"/>
                      <w:sz w:val="21"/>
                      <w:szCs w:val="21"/>
                    </w:rPr>
                  </w:pPr>
                  <w:r>
                    <w:rPr>
                      <w:color w:val="auto"/>
                      <w:sz w:val="21"/>
                      <w:szCs w:val="21"/>
                    </w:rPr>
                    <w:t>15</w:t>
                  </w:r>
                </w:p>
              </w:tc>
              <w:tc>
                <w:tcPr>
                  <w:tcW w:w="993" w:type="pct"/>
                  <w:shd w:val="clear" w:color="auto" w:fill="auto"/>
                  <w:vAlign w:val="center"/>
                </w:tcPr>
                <w:p w14:paraId="27E2E3CB">
                  <w:pPr>
                    <w:pStyle w:val="7"/>
                    <w:spacing w:before="60" w:after="60" w:line="240" w:lineRule="auto"/>
                    <w:ind w:firstLine="0" w:firstLineChars="0"/>
                    <w:jc w:val="center"/>
                    <w:rPr>
                      <w:color w:val="auto"/>
                      <w:sz w:val="21"/>
                      <w:szCs w:val="21"/>
                    </w:rPr>
                  </w:pPr>
                  <w:r>
                    <w:rPr>
                      <w:color w:val="auto"/>
                      <w:sz w:val="21"/>
                      <w:szCs w:val="21"/>
                    </w:rPr>
                    <w:t>4.9</w:t>
                  </w:r>
                </w:p>
              </w:tc>
              <w:tc>
                <w:tcPr>
                  <w:tcW w:w="726" w:type="pct"/>
                  <w:vMerge w:val="restart"/>
                  <w:shd w:val="clear" w:color="auto" w:fill="auto"/>
                  <w:vAlign w:val="center"/>
                </w:tcPr>
                <w:p w14:paraId="4878964B">
                  <w:pPr>
                    <w:adjustRightInd w:val="0"/>
                    <w:snapToGrid w:val="0"/>
                    <w:spacing w:before="60" w:after="60"/>
                    <w:jc w:val="center"/>
                    <w:rPr>
                      <w:color w:val="auto"/>
                      <w:szCs w:val="21"/>
                    </w:rPr>
                  </w:pPr>
                  <w:r>
                    <w:rPr>
                      <w:color w:val="auto"/>
                      <w:szCs w:val="21"/>
                    </w:rPr>
                    <w:t>周界外浓度最高点</w:t>
                  </w:r>
                </w:p>
              </w:tc>
              <w:tc>
                <w:tcPr>
                  <w:tcW w:w="1102" w:type="pct"/>
                  <w:shd w:val="clear" w:color="auto" w:fill="auto"/>
                  <w:vAlign w:val="center"/>
                </w:tcPr>
                <w:p w14:paraId="64CCADBC">
                  <w:pPr>
                    <w:pStyle w:val="7"/>
                    <w:spacing w:before="60" w:after="60" w:line="240" w:lineRule="auto"/>
                    <w:ind w:firstLine="0" w:firstLineChars="0"/>
                    <w:jc w:val="center"/>
                    <w:rPr>
                      <w:color w:val="auto"/>
                      <w:sz w:val="21"/>
                      <w:szCs w:val="21"/>
                    </w:rPr>
                  </w:pPr>
                  <w:r>
                    <w:rPr>
                      <w:color w:val="auto"/>
                      <w:sz w:val="21"/>
                      <w:szCs w:val="21"/>
                    </w:rPr>
                    <w:t>1.5</w:t>
                  </w:r>
                </w:p>
              </w:tc>
            </w:tr>
            <w:tr w14:paraId="606D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pct"/>
                  <w:shd w:val="clear" w:color="auto" w:fill="auto"/>
                  <w:vAlign w:val="center"/>
                </w:tcPr>
                <w:p w14:paraId="13B78146">
                  <w:pPr>
                    <w:pStyle w:val="7"/>
                    <w:spacing w:before="60" w:after="60" w:line="240" w:lineRule="auto"/>
                    <w:ind w:firstLine="0" w:firstLineChars="0"/>
                    <w:jc w:val="center"/>
                    <w:rPr>
                      <w:color w:val="auto"/>
                      <w:sz w:val="21"/>
                      <w:szCs w:val="21"/>
                    </w:rPr>
                  </w:pPr>
                  <w:r>
                    <w:rPr>
                      <w:color w:val="auto"/>
                      <w:sz w:val="21"/>
                      <w:szCs w:val="21"/>
                    </w:rPr>
                    <w:t>硫化氢</w:t>
                  </w:r>
                </w:p>
              </w:tc>
              <w:tc>
                <w:tcPr>
                  <w:tcW w:w="860" w:type="pct"/>
                  <w:shd w:val="clear" w:color="auto" w:fill="auto"/>
                  <w:vAlign w:val="center"/>
                </w:tcPr>
                <w:p w14:paraId="6DB045C5">
                  <w:pPr>
                    <w:pStyle w:val="7"/>
                    <w:spacing w:before="60" w:after="60" w:line="240" w:lineRule="auto"/>
                    <w:ind w:firstLine="0" w:firstLineChars="0"/>
                    <w:jc w:val="center"/>
                    <w:rPr>
                      <w:color w:val="auto"/>
                      <w:sz w:val="21"/>
                      <w:szCs w:val="21"/>
                    </w:rPr>
                  </w:pPr>
                  <w:r>
                    <w:rPr>
                      <w:color w:val="auto"/>
                      <w:sz w:val="21"/>
                      <w:szCs w:val="21"/>
                    </w:rPr>
                    <w:t>15</w:t>
                  </w:r>
                </w:p>
              </w:tc>
              <w:tc>
                <w:tcPr>
                  <w:tcW w:w="993" w:type="pct"/>
                  <w:shd w:val="clear" w:color="auto" w:fill="auto"/>
                  <w:vAlign w:val="center"/>
                </w:tcPr>
                <w:p w14:paraId="3B40B2BB">
                  <w:pPr>
                    <w:pStyle w:val="7"/>
                    <w:spacing w:before="60" w:after="60" w:line="240" w:lineRule="auto"/>
                    <w:ind w:firstLine="0" w:firstLineChars="0"/>
                    <w:jc w:val="center"/>
                    <w:rPr>
                      <w:color w:val="auto"/>
                      <w:sz w:val="21"/>
                      <w:szCs w:val="21"/>
                    </w:rPr>
                  </w:pPr>
                  <w:r>
                    <w:rPr>
                      <w:color w:val="auto"/>
                      <w:sz w:val="21"/>
                      <w:szCs w:val="21"/>
                    </w:rPr>
                    <w:t>0.33</w:t>
                  </w:r>
                </w:p>
              </w:tc>
              <w:tc>
                <w:tcPr>
                  <w:tcW w:w="726" w:type="pct"/>
                  <w:vMerge w:val="continue"/>
                  <w:shd w:val="clear" w:color="auto" w:fill="auto"/>
                  <w:vAlign w:val="center"/>
                </w:tcPr>
                <w:p w14:paraId="05B1C360">
                  <w:pPr>
                    <w:adjustRightInd w:val="0"/>
                    <w:snapToGrid w:val="0"/>
                    <w:spacing w:before="60" w:after="60"/>
                    <w:jc w:val="center"/>
                    <w:rPr>
                      <w:color w:val="auto"/>
                      <w:szCs w:val="21"/>
                    </w:rPr>
                  </w:pPr>
                </w:p>
              </w:tc>
              <w:tc>
                <w:tcPr>
                  <w:tcW w:w="1102" w:type="pct"/>
                  <w:shd w:val="clear" w:color="auto" w:fill="auto"/>
                  <w:vAlign w:val="center"/>
                </w:tcPr>
                <w:p w14:paraId="2BF68D89">
                  <w:pPr>
                    <w:pStyle w:val="7"/>
                    <w:spacing w:before="60" w:after="60" w:line="240" w:lineRule="auto"/>
                    <w:ind w:firstLine="0" w:firstLineChars="0"/>
                    <w:jc w:val="center"/>
                    <w:rPr>
                      <w:color w:val="auto"/>
                      <w:sz w:val="21"/>
                      <w:szCs w:val="21"/>
                    </w:rPr>
                  </w:pPr>
                  <w:r>
                    <w:rPr>
                      <w:color w:val="auto"/>
                      <w:sz w:val="21"/>
                      <w:szCs w:val="21"/>
                    </w:rPr>
                    <w:t>0.06</w:t>
                  </w:r>
                </w:p>
              </w:tc>
            </w:tr>
            <w:tr w14:paraId="2161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6" w:type="pct"/>
                  <w:shd w:val="clear" w:color="auto" w:fill="auto"/>
                  <w:vAlign w:val="center"/>
                </w:tcPr>
                <w:p w14:paraId="2A0F1050">
                  <w:pPr>
                    <w:pStyle w:val="7"/>
                    <w:spacing w:before="60" w:after="60" w:line="240" w:lineRule="auto"/>
                    <w:ind w:firstLine="0" w:firstLineChars="0"/>
                    <w:jc w:val="center"/>
                    <w:rPr>
                      <w:color w:val="auto"/>
                      <w:sz w:val="21"/>
                      <w:szCs w:val="21"/>
                    </w:rPr>
                  </w:pPr>
                  <w:r>
                    <w:rPr>
                      <w:color w:val="auto"/>
                      <w:sz w:val="21"/>
                      <w:szCs w:val="21"/>
                    </w:rPr>
                    <w:t>臭气浓度（无量纲）</w:t>
                  </w:r>
                </w:p>
              </w:tc>
              <w:tc>
                <w:tcPr>
                  <w:tcW w:w="860" w:type="pct"/>
                  <w:shd w:val="clear" w:color="auto" w:fill="auto"/>
                  <w:vAlign w:val="center"/>
                </w:tcPr>
                <w:p w14:paraId="2AE3FEA4">
                  <w:pPr>
                    <w:pStyle w:val="7"/>
                    <w:spacing w:before="60" w:after="60" w:line="240" w:lineRule="auto"/>
                    <w:ind w:firstLine="0" w:firstLineChars="0"/>
                    <w:jc w:val="center"/>
                    <w:rPr>
                      <w:color w:val="auto"/>
                      <w:sz w:val="21"/>
                      <w:szCs w:val="21"/>
                    </w:rPr>
                  </w:pPr>
                  <w:r>
                    <w:rPr>
                      <w:color w:val="auto"/>
                      <w:sz w:val="21"/>
                      <w:szCs w:val="21"/>
                    </w:rPr>
                    <w:t>15</w:t>
                  </w:r>
                </w:p>
              </w:tc>
              <w:tc>
                <w:tcPr>
                  <w:tcW w:w="993" w:type="pct"/>
                  <w:shd w:val="clear" w:color="auto" w:fill="auto"/>
                  <w:vAlign w:val="center"/>
                </w:tcPr>
                <w:p w14:paraId="180E4C40">
                  <w:pPr>
                    <w:pStyle w:val="7"/>
                    <w:spacing w:before="60" w:after="60" w:line="240" w:lineRule="auto"/>
                    <w:ind w:firstLine="0" w:firstLineChars="0"/>
                    <w:jc w:val="center"/>
                    <w:rPr>
                      <w:color w:val="auto"/>
                      <w:sz w:val="21"/>
                      <w:szCs w:val="21"/>
                    </w:rPr>
                  </w:pPr>
                  <w:r>
                    <w:rPr>
                      <w:color w:val="auto"/>
                      <w:sz w:val="21"/>
                      <w:szCs w:val="21"/>
                    </w:rPr>
                    <w:t>2000</w:t>
                  </w:r>
                </w:p>
              </w:tc>
              <w:tc>
                <w:tcPr>
                  <w:tcW w:w="726" w:type="pct"/>
                  <w:vMerge w:val="continue"/>
                  <w:shd w:val="clear" w:color="auto" w:fill="auto"/>
                  <w:vAlign w:val="center"/>
                </w:tcPr>
                <w:p w14:paraId="3CE545CF">
                  <w:pPr>
                    <w:adjustRightInd w:val="0"/>
                    <w:snapToGrid w:val="0"/>
                    <w:spacing w:before="60" w:after="60"/>
                    <w:jc w:val="center"/>
                    <w:rPr>
                      <w:color w:val="auto"/>
                      <w:szCs w:val="21"/>
                    </w:rPr>
                  </w:pPr>
                </w:p>
              </w:tc>
              <w:tc>
                <w:tcPr>
                  <w:tcW w:w="1102" w:type="pct"/>
                  <w:shd w:val="clear" w:color="auto" w:fill="auto"/>
                  <w:vAlign w:val="center"/>
                </w:tcPr>
                <w:p w14:paraId="68510DE9">
                  <w:pPr>
                    <w:pStyle w:val="7"/>
                    <w:spacing w:before="60" w:after="60" w:line="240" w:lineRule="auto"/>
                    <w:ind w:firstLine="0" w:firstLineChars="0"/>
                    <w:jc w:val="center"/>
                    <w:rPr>
                      <w:color w:val="auto"/>
                      <w:sz w:val="21"/>
                      <w:szCs w:val="21"/>
                    </w:rPr>
                  </w:pPr>
                  <w:r>
                    <w:rPr>
                      <w:color w:val="auto"/>
                      <w:sz w:val="21"/>
                      <w:szCs w:val="21"/>
                    </w:rPr>
                    <w:t>20</w:t>
                  </w:r>
                </w:p>
              </w:tc>
            </w:tr>
          </w:tbl>
          <w:p w14:paraId="1610B9AA">
            <w:pPr>
              <w:widowControl/>
              <w:jc w:val="center"/>
              <w:rPr>
                <w:b/>
                <w:bCs/>
                <w:color w:val="auto"/>
                <w:kern w:val="0"/>
                <w:szCs w:val="21"/>
              </w:rPr>
            </w:pPr>
          </w:p>
          <w:p w14:paraId="6CC03933">
            <w:pPr>
              <w:widowControl/>
              <w:jc w:val="center"/>
              <w:rPr>
                <w:b/>
                <w:bCs/>
                <w:color w:val="auto"/>
                <w:kern w:val="0"/>
                <w:szCs w:val="21"/>
              </w:rPr>
            </w:pPr>
            <w:r>
              <w:rPr>
                <w:b/>
                <w:bCs/>
                <w:color w:val="auto"/>
                <w:kern w:val="0"/>
                <w:szCs w:val="21"/>
              </w:rPr>
              <w:t>表3-</w:t>
            </w:r>
            <w:r>
              <w:rPr>
                <w:rFonts w:hint="eastAsia"/>
                <w:b/>
                <w:bCs/>
                <w:color w:val="auto"/>
                <w:kern w:val="0"/>
                <w:szCs w:val="21"/>
                <w:lang w:val="en-US" w:eastAsia="zh-CN"/>
              </w:rPr>
              <w:t>7</w:t>
            </w:r>
            <w:r>
              <w:rPr>
                <w:rFonts w:hint="eastAsia"/>
                <w:b/>
                <w:bCs/>
                <w:color w:val="auto"/>
                <w:kern w:val="0"/>
                <w:szCs w:val="21"/>
              </w:rPr>
              <w:t xml:space="preserve"> </w:t>
            </w:r>
            <w:r>
              <w:rPr>
                <w:rFonts w:hint="eastAsia"/>
                <w:b/>
                <w:bCs/>
                <w:color w:val="auto"/>
                <w:szCs w:val="21"/>
              </w:rPr>
              <w:t>大气污染物排放标准</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705"/>
              <w:gridCol w:w="1183"/>
              <w:gridCol w:w="1639"/>
              <w:gridCol w:w="986"/>
              <w:gridCol w:w="1593"/>
            </w:tblGrid>
            <w:tr w14:paraId="20E6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pct"/>
                  <w:vMerge w:val="restart"/>
                  <w:shd w:val="clear" w:color="auto" w:fill="auto"/>
                  <w:vAlign w:val="center"/>
                </w:tcPr>
                <w:p w14:paraId="370965D8">
                  <w:pPr>
                    <w:pStyle w:val="7"/>
                    <w:spacing w:before="60" w:after="60" w:line="240" w:lineRule="auto"/>
                    <w:ind w:firstLine="0" w:firstLineChars="0"/>
                    <w:jc w:val="center"/>
                    <w:rPr>
                      <w:color w:val="auto"/>
                      <w:sz w:val="21"/>
                      <w:szCs w:val="21"/>
                    </w:rPr>
                  </w:pPr>
                  <w:r>
                    <w:rPr>
                      <w:color w:val="auto"/>
                      <w:sz w:val="21"/>
                      <w:szCs w:val="21"/>
                    </w:rPr>
                    <w:t>污染物</w:t>
                  </w:r>
                </w:p>
              </w:tc>
              <w:tc>
                <w:tcPr>
                  <w:tcW w:w="1015" w:type="pct"/>
                  <w:vMerge w:val="restart"/>
                  <w:shd w:val="clear" w:color="auto" w:fill="auto"/>
                  <w:vAlign w:val="center"/>
                </w:tcPr>
                <w:p w14:paraId="02000A11">
                  <w:pPr>
                    <w:pStyle w:val="7"/>
                    <w:spacing w:before="60" w:after="60" w:line="240" w:lineRule="auto"/>
                    <w:ind w:firstLine="0" w:firstLineChars="0"/>
                    <w:jc w:val="center"/>
                    <w:rPr>
                      <w:color w:val="auto"/>
                      <w:sz w:val="21"/>
                      <w:szCs w:val="21"/>
                    </w:rPr>
                  </w:pPr>
                  <w:r>
                    <w:rPr>
                      <w:color w:val="auto"/>
                      <w:sz w:val="21"/>
                      <w:szCs w:val="21"/>
                    </w:rPr>
                    <w:t>最高允许排放浓度（mg/m</w:t>
                  </w:r>
                  <w:r>
                    <w:rPr>
                      <w:color w:val="auto"/>
                      <w:sz w:val="21"/>
                      <w:szCs w:val="21"/>
                      <w:vertAlign w:val="superscript"/>
                    </w:rPr>
                    <w:t>3</w:t>
                  </w:r>
                  <w:r>
                    <w:rPr>
                      <w:color w:val="auto"/>
                      <w:sz w:val="21"/>
                      <w:szCs w:val="21"/>
                    </w:rPr>
                    <w:t>）</w:t>
                  </w:r>
                </w:p>
              </w:tc>
              <w:tc>
                <w:tcPr>
                  <w:tcW w:w="704" w:type="pct"/>
                  <w:vMerge w:val="restart"/>
                  <w:shd w:val="clear" w:color="auto" w:fill="auto"/>
                  <w:vAlign w:val="center"/>
                </w:tcPr>
                <w:p w14:paraId="1868911D">
                  <w:pPr>
                    <w:pStyle w:val="7"/>
                    <w:spacing w:before="60" w:after="60" w:line="240" w:lineRule="auto"/>
                    <w:ind w:firstLine="0" w:firstLineChars="0"/>
                    <w:jc w:val="center"/>
                    <w:rPr>
                      <w:color w:val="auto"/>
                      <w:sz w:val="21"/>
                      <w:szCs w:val="21"/>
                    </w:rPr>
                  </w:pPr>
                  <w:r>
                    <w:rPr>
                      <w:color w:val="auto"/>
                      <w:sz w:val="21"/>
                      <w:szCs w:val="21"/>
                    </w:rPr>
                    <w:t>排气筒高度（m）</w:t>
                  </w:r>
                </w:p>
              </w:tc>
              <w:tc>
                <w:tcPr>
                  <w:tcW w:w="976" w:type="pct"/>
                  <w:vMerge w:val="restart"/>
                  <w:shd w:val="clear" w:color="auto" w:fill="auto"/>
                  <w:vAlign w:val="center"/>
                </w:tcPr>
                <w:p w14:paraId="275EFE02">
                  <w:pPr>
                    <w:adjustRightInd w:val="0"/>
                    <w:snapToGrid w:val="0"/>
                    <w:spacing w:before="60" w:after="60"/>
                    <w:jc w:val="center"/>
                    <w:rPr>
                      <w:color w:val="auto"/>
                      <w:szCs w:val="21"/>
                    </w:rPr>
                  </w:pPr>
                  <w:r>
                    <w:rPr>
                      <w:color w:val="auto"/>
                      <w:szCs w:val="21"/>
                    </w:rPr>
                    <w:t>最高允许排放速率（kg/h）</w:t>
                  </w:r>
                </w:p>
              </w:tc>
              <w:tc>
                <w:tcPr>
                  <w:tcW w:w="1535" w:type="pct"/>
                  <w:gridSpan w:val="2"/>
                  <w:shd w:val="clear" w:color="auto" w:fill="auto"/>
                  <w:vAlign w:val="center"/>
                </w:tcPr>
                <w:p w14:paraId="5EC3C45A">
                  <w:pPr>
                    <w:pStyle w:val="7"/>
                    <w:spacing w:before="60" w:after="60" w:line="240" w:lineRule="auto"/>
                    <w:ind w:firstLine="0" w:firstLineChars="0"/>
                    <w:jc w:val="center"/>
                    <w:rPr>
                      <w:color w:val="auto"/>
                      <w:sz w:val="21"/>
                      <w:szCs w:val="21"/>
                    </w:rPr>
                  </w:pPr>
                  <w:r>
                    <w:rPr>
                      <w:color w:val="auto"/>
                      <w:sz w:val="21"/>
                      <w:szCs w:val="21"/>
                    </w:rPr>
                    <w:t>无组织排放监控限值</w:t>
                  </w:r>
                </w:p>
              </w:tc>
            </w:tr>
            <w:tr w14:paraId="04E62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pct"/>
                  <w:vMerge w:val="continue"/>
                  <w:shd w:val="clear" w:color="auto" w:fill="auto"/>
                  <w:vAlign w:val="center"/>
                </w:tcPr>
                <w:p w14:paraId="6BDBCE3F">
                  <w:pPr>
                    <w:pStyle w:val="7"/>
                    <w:spacing w:before="60" w:after="60" w:line="240" w:lineRule="auto"/>
                    <w:ind w:firstLine="0" w:firstLineChars="0"/>
                    <w:jc w:val="center"/>
                    <w:rPr>
                      <w:color w:val="auto"/>
                      <w:sz w:val="21"/>
                      <w:szCs w:val="21"/>
                    </w:rPr>
                  </w:pPr>
                </w:p>
              </w:tc>
              <w:tc>
                <w:tcPr>
                  <w:tcW w:w="1015" w:type="pct"/>
                  <w:vMerge w:val="continue"/>
                  <w:shd w:val="clear" w:color="auto" w:fill="auto"/>
                  <w:vAlign w:val="center"/>
                </w:tcPr>
                <w:p w14:paraId="26979653">
                  <w:pPr>
                    <w:pStyle w:val="7"/>
                    <w:spacing w:before="60" w:after="60" w:line="240" w:lineRule="auto"/>
                    <w:ind w:firstLine="0" w:firstLineChars="0"/>
                    <w:jc w:val="center"/>
                    <w:rPr>
                      <w:color w:val="auto"/>
                      <w:sz w:val="21"/>
                      <w:szCs w:val="21"/>
                    </w:rPr>
                  </w:pPr>
                </w:p>
              </w:tc>
              <w:tc>
                <w:tcPr>
                  <w:tcW w:w="704" w:type="pct"/>
                  <w:vMerge w:val="continue"/>
                  <w:shd w:val="clear" w:color="auto" w:fill="auto"/>
                  <w:vAlign w:val="center"/>
                </w:tcPr>
                <w:p w14:paraId="4F652EDA">
                  <w:pPr>
                    <w:pStyle w:val="7"/>
                    <w:spacing w:before="60" w:after="60" w:line="240" w:lineRule="auto"/>
                    <w:ind w:firstLine="0" w:firstLineChars="0"/>
                    <w:jc w:val="center"/>
                    <w:rPr>
                      <w:color w:val="auto"/>
                      <w:sz w:val="21"/>
                      <w:szCs w:val="21"/>
                    </w:rPr>
                  </w:pPr>
                </w:p>
              </w:tc>
              <w:tc>
                <w:tcPr>
                  <w:tcW w:w="976" w:type="pct"/>
                  <w:vMerge w:val="continue"/>
                  <w:shd w:val="clear" w:color="auto" w:fill="auto"/>
                  <w:vAlign w:val="center"/>
                </w:tcPr>
                <w:p w14:paraId="78825928">
                  <w:pPr>
                    <w:pStyle w:val="7"/>
                    <w:spacing w:before="60" w:after="60" w:line="240" w:lineRule="auto"/>
                    <w:ind w:firstLine="0" w:firstLineChars="0"/>
                    <w:jc w:val="center"/>
                    <w:rPr>
                      <w:color w:val="auto"/>
                      <w:sz w:val="21"/>
                      <w:szCs w:val="21"/>
                    </w:rPr>
                  </w:pPr>
                </w:p>
              </w:tc>
              <w:tc>
                <w:tcPr>
                  <w:tcW w:w="587" w:type="pct"/>
                  <w:shd w:val="clear" w:color="auto" w:fill="auto"/>
                  <w:vAlign w:val="center"/>
                </w:tcPr>
                <w:p w14:paraId="32E17443">
                  <w:pPr>
                    <w:pStyle w:val="7"/>
                    <w:spacing w:before="60" w:after="60" w:line="240" w:lineRule="auto"/>
                    <w:ind w:firstLine="0" w:firstLineChars="0"/>
                    <w:jc w:val="center"/>
                    <w:rPr>
                      <w:color w:val="auto"/>
                      <w:sz w:val="21"/>
                      <w:szCs w:val="21"/>
                    </w:rPr>
                  </w:pPr>
                  <w:r>
                    <w:rPr>
                      <w:color w:val="auto"/>
                      <w:sz w:val="21"/>
                      <w:szCs w:val="21"/>
                    </w:rPr>
                    <w:t>监控点</w:t>
                  </w:r>
                </w:p>
              </w:tc>
              <w:tc>
                <w:tcPr>
                  <w:tcW w:w="948" w:type="pct"/>
                  <w:shd w:val="clear" w:color="auto" w:fill="auto"/>
                  <w:vAlign w:val="center"/>
                </w:tcPr>
                <w:p w14:paraId="4543D729">
                  <w:pPr>
                    <w:pStyle w:val="7"/>
                    <w:spacing w:before="60" w:after="60" w:line="240" w:lineRule="auto"/>
                    <w:ind w:firstLine="0" w:firstLineChars="0"/>
                    <w:jc w:val="center"/>
                    <w:rPr>
                      <w:color w:val="auto"/>
                      <w:sz w:val="21"/>
                      <w:szCs w:val="21"/>
                    </w:rPr>
                  </w:pPr>
                  <w:r>
                    <w:rPr>
                      <w:color w:val="auto"/>
                      <w:sz w:val="21"/>
                      <w:szCs w:val="21"/>
                    </w:rPr>
                    <w:t>浓度（mg/m</w:t>
                  </w:r>
                  <w:r>
                    <w:rPr>
                      <w:color w:val="auto"/>
                      <w:sz w:val="21"/>
                      <w:szCs w:val="21"/>
                      <w:vertAlign w:val="superscript"/>
                    </w:rPr>
                    <w:t>3</w:t>
                  </w:r>
                  <w:r>
                    <w:rPr>
                      <w:color w:val="auto"/>
                      <w:sz w:val="21"/>
                      <w:szCs w:val="21"/>
                    </w:rPr>
                    <w:t>）</w:t>
                  </w:r>
                </w:p>
              </w:tc>
            </w:tr>
            <w:tr w14:paraId="274B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pct"/>
                  <w:shd w:val="clear" w:color="auto" w:fill="auto"/>
                  <w:vAlign w:val="center"/>
                </w:tcPr>
                <w:p w14:paraId="564328A3">
                  <w:pPr>
                    <w:pStyle w:val="7"/>
                    <w:spacing w:before="60" w:after="60" w:line="240" w:lineRule="auto"/>
                    <w:ind w:firstLine="0" w:firstLineChars="0"/>
                    <w:jc w:val="center"/>
                    <w:rPr>
                      <w:color w:val="auto"/>
                      <w:sz w:val="21"/>
                      <w:szCs w:val="21"/>
                    </w:rPr>
                  </w:pPr>
                  <w:r>
                    <w:rPr>
                      <w:color w:val="auto"/>
                      <w:sz w:val="21"/>
                      <w:szCs w:val="21"/>
                    </w:rPr>
                    <w:t>颗粒物</w:t>
                  </w:r>
                </w:p>
              </w:tc>
              <w:tc>
                <w:tcPr>
                  <w:tcW w:w="1015" w:type="pct"/>
                  <w:shd w:val="clear" w:color="auto" w:fill="auto"/>
                  <w:vAlign w:val="center"/>
                </w:tcPr>
                <w:p w14:paraId="34880438">
                  <w:pPr>
                    <w:pStyle w:val="7"/>
                    <w:spacing w:before="60" w:after="60"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20</w:t>
                  </w:r>
                </w:p>
              </w:tc>
              <w:tc>
                <w:tcPr>
                  <w:tcW w:w="704" w:type="pct"/>
                  <w:vMerge w:val="restart"/>
                  <w:shd w:val="clear" w:color="auto" w:fill="auto"/>
                  <w:vAlign w:val="center"/>
                </w:tcPr>
                <w:p w14:paraId="11EC7380">
                  <w:pPr>
                    <w:pStyle w:val="7"/>
                    <w:spacing w:before="60" w:after="60" w:line="240" w:lineRule="auto"/>
                    <w:ind w:firstLine="0" w:firstLineChars="0"/>
                    <w:jc w:val="center"/>
                    <w:rPr>
                      <w:color w:val="auto"/>
                      <w:sz w:val="21"/>
                      <w:szCs w:val="21"/>
                    </w:rPr>
                  </w:pPr>
                  <w:r>
                    <w:rPr>
                      <w:color w:val="auto"/>
                      <w:sz w:val="21"/>
                      <w:szCs w:val="21"/>
                    </w:rPr>
                    <w:t>15</w:t>
                  </w:r>
                </w:p>
              </w:tc>
              <w:tc>
                <w:tcPr>
                  <w:tcW w:w="976" w:type="pct"/>
                  <w:shd w:val="clear" w:color="auto" w:fill="auto"/>
                  <w:vAlign w:val="center"/>
                </w:tcPr>
                <w:p w14:paraId="53F67C82">
                  <w:pPr>
                    <w:pStyle w:val="7"/>
                    <w:spacing w:before="60" w:after="60"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w:t>
                  </w:r>
                </w:p>
              </w:tc>
              <w:tc>
                <w:tcPr>
                  <w:tcW w:w="587" w:type="pct"/>
                  <w:vMerge w:val="restart"/>
                  <w:shd w:val="clear" w:color="auto" w:fill="auto"/>
                  <w:vAlign w:val="center"/>
                </w:tcPr>
                <w:p w14:paraId="3220AED4">
                  <w:pPr>
                    <w:adjustRightInd w:val="0"/>
                    <w:snapToGrid w:val="0"/>
                    <w:spacing w:before="60" w:after="60"/>
                    <w:jc w:val="center"/>
                    <w:rPr>
                      <w:color w:val="auto"/>
                      <w:szCs w:val="21"/>
                    </w:rPr>
                  </w:pPr>
                  <w:r>
                    <w:rPr>
                      <w:color w:val="auto"/>
                      <w:szCs w:val="21"/>
                    </w:rPr>
                    <w:t>周界外浓度最高点</w:t>
                  </w:r>
                </w:p>
              </w:tc>
              <w:tc>
                <w:tcPr>
                  <w:tcW w:w="948" w:type="pct"/>
                  <w:shd w:val="clear" w:color="auto" w:fill="auto"/>
                  <w:vAlign w:val="center"/>
                </w:tcPr>
                <w:p w14:paraId="1E6DAB40">
                  <w:pPr>
                    <w:pStyle w:val="7"/>
                    <w:spacing w:before="60" w:after="60" w:line="240" w:lineRule="auto"/>
                    <w:ind w:firstLine="0" w:firstLineChars="0"/>
                    <w:jc w:val="center"/>
                    <w:rPr>
                      <w:color w:val="auto"/>
                      <w:sz w:val="21"/>
                      <w:szCs w:val="21"/>
                    </w:rPr>
                  </w:pPr>
                  <w:r>
                    <w:rPr>
                      <w:color w:val="auto"/>
                      <w:sz w:val="21"/>
                      <w:szCs w:val="21"/>
                    </w:rPr>
                    <w:t>1.0</w:t>
                  </w:r>
                </w:p>
              </w:tc>
            </w:tr>
            <w:tr w14:paraId="3A36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pct"/>
                  <w:shd w:val="clear" w:color="auto" w:fill="auto"/>
                  <w:vAlign w:val="center"/>
                </w:tcPr>
                <w:p w14:paraId="2A126735">
                  <w:pPr>
                    <w:pStyle w:val="7"/>
                    <w:spacing w:before="60" w:after="60" w:line="240" w:lineRule="auto"/>
                    <w:ind w:firstLine="0" w:firstLineChars="0"/>
                    <w:jc w:val="center"/>
                    <w:rPr>
                      <w:color w:val="auto"/>
                      <w:sz w:val="21"/>
                      <w:szCs w:val="21"/>
                    </w:rPr>
                  </w:pPr>
                  <w:r>
                    <w:rPr>
                      <w:color w:val="auto"/>
                      <w:sz w:val="21"/>
                      <w:szCs w:val="21"/>
                    </w:rPr>
                    <w:t>SO</w:t>
                  </w:r>
                  <w:r>
                    <w:rPr>
                      <w:color w:val="auto"/>
                      <w:sz w:val="21"/>
                      <w:szCs w:val="21"/>
                      <w:vertAlign w:val="subscript"/>
                    </w:rPr>
                    <w:t>2</w:t>
                  </w:r>
                </w:p>
              </w:tc>
              <w:tc>
                <w:tcPr>
                  <w:tcW w:w="1015" w:type="pct"/>
                  <w:shd w:val="clear" w:color="auto" w:fill="auto"/>
                  <w:vAlign w:val="center"/>
                </w:tcPr>
                <w:p w14:paraId="11A6DBB2">
                  <w:pPr>
                    <w:pStyle w:val="7"/>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50</w:t>
                  </w:r>
                </w:p>
              </w:tc>
              <w:tc>
                <w:tcPr>
                  <w:tcW w:w="704" w:type="pct"/>
                  <w:vMerge w:val="continue"/>
                  <w:shd w:val="clear" w:color="auto" w:fill="auto"/>
                  <w:vAlign w:val="center"/>
                </w:tcPr>
                <w:p w14:paraId="64C7FF56">
                  <w:pPr>
                    <w:pStyle w:val="7"/>
                    <w:spacing w:line="240" w:lineRule="auto"/>
                    <w:ind w:firstLine="0" w:firstLineChars="0"/>
                    <w:jc w:val="center"/>
                    <w:rPr>
                      <w:color w:val="auto"/>
                      <w:sz w:val="21"/>
                      <w:szCs w:val="21"/>
                    </w:rPr>
                  </w:pPr>
                </w:p>
              </w:tc>
              <w:tc>
                <w:tcPr>
                  <w:tcW w:w="976" w:type="pct"/>
                  <w:shd w:val="clear" w:color="auto" w:fill="auto"/>
                  <w:vAlign w:val="center"/>
                </w:tcPr>
                <w:p w14:paraId="5890C676">
                  <w:pPr>
                    <w:pStyle w:val="7"/>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w:t>
                  </w:r>
                </w:p>
              </w:tc>
              <w:tc>
                <w:tcPr>
                  <w:tcW w:w="587" w:type="pct"/>
                  <w:vMerge w:val="continue"/>
                  <w:shd w:val="clear" w:color="auto" w:fill="auto"/>
                  <w:vAlign w:val="center"/>
                </w:tcPr>
                <w:p w14:paraId="71E26696">
                  <w:pPr>
                    <w:adjustRightInd w:val="0"/>
                    <w:snapToGrid w:val="0"/>
                    <w:spacing w:before="60" w:after="60"/>
                    <w:jc w:val="center"/>
                    <w:rPr>
                      <w:color w:val="auto"/>
                      <w:szCs w:val="21"/>
                    </w:rPr>
                  </w:pPr>
                </w:p>
              </w:tc>
              <w:tc>
                <w:tcPr>
                  <w:tcW w:w="948" w:type="pct"/>
                  <w:shd w:val="clear" w:color="auto" w:fill="auto"/>
                  <w:vAlign w:val="center"/>
                </w:tcPr>
                <w:p w14:paraId="1EF466F6">
                  <w:pPr>
                    <w:pStyle w:val="7"/>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w:t>
                  </w:r>
                </w:p>
              </w:tc>
            </w:tr>
            <w:tr w14:paraId="4726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pct"/>
                  <w:shd w:val="clear" w:color="auto" w:fill="auto"/>
                  <w:vAlign w:val="center"/>
                </w:tcPr>
                <w:p w14:paraId="3A96434B">
                  <w:pPr>
                    <w:pStyle w:val="7"/>
                    <w:spacing w:before="60" w:after="60" w:line="240" w:lineRule="auto"/>
                    <w:ind w:firstLine="0" w:firstLineChars="0"/>
                    <w:jc w:val="center"/>
                    <w:rPr>
                      <w:color w:val="auto"/>
                      <w:sz w:val="21"/>
                      <w:szCs w:val="21"/>
                    </w:rPr>
                  </w:pPr>
                  <w:r>
                    <w:rPr>
                      <w:color w:val="auto"/>
                      <w:sz w:val="21"/>
                      <w:szCs w:val="21"/>
                    </w:rPr>
                    <w:t>NO</w:t>
                  </w:r>
                  <w:r>
                    <w:rPr>
                      <w:color w:val="auto"/>
                      <w:sz w:val="21"/>
                      <w:szCs w:val="21"/>
                      <w:vertAlign w:val="subscript"/>
                    </w:rPr>
                    <w:t>X</w:t>
                  </w:r>
                </w:p>
              </w:tc>
              <w:tc>
                <w:tcPr>
                  <w:tcW w:w="1015" w:type="pct"/>
                  <w:shd w:val="clear" w:color="auto" w:fill="auto"/>
                  <w:vAlign w:val="center"/>
                </w:tcPr>
                <w:p w14:paraId="308CB019">
                  <w:pPr>
                    <w:pStyle w:val="7"/>
                    <w:spacing w:line="240" w:lineRule="auto"/>
                    <w:ind w:firstLine="0" w:firstLineChars="0"/>
                    <w:jc w:val="center"/>
                    <w:rPr>
                      <w:rFonts w:hint="default" w:eastAsia="宋体"/>
                      <w:color w:val="auto"/>
                      <w:sz w:val="21"/>
                      <w:szCs w:val="21"/>
                      <w:lang w:val="en-US" w:eastAsia="zh-CN"/>
                    </w:rPr>
                  </w:pPr>
                  <w:r>
                    <w:rPr>
                      <w:rFonts w:hint="eastAsia"/>
                      <w:color w:val="auto"/>
                      <w:sz w:val="21"/>
                      <w:szCs w:val="21"/>
                      <w:lang w:val="en-US" w:eastAsia="zh-CN"/>
                    </w:rPr>
                    <w:t>50</w:t>
                  </w:r>
                </w:p>
              </w:tc>
              <w:tc>
                <w:tcPr>
                  <w:tcW w:w="704" w:type="pct"/>
                  <w:vMerge w:val="continue"/>
                  <w:shd w:val="clear" w:color="auto" w:fill="auto"/>
                  <w:vAlign w:val="center"/>
                </w:tcPr>
                <w:p w14:paraId="77656AE1">
                  <w:pPr>
                    <w:pStyle w:val="7"/>
                    <w:spacing w:line="240" w:lineRule="auto"/>
                    <w:ind w:firstLine="0" w:firstLineChars="0"/>
                    <w:jc w:val="center"/>
                    <w:rPr>
                      <w:color w:val="auto"/>
                      <w:sz w:val="21"/>
                      <w:szCs w:val="21"/>
                    </w:rPr>
                  </w:pPr>
                </w:p>
              </w:tc>
              <w:tc>
                <w:tcPr>
                  <w:tcW w:w="976" w:type="pct"/>
                  <w:shd w:val="clear" w:color="auto" w:fill="auto"/>
                  <w:vAlign w:val="center"/>
                </w:tcPr>
                <w:p w14:paraId="2D3216C0">
                  <w:pPr>
                    <w:pStyle w:val="7"/>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w:t>
                  </w:r>
                </w:p>
              </w:tc>
              <w:tc>
                <w:tcPr>
                  <w:tcW w:w="587" w:type="pct"/>
                  <w:vMerge w:val="continue"/>
                  <w:shd w:val="clear" w:color="auto" w:fill="auto"/>
                  <w:vAlign w:val="center"/>
                </w:tcPr>
                <w:p w14:paraId="3C804480">
                  <w:pPr>
                    <w:adjustRightInd w:val="0"/>
                    <w:snapToGrid w:val="0"/>
                    <w:spacing w:before="60" w:after="60"/>
                    <w:jc w:val="center"/>
                    <w:rPr>
                      <w:color w:val="auto"/>
                      <w:szCs w:val="21"/>
                    </w:rPr>
                  </w:pPr>
                </w:p>
              </w:tc>
              <w:tc>
                <w:tcPr>
                  <w:tcW w:w="948" w:type="pct"/>
                  <w:shd w:val="clear" w:color="auto" w:fill="auto"/>
                  <w:vAlign w:val="center"/>
                </w:tcPr>
                <w:p w14:paraId="6D093AC4">
                  <w:pPr>
                    <w:pStyle w:val="7"/>
                    <w:spacing w:line="240" w:lineRule="auto"/>
                    <w:ind w:firstLine="0" w:firstLineChars="0"/>
                    <w:jc w:val="center"/>
                    <w:rPr>
                      <w:rFonts w:hint="eastAsia" w:eastAsia="宋体"/>
                      <w:color w:val="auto"/>
                      <w:sz w:val="21"/>
                      <w:szCs w:val="21"/>
                      <w:lang w:eastAsia="zh-CN"/>
                    </w:rPr>
                  </w:pPr>
                  <w:r>
                    <w:rPr>
                      <w:rFonts w:hint="eastAsia"/>
                      <w:color w:val="auto"/>
                      <w:sz w:val="21"/>
                      <w:szCs w:val="21"/>
                      <w:lang w:val="en-US" w:eastAsia="zh-CN"/>
                    </w:rPr>
                    <w:t>/</w:t>
                  </w:r>
                </w:p>
              </w:tc>
            </w:tr>
          </w:tbl>
          <w:p w14:paraId="2B2B8C90">
            <w:pPr>
              <w:widowControl/>
              <w:adjustRightInd w:val="0"/>
              <w:snapToGrid w:val="0"/>
              <w:spacing w:beforeLines="100" w:line="360" w:lineRule="auto"/>
              <w:jc w:val="left"/>
              <w:rPr>
                <w:b/>
                <w:bCs/>
                <w:color w:val="auto"/>
                <w:sz w:val="24"/>
              </w:rPr>
            </w:pPr>
            <w:r>
              <w:rPr>
                <w:rFonts w:hint="eastAsia"/>
                <w:b/>
                <w:bCs/>
                <w:color w:val="auto"/>
                <w:sz w:val="24"/>
              </w:rPr>
              <w:t>二</w:t>
            </w:r>
            <w:r>
              <w:rPr>
                <w:b/>
                <w:bCs/>
                <w:color w:val="auto"/>
                <w:sz w:val="24"/>
              </w:rPr>
              <w:t>、废水排放标准</w:t>
            </w:r>
          </w:p>
          <w:p w14:paraId="2CD8A714">
            <w:pPr>
              <w:pStyle w:val="17"/>
              <w:spacing w:after="0" w:line="360" w:lineRule="auto"/>
              <w:ind w:left="0" w:leftChars="0" w:firstLine="480" w:firstLineChars="200"/>
              <w:rPr>
                <w:color w:val="auto"/>
                <w:sz w:val="24"/>
              </w:rPr>
            </w:pPr>
            <w:r>
              <w:rPr>
                <w:rFonts w:hint="eastAsia"/>
                <w:color w:val="auto"/>
                <w:sz w:val="24"/>
              </w:rPr>
              <w:t>项目生活废水经化粪池处理后和生产废水一并进入</w:t>
            </w:r>
            <w:r>
              <w:rPr>
                <w:rFonts w:hint="eastAsia"/>
                <w:color w:val="auto"/>
                <w:sz w:val="24"/>
                <w:lang w:eastAsia="zh-CN"/>
              </w:rPr>
              <w:t>项目区现有沼气发电系统的</w:t>
            </w:r>
            <w:r>
              <w:rPr>
                <w:rFonts w:hint="eastAsia"/>
                <w:color w:val="auto"/>
                <w:sz w:val="24"/>
              </w:rPr>
              <w:t>预处理池回用于</w:t>
            </w:r>
            <w:r>
              <w:rPr>
                <w:rFonts w:hint="eastAsia"/>
                <w:color w:val="auto"/>
                <w:sz w:val="24"/>
                <w:lang w:eastAsia="zh-CN"/>
              </w:rPr>
              <w:t>沼气发电项目</w:t>
            </w:r>
            <w:r>
              <w:rPr>
                <w:rFonts w:hint="eastAsia"/>
                <w:color w:val="auto"/>
                <w:sz w:val="24"/>
              </w:rPr>
              <w:t>，无废水外排。</w:t>
            </w:r>
          </w:p>
          <w:p w14:paraId="7B66ED34">
            <w:pPr>
              <w:pStyle w:val="7"/>
              <w:spacing w:line="360" w:lineRule="auto"/>
              <w:ind w:firstLine="0" w:firstLineChars="0"/>
              <w:rPr>
                <w:b/>
                <w:bCs/>
                <w:color w:val="auto"/>
                <w:sz w:val="24"/>
                <w:szCs w:val="24"/>
              </w:rPr>
            </w:pPr>
            <w:r>
              <w:rPr>
                <w:b/>
                <w:bCs/>
                <w:color w:val="auto"/>
                <w:sz w:val="24"/>
                <w:szCs w:val="24"/>
              </w:rPr>
              <w:t>三、噪声排放标准</w:t>
            </w:r>
          </w:p>
          <w:p w14:paraId="47025459">
            <w:pPr>
              <w:spacing w:line="360" w:lineRule="auto"/>
              <w:ind w:firstLine="480" w:firstLineChars="200"/>
              <w:rPr>
                <w:color w:val="auto"/>
                <w:sz w:val="24"/>
              </w:rPr>
            </w:pPr>
            <w:r>
              <w:rPr>
                <w:color w:val="auto"/>
                <w:sz w:val="24"/>
              </w:rPr>
              <w:t>项目施工期噪声排放执行《建筑施工场界环境噪声排放标准》（GB12523</w:t>
            </w:r>
            <w:r>
              <w:rPr>
                <w:rFonts w:hint="eastAsia"/>
                <w:color w:val="auto"/>
                <w:sz w:val="24"/>
                <w:lang w:val="en-US" w:eastAsia="zh-CN"/>
              </w:rPr>
              <w:t>-</w:t>
            </w:r>
            <w:r>
              <w:rPr>
                <w:color w:val="auto"/>
                <w:sz w:val="24"/>
              </w:rPr>
              <w:t>2011）中的标准限值；营运期厂界噪声执行《工业企业厂界环境噪声排放标准》（GB12348-2008）2类标准。</w:t>
            </w:r>
          </w:p>
          <w:p w14:paraId="4E03A1DD">
            <w:pPr>
              <w:widowControl/>
              <w:jc w:val="center"/>
              <w:rPr>
                <w:b/>
                <w:bCs/>
                <w:color w:val="auto"/>
                <w:kern w:val="0"/>
                <w:szCs w:val="21"/>
              </w:rPr>
            </w:pPr>
          </w:p>
          <w:p w14:paraId="4D0154C0">
            <w:pPr>
              <w:widowControl/>
              <w:jc w:val="center"/>
              <w:rPr>
                <w:b/>
                <w:bCs/>
                <w:color w:val="auto"/>
                <w:kern w:val="0"/>
                <w:szCs w:val="21"/>
              </w:rPr>
            </w:pPr>
          </w:p>
          <w:p w14:paraId="1EFB6375">
            <w:pPr>
              <w:widowControl/>
              <w:jc w:val="center"/>
              <w:rPr>
                <w:b/>
                <w:bCs/>
                <w:color w:val="auto"/>
                <w:kern w:val="0"/>
                <w:szCs w:val="21"/>
              </w:rPr>
            </w:pPr>
            <w:r>
              <w:rPr>
                <w:b/>
                <w:bCs/>
                <w:color w:val="auto"/>
                <w:kern w:val="0"/>
                <w:szCs w:val="21"/>
              </w:rPr>
              <w:t>表3-</w:t>
            </w:r>
            <w:r>
              <w:rPr>
                <w:rFonts w:hint="eastAsia"/>
                <w:b/>
                <w:bCs/>
                <w:color w:val="auto"/>
                <w:kern w:val="0"/>
                <w:szCs w:val="21"/>
                <w:lang w:val="en-US" w:eastAsia="zh-CN"/>
              </w:rPr>
              <w:t>8</w:t>
            </w:r>
            <w:r>
              <w:rPr>
                <w:b/>
                <w:bCs/>
                <w:color w:val="auto"/>
                <w:kern w:val="0"/>
                <w:szCs w:val="21"/>
              </w:rPr>
              <w:t xml:space="preserve">  噪声排放标准 单位：dB</w:t>
            </w:r>
            <w:r>
              <w:rPr>
                <w:rFonts w:hint="eastAsia"/>
                <w:b/>
                <w:bCs/>
                <w:color w:val="auto"/>
                <w:kern w:val="0"/>
                <w:szCs w:val="21"/>
              </w:rPr>
              <w:t>（</w:t>
            </w:r>
            <w:r>
              <w:rPr>
                <w:b/>
                <w:bCs/>
                <w:color w:val="auto"/>
                <w:kern w:val="0"/>
                <w:szCs w:val="21"/>
              </w:rPr>
              <w:t>A</w:t>
            </w:r>
            <w:r>
              <w:rPr>
                <w:rFonts w:hint="eastAsia"/>
                <w:b/>
                <w:bCs/>
                <w:color w:val="auto"/>
                <w:kern w:val="0"/>
                <w:szCs w:val="21"/>
              </w:rPr>
              <w:t>）</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2"/>
              <w:gridCol w:w="2246"/>
              <w:gridCol w:w="2136"/>
            </w:tblGrid>
            <w:tr w14:paraId="0384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390" w:type="pct"/>
                  <w:vAlign w:val="center"/>
                </w:tcPr>
                <w:p w14:paraId="3D658DB3">
                  <w:pPr>
                    <w:adjustRightInd w:val="0"/>
                    <w:snapToGrid w:val="0"/>
                    <w:spacing w:before="60" w:after="60"/>
                    <w:jc w:val="center"/>
                    <w:rPr>
                      <w:color w:val="auto"/>
                    </w:rPr>
                  </w:pPr>
                  <w:r>
                    <w:rPr>
                      <w:color w:val="auto"/>
                    </w:rPr>
                    <w:t>厂界外声环境功能区类别/时段</w:t>
                  </w:r>
                </w:p>
              </w:tc>
              <w:tc>
                <w:tcPr>
                  <w:tcW w:w="1338" w:type="pct"/>
                  <w:vAlign w:val="center"/>
                </w:tcPr>
                <w:p w14:paraId="0A9931AC">
                  <w:pPr>
                    <w:adjustRightInd w:val="0"/>
                    <w:snapToGrid w:val="0"/>
                    <w:spacing w:before="60" w:after="60"/>
                    <w:jc w:val="center"/>
                    <w:rPr>
                      <w:color w:val="auto"/>
                    </w:rPr>
                  </w:pPr>
                  <w:r>
                    <w:rPr>
                      <w:color w:val="auto"/>
                    </w:rPr>
                    <w:t>昼间</w:t>
                  </w:r>
                </w:p>
              </w:tc>
              <w:tc>
                <w:tcPr>
                  <w:tcW w:w="1272" w:type="pct"/>
                  <w:vAlign w:val="center"/>
                </w:tcPr>
                <w:p w14:paraId="2A5F1E01">
                  <w:pPr>
                    <w:adjustRightInd w:val="0"/>
                    <w:snapToGrid w:val="0"/>
                    <w:spacing w:before="60" w:after="60"/>
                    <w:jc w:val="center"/>
                    <w:rPr>
                      <w:color w:val="auto"/>
                    </w:rPr>
                  </w:pPr>
                  <w:r>
                    <w:rPr>
                      <w:color w:val="auto"/>
                    </w:rPr>
                    <w:t>夜间</w:t>
                  </w:r>
                </w:p>
              </w:tc>
            </w:tr>
            <w:tr w14:paraId="0361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0" w:type="pct"/>
                  <w:vAlign w:val="center"/>
                </w:tcPr>
                <w:p w14:paraId="4433C128">
                  <w:pPr>
                    <w:adjustRightInd w:val="0"/>
                    <w:snapToGrid w:val="0"/>
                    <w:spacing w:before="60" w:after="60"/>
                    <w:jc w:val="center"/>
                    <w:rPr>
                      <w:color w:val="auto"/>
                    </w:rPr>
                  </w:pPr>
                  <w:r>
                    <w:rPr>
                      <w:color w:val="auto"/>
                    </w:rPr>
                    <w:t>施工期</w:t>
                  </w:r>
                </w:p>
              </w:tc>
              <w:tc>
                <w:tcPr>
                  <w:tcW w:w="1338" w:type="pct"/>
                  <w:vAlign w:val="center"/>
                </w:tcPr>
                <w:p w14:paraId="2367CFB1">
                  <w:pPr>
                    <w:adjustRightInd w:val="0"/>
                    <w:snapToGrid w:val="0"/>
                    <w:spacing w:before="60" w:after="60"/>
                    <w:jc w:val="center"/>
                    <w:rPr>
                      <w:color w:val="auto"/>
                    </w:rPr>
                  </w:pPr>
                  <w:r>
                    <w:rPr>
                      <w:color w:val="auto"/>
                    </w:rPr>
                    <w:t>70</w:t>
                  </w:r>
                </w:p>
              </w:tc>
              <w:tc>
                <w:tcPr>
                  <w:tcW w:w="1272" w:type="pct"/>
                  <w:vAlign w:val="center"/>
                </w:tcPr>
                <w:p w14:paraId="788D6149">
                  <w:pPr>
                    <w:adjustRightInd w:val="0"/>
                    <w:snapToGrid w:val="0"/>
                    <w:spacing w:before="60" w:after="60"/>
                    <w:jc w:val="center"/>
                    <w:rPr>
                      <w:color w:val="auto"/>
                    </w:rPr>
                  </w:pPr>
                  <w:r>
                    <w:rPr>
                      <w:color w:val="auto"/>
                    </w:rPr>
                    <w:t>55</w:t>
                  </w:r>
                </w:p>
              </w:tc>
            </w:tr>
            <w:tr w14:paraId="5D2C1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0" w:type="pct"/>
                  <w:vAlign w:val="center"/>
                </w:tcPr>
                <w:p w14:paraId="30BA99F8">
                  <w:pPr>
                    <w:adjustRightInd w:val="0"/>
                    <w:snapToGrid w:val="0"/>
                    <w:spacing w:before="60" w:after="60"/>
                    <w:jc w:val="center"/>
                    <w:rPr>
                      <w:color w:val="auto"/>
                    </w:rPr>
                  </w:pPr>
                  <w:r>
                    <w:rPr>
                      <w:color w:val="auto"/>
                    </w:rPr>
                    <w:t>运营期（2类）</w:t>
                  </w:r>
                </w:p>
              </w:tc>
              <w:tc>
                <w:tcPr>
                  <w:tcW w:w="1338" w:type="pct"/>
                  <w:vAlign w:val="center"/>
                </w:tcPr>
                <w:p w14:paraId="3AF01618">
                  <w:pPr>
                    <w:adjustRightInd w:val="0"/>
                    <w:snapToGrid w:val="0"/>
                    <w:spacing w:before="60" w:after="60"/>
                    <w:jc w:val="center"/>
                    <w:rPr>
                      <w:color w:val="auto"/>
                    </w:rPr>
                  </w:pPr>
                  <w:r>
                    <w:rPr>
                      <w:color w:val="auto"/>
                    </w:rPr>
                    <w:t>60</w:t>
                  </w:r>
                </w:p>
              </w:tc>
              <w:tc>
                <w:tcPr>
                  <w:tcW w:w="1272" w:type="pct"/>
                  <w:vAlign w:val="center"/>
                </w:tcPr>
                <w:p w14:paraId="1A0AAD09">
                  <w:pPr>
                    <w:adjustRightInd w:val="0"/>
                    <w:snapToGrid w:val="0"/>
                    <w:spacing w:before="60" w:after="60"/>
                    <w:jc w:val="center"/>
                    <w:rPr>
                      <w:color w:val="auto"/>
                    </w:rPr>
                  </w:pPr>
                  <w:r>
                    <w:rPr>
                      <w:color w:val="auto"/>
                    </w:rPr>
                    <w:t>50</w:t>
                  </w:r>
                </w:p>
              </w:tc>
            </w:tr>
          </w:tbl>
          <w:p w14:paraId="6F851A80">
            <w:pPr>
              <w:ind w:firstLine="420" w:firstLineChars="200"/>
              <w:rPr>
                <w:color w:val="auto"/>
              </w:rPr>
            </w:pPr>
          </w:p>
          <w:p w14:paraId="4FD71E76">
            <w:pPr>
              <w:spacing w:beforeLines="50" w:line="360" w:lineRule="auto"/>
              <w:rPr>
                <w:b/>
                <w:bCs/>
                <w:color w:val="auto"/>
                <w:sz w:val="24"/>
              </w:rPr>
            </w:pPr>
            <w:r>
              <w:rPr>
                <w:rFonts w:hint="eastAsia"/>
                <w:b/>
                <w:bCs/>
                <w:color w:val="auto"/>
                <w:sz w:val="24"/>
              </w:rPr>
              <w:t>四</w:t>
            </w:r>
            <w:r>
              <w:rPr>
                <w:b/>
                <w:bCs/>
                <w:color w:val="auto"/>
                <w:sz w:val="24"/>
              </w:rPr>
              <w:t>、固体废物</w:t>
            </w:r>
          </w:p>
          <w:p w14:paraId="4236BE61">
            <w:pPr>
              <w:spacing w:line="360" w:lineRule="auto"/>
              <w:ind w:firstLine="480" w:firstLineChars="200"/>
              <w:rPr>
                <w:color w:val="auto"/>
              </w:rPr>
            </w:pPr>
            <w:r>
              <w:rPr>
                <w:color w:val="auto"/>
                <w:sz w:val="24"/>
              </w:rPr>
              <w:t>项目一般固体废物参照执行《一般工业固体废物贮存和填埋污染污染控制标准》（GB18599-2020）。危险废物执行《危险废物贮存污染控制标准》</w:t>
            </w:r>
            <w:r>
              <w:rPr>
                <w:rFonts w:hint="eastAsia"/>
                <w:color w:val="auto"/>
                <w:sz w:val="24"/>
              </w:rPr>
              <w:t>（</w:t>
            </w:r>
            <w:r>
              <w:rPr>
                <w:color w:val="auto"/>
                <w:sz w:val="24"/>
              </w:rPr>
              <w:t>GB18597</w:t>
            </w:r>
            <w:r>
              <w:rPr>
                <w:rFonts w:hint="eastAsia"/>
                <w:color w:val="auto"/>
                <w:sz w:val="24"/>
              </w:rPr>
              <w:t>-</w:t>
            </w:r>
            <w:r>
              <w:rPr>
                <w:color w:val="auto"/>
                <w:sz w:val="24"/>
              </w:rPr>
              <w:t>2023</w:t>
            </w:r>
            <w:r>
              <w:rPr>
                <w:rFonts w:hint="eastAsia"/>
                <w:color w:val="auto"/>
                <w:sz w:val="24"/>
              </w:rPr>
              <w:t>）</w:t>
            </w:r>
            <w:r>
              <w:rPr>
                <w:color w:val="auto"/>
                <w:sz w:val="24"/>
              </w:rPr>
              <w:t>。</w:t>
            </w:r>
          </w:p>
        </w:tc>
      </w:tr>
      <w:tr w14:paraId="304B8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3760E8DB">
            <w:pPr>
              <w:widowControl/>
              <w:jc w:val="left"/>
              <w:rPr>
                <w:color w:val="auto"/>
              </w:rPr>
            </w:pPr>
            <w:r>
              <w:rPr>
                <w:color w:val="auto"/>
              </w:rPr>
              <w:t>总量</w:t>
            </w:r>
          </w:p>
          <w:p w14:paraId="70C366C8">
            <w:pPr>
              <w:widowControl/>
              <w:jc w:val="left"/>
              <w:rPr>
                <w:color w:val="auto"/>
              </w:rPr>
            </w:pPr>
            <w:r>
              <w:rPr>
                <w:color w:val="auto"/>
              </w:rPr>
              <w:t>控制</w:t>
            </w:r>
          </w:p>
          <w:p w14:paraId="12D7982A">
            <w:pPr>
              <w:widowControl/>
              <w:jc w:val="left"/>
              <w:rPr>
                <w:color w:val="auto"/>
              </w:rPr>
            </w:pPr>
            <w:r>
              <w:rPr>
                <w:color w:val="auto"/>
              </w:rPr>
              <w:t>指标</w:t>
            </w:r>
          </w:p>
        </w:tc>
        <w:tc>
          <w:tcPr>
            <w:tcW w:w="7736" w:type="dxa"/>
          </w:tcPr>
          <w:p w14:paraId="5EECB40D">
            <w:pPr>
              <w:widowControl/>
              <w:adjustRightInd w:val="0"/>
              <w:snapToGrid w:val="0"/>
              <w:spacing w:beforeLines="50" w:line="360" w:lineRule="auto"/>
              <w:ind w:firstLine="480" w:firstLineChars="200"/>
              <w:rPr>
                <w:color w:val="auto"/>
                <w:kern w:val="0"/>
                <w:sz w:val="24"/>
              </w:rPr>
            </w:pPr>
            <w:r>
              <w:rPr>
                <w:color w:val="auto"/>
                <w:kern w:val="0"/>
                <w:sz w:val="24"/>
              </w:rPr>
              <w:t>（1）废气</w:t>
            </w:r>
          </w:p>
          <w:p w14:paraId="74855348">
            <w:pPr>
              <w:widowControl/>
              <w:spacing w:line="360" w:lineRule="auto"/>
              <w:ind w:firstLine="480" w:firstLineChars="200"/>
              <w:rPr>
                <w:color w:val="auto"/>
                <w:kern w:val="0"/>
                <w:sz w:val="24"/>
              </w:rPr>
            </w:pPr>
            <w:r>
              <w:rPr>
                <w:color w:val="auto"/>
                <w:kern w:val="0"/>
                <w:sz w:val="24"/>
              </w:rPr>
              <w:t>根据原安徽省环保厅发布的《关于进一步加强建设项目新增大气主要污染物总量指标管理工作的通知》</w:t>
            </w:r>
            <w:r>
              <w:rPr>
                <w:rFonts w:hint="eastAsia"/>
                <w:color w:val="auto"/>
                <w:kern w:val="0"/>
                <w:sz w:val="24"/>
              </w:rPr>
              <w:t>（</w:t>
            </w:r>
            <w:r>
              <w:rPr>
                <w:color w:val="auto"/>
                <w:kern w:val="0"/>
                <w:sz w:val="24"/>
              </w:rPr>
              <w:t>皖环发</w:t>
            </w:r>
            <w:r>
              <w:rPr>
                <w:rFonts w:hint="eastAsia"/>
                <w:color w:val="auto"/>
                <w:kern w:val="0"/>
                <w:sz w:val="24"/>
              </w:rPr>
              <w:t>（</w:t>
            </w:r>
            <w:r>
              <w:rPr>
                <w:color w:val="auto"/>
                <w:kern w:val="0"/>
                <w:sz w:val="24"/>
              </w:rPr>
              <w:t>2017</w:t>
            </w:r>
            <w:r>
              <w:rPr>
                <w:rFonts w:hint="eastAsia"/>
                <w:color w:val="auto"/>
                <w:kern w:val="0"/>
                <w:sz w:val="24"/>
              </w:rPr>
              <w:t>）</w:t>
            </w:r>
            <w:r>
              <w:rPr>
                <w:color w:val="auto"/>
                <w:kern w:val="0"/>
                <w:sz w:val="24"/>
              </w:rPr>
              <w:t>19号</w:t>
            </w:r>
            <w:r>
              <w:rPr>
                <w:rFonts w:hint="eastAsia"/>
                <w:color w:val="auto"/>
                <w:kern w:val="0"/>
                <w:sz w:val="24"/>
              </w:rPr>
              <w:t>）</w:t>
            </w:r>
            <w:r>
              <w:rPr>
                <w:color w:val="auto"/>
                <w:kern w:val="0"/>
                <w:sz w:val="24"/>
              </w:rPr>
              <w:t>，大气主要污染物总量指标实行区域内等量或倍量削减替代。上年度空气质量不达标的城市，相应污染物指标应执行</w:t>
            </w:r>
            <w:r>
              <w:rPr>
                <w:rFonts w:hint="eastAsia"/>
                <w:color w:val="auto"/>
                <w:kern w:val="0"/>
                <w:sz w:val="24"/>
              </w:rPr>
              <w:t>“</w:t>
            </w:r>
            <w:r>
              <w:rPr>
                <w:color w:val="auto"/>
                <w:kern w:val="0"/>
                <w:sz w:val="24"/>
              </w:rPr>
              <w:t>倍量替代</w:t>
            </w:r>
            <w:r>
              <w:rPr>
                <w:rFonts w:hint="eastAsia"/>
                <w:color w:val="auto"/>
                <w:kern w:val="0"/>
                <w:sz w:val="24"/>
              </w:rPr>
              <w:t>”</w:t>
            </w:r>
            <w:r>
              <w:rPr>
                <w:color w:val="auto"/>
                <w:kern w:val="0"/>
                <w:sz w:val="24"/>
              </w:rPr>
              <w:t>。其中，上年度PM</w:t>
            </w:r>
            <w:r>
              <w:rPr>
                <w:color w:val="auto"/>
                <w:kern w:val="0"/>
                <w:sz w:val="24"/>
                <w:vertAlign w:val="subscript"/>
              </w:rPr>
              <w:t>2.5</w:t>
            </w:r>
            <w:r>
              <w:rPr>
                <w:color w:val="auto"/>
                <w:kern w:val="0"/>
                <w:sz w:val="24"/>
              </w:rPr>
              <w:t>不达标的城市，新增SO</w:t>
            </w:r>
            <w:r>
              <w:rPr>
                <w:color w:val="auto"/>
                <w:kern w:val="0"/>
                <w:sz w:val="24"/>
                <w:vertAlign w:val="subscript"/>
              </w:rPr>
              <w:t>2</w:t>
            </w:r>
            <w:r>
              <w:rPr>
                <w:color w:val="auto"/>
                <w:kern w:val="0"/>
                <w:sz w:val="24"/>
              </w:rPr>
              <w:t>、NOx和VOCs指标均要执行</w:t>
            </w:r>
            <w:r>
              <w:rPr>
                <w:rFonts w:hint="eastAsia"/>
                <w:color w:val="auto"/>
                <w:kern w:val="0"/>
                <w:sz w:val="24"/>
              </w:rPr>
              <w:t>“</w:t>
            </w:r>
            <w:r>
              <w:rPr>
                <w:color w:val="auto"/>
                <w:kern w:val="0"/>
                <w:sz w:val="24"/>
              </w:rPr>
              <w:t>倍量替代</w:t>
            </w:r>
            <w:r>
              <w:rPr>
                <w:rFonts w:hint="eastAsia"/>
                <w:color w:val="auto"/>
                <w:kern w:val="0"/>
                <w:sz w:val="24"/>
              </w:rPr>
              <w:t>”</w:t>
            </w:r>
            <w:r>
              <w:rPr>
                <w:color w:val="auto"/>
                <w:kern w:val="0"/>
                <w:sz w:val="24"/>
              </w:rPr>
              <w:t>。上年度PM</w:t>
            </w:r>
            <w:r>
              <w:rPr>
                <w:color w:val="auto"/>
                <w:kern w:val="0"/>
                <w:sz w:val="24"/>
                <w:vertAlign w:val="subscript"/>
              </w:rPr>
              <w:t>10</w:t>
            </w:r>
            <w:r>
              <w:rPr>
                <w:color w:val="auto"/>
                <w:kern w:val="0"/>
                <w:sz w:val="24"/>
              </w:rPr>
              <w:t>不达标的城市，新增烟</w:t>
            </w:r>
            <w:r>
              <w:rPr>
                <w:rFonts w:hint="eastAsia"/>
                <w:color w:val="auto"/>
                <w:kern w:val="0"/>
                <w:sz w:val="24"/>
              </w:rPr>
              <w:t>（</w:t>
            </w:r>
            <w:r>
              <w:rPr>
                <w:color w:val="auto"/>
                <w:kern w:val="0"/>
                <w:sz w:val="24"/>
              </w:rPr>
              <w:t>粉</w:t>
            </w:r>
            <w:r>
              <w:rPr>
                <w:rFonts w:hint="eastAsia"/>
                <w:color w:val="auto"/>
                <w:kern w:val="0"/>
                <w:sz w:val="24"/>
              </w:rPr>
              <w:t>）</w:t>
            </w:r>
            <w:r>
              <w:rPr>
                <w:color w:val="auto"/>
                <w:kern w:val="0"/>
                <w:sz w:val="24"/>
              </w:rPr>
              <w:t>尘指标要执行</w:t>
            </w:r>
            <w:r>
              <w:rPr>
                <w:rFonts w:hint="eastAsia"/>
                <w:color w:val="auto"/>
                <w:kern w:val="0"/>
                <w:sz w:val="24"/>
              </w:rPr>
              <w:t>“</w:t>
            </w:r>
            <w:r>
              <w:rPr>
                <w:color w:val="auto"/>
                <w:kern w:val="0"/>
                <w:sz w:val="24"/>
              </w:rPr>
              <w:t>倍量替代</w:t>
            </w:r>
            <w:r>
              <w:rPr>
                <w:rFonts w:hint="eastAsia"/>
                <w:color w:val="auto"/>
                <w:kern w:val="0"/>
                <w:sz w:val="24"/>
              </w:rPr>
              <w:t>”</w:t>
            </w:r>
            <w:r>
              <w:rPr>
                <w:color w:val="auto"/>
                <w:kern w:val="0"/>
                <w:sz w:val="24"/>
              </w:rPr>
              <w:t>。达到超低排放标准的新建火电项目无需执行</w:t>
            </w:r>
            <w:r>
              <w:rPr>
                <w:rFonts w:hint="eastAsia"/>
                <w:color w:val="auto"/>
                <w:kern w:val="0"/>
                <w:sz w:val="24"/>
              </w:rPr>
              <w:t>“</w:t>
            </w:r>
            <w:r>
              <w:rPr>
                <w:color w:val="auto"/>
                <w:kern w:val="0"/>
                <w:sz w:val="24"/>
              </w:rPr>
              <w:t>倍量替代</w:t>
            </w:r>
            <w:r>
              <w:rPr>
                <w:rFonts w:hint="eastAsia"/>
                <w:color w:val="auto"/>
                <w:kern w:val="0"/>
                <w:sz w:val="24"/>
              </w:rPr>
              <w:t>”</w:t>
            </w:r>
            <w:r>
              <w:rPr>
                <w:color w:val="auto"/>
                <w:kern w:val="0"/>
                <w:sz w:val="24"/>
              </w:rPr>
              <w:t>。</w:t>
            </w:r>
          </w:p>
          <w:p w14:paraId="54F21BAA">
            <w:pPr>
              <w:widowControl/>
              <w:spacing w:line="360" w:lineRule="auto"/>
              <w:ind w:firstLine="480" w:firstLineChars="200"/>
              <w:rPr>
                <w:color w:val="auto"/>
                <w:kern w:val="0"/>
                <w:sz w:val="24"/>
              </w:rPr>
            </w:pPr>
            <w:r>
              <w:rPr>
                <w:color w:val="auto"/>
                <w:kern w:val="0"/>
                <w:sz w:val="24"/>
              </w:rPr>
              <w:t>项目所在区域为淮</w:t>
            </w:r>
            <w:r>
              <w:rPr>
                <w:rFonts w:hint="eastAsia"/>
                <w:color w:val="auto"/>
                <w:kern w:val="0"/>
                <w:sz w:val="24"/>
              </w:rPr>
              <w:t>南</w:t>
            </w:r>
            <w:r>
              <w:rPr>
                <w:color w:val="auto"/>
                <w:kern w:val="0"/>
                <w:sz w:val="24"/>
              </w:rPr>
              <w:t>市，上年度环境空气质量不达标，新增大气污染物指标需执行</w:t>
            </w:r>
            <w:r>
              <w:rPr>
                <w:rFonts w:hint="eastAsia"/>
                <w:color w:val="auto"/>
                <w:kern w:val="0"/>
                <w:sz w:val="24"/>
              </w:rPr>
              <w:t>“</w:t>
            </w:r>
            <w:r>
              <w:rPr>
                <w:color w:val="auto"/>
                <w:kern w:val="0"/>
                <w:sz w:val="24"/>
              </w:rPr>
              <w:t>倍量替代</w:t>
            </w:r>
            <w:r>
              <w:rPr>
                <w:rFonts w:hint="eastAsia"/>
                <w:color w:val="auto"/>
                <w:kern w:val="0"/>
                <w:sz w:val="24"/>
              </w:rPr>
              <w:t>”</w:t>
            </w:r>
            <w:r>
              <w:rPr>
                <w:color w:val="auto"/>
                <w:kern w:val="0"/>
                <w:sz w:val="24"/>
              </w:rPr>
              <w:t>，污染物倍量替代来源由淮</w:t>
            </w:r>
            <w:r>
              <w:rPr>
                <w:rFonts w:hint="eastAsia"/>
                <w:color w:val="auto"/>
                <w:kern w:val="0"/>
                <w:sz w:val="24"/>
              </w:rPr>
              <w:t>南</w:t>
            </w:r>
            <w:r>
              <w:rPr>
                <w:color w:val="auto"/>
                <w:kern w:val="0"/>
                <w:sz w:val="24"/>
              </w:rPr>
              <w:t>市</w:t>
            </w:r>
            <w:r>
              <w:rPr>
                <w:rFonts w:hint="eastAsia"/>
                <w:color w:val="auto"/>
                <w:kern w:val="0"/>
                <w:sz w:val="24"/>
              </w:rPr>
              <w:t>潘集</w:t>
            </w:r>
            <w:r>
              <w:rPr>
                <w:color w:val="auto"/>
                <w:kern w:val="0"/>
                <w:sz w:val="24"/>
              </w:rPr>
              <w:t>区生态环境分局统筹分配。</w:t>
            </w:r>
          </w:p>
          <w:p w14:paraId="0F857E22">
            <w:pPr>
              <w:widowControl/>
              <w:spacing w:line="360" w:lineRule="auto"/>
              <w:ind w:firstLine="480" w:firstLineChars="200"/>
              <w:rPr>
                <w:color w:val="auto"/>
                <w:kern w:val="0"/>
                <w:sz w:val="24"/>
              </w:rPr>
            </w:pPr>
            <w:r>
              <w:rPr>
                <w:color w:val="auto"/>
                <w:kern w:val="0"/>
                <w:sz w:val="24"/>
              </w:rPr>
              <w:t>根据工程分析，本项目</w:t>
            </w:r>
            <w:r>
              <w:rPr>
                <w:rFonts w:hint="eastAsia"/>
                <w:color w:val="auto"/>
                <w:kern w:val="0"/>
                <w:sz w:val="24"/>
              </w:rPr>
              <w:t>废气总量指标为：烟（粉）尘：0.</w:t>
            </w:r>
            <w:r>
              <w:rPr>
                <w:rFonts w:hint="eastAsia"/>
                <w:color w:val="auto"/>
                <w:kern w:val="0"/>
                <w:sz w:val="24"/>
                <w:lang w:val="en-US" w:eastAsia="zh-CN"/>
              </w:rPr>
              <w:t>0887</w:t>
            </w:r>
            <w:r>
              <w:rPr>
                <w:rFonts w:hint="eastAsia"/>
                <w:color w:val="auto"/>
                <w:kern w:val="0"/>
                <w:sz w:val="24"/>
              </w:rPr>
              <w:t>t/a；二氧化硫：</w:t>
            </w:r>
            <w:r>
              <w:rPr>
                <w:rFonts w:hint="eastAsia"/>
                <w:color w:val="auto"/>
                <w:kern w:val="0"/>
                <w:sz w:val="24"/>
                <w:lang w:val="en-US" w:eastAsia="zh-CN"/>
              </w:rPr>
              <w:t>0.0634</w:t>
            </w:r>
            <w:r>
              <w:rPr>
                <w:rFonts w:hint="eastAsia"/>
                <w:color w:val="auto"/>
                <w:kern w:val="0"/>
                <w:sz w:val="24"/>
              </w:rPr>
              <w:t>t/a；氮氧化物：</w:t>
            </w:r>
            <w:r>
              <w:rPr>
                <w:rFonts w:hint="eastAsia"/>
                <w:color w:val="auto"/>
                <w:kern w:val="0"/>
                <w:sz w:val="24"/>
                <w:lang w:val="en-US" w:eastAsia="zh-CN"/>
              </w:rPr>
              <w:t>0.1920</w:t>
            </w:r>
            <w:r>
              <w:rPr>
                <w:rFonts w:hint="eastAsia"/>
                <w:color w:val="auto"/>
                <w:kern w:val="0"/>
                <w:sz w:val="24"/>
              </w:rPr>
              <w:t>t/a；按照倍量替代，所需申请的总量指标为：烟（粉）尘：</w:t>
            </w:r>
            <w:r>
              <w:rPr>
                <w:rFonts w:hint="eastAsia"/>
                <w:color w:val="auto"/>
                <w:kern w:val="0"/>
                <w:sz w:val="24"/>
                <w:lang w:val="en-US" w:eastAsia="zh-CN"/>
              </w:rPr>
              <w:t>0.1774</w:t>
            </w:r>
            <w:r>
              <w:rPr>
                <w:rFonts w:hint="eastAsia"/>
                <w:color w:val="auto"/>
                <w:kern w:val="0"/>
                <w:sz w:val="24"/>
              </w:rPr>
              <w:t>t/a；二氧化硫：</w:t>
            </w:r>
            <w:r>
              <w:rPr>
                <w:rFonts w:hint="eastAsia"/>
                <w:color w:val="auto"/>
                <w:kern w:val="0"/>
                <w:sz w:val="24"/>
                <w:lang w:val="en-US" w:eastAsia="zh-CN"/>
              </w:rPr>
              <w:t>0.1268</w:t>
            </w:r>
            <w:r>
              <w:rPr>
                <w:rFonts w:hint="eastAsia"/>
                <w:color w:val="auto"/>
                <w:kern w:val="0"/>
                <w:sz w:val="24"/>
              </w:rPr>
              <w:t>t/a；氮氧化物：</w:t>
            </w:r>
            <w:r>
              <w:rPr>
                <w:rFonts w:hint="eastAsia"/>
                <w:color w:val="auto"/>
                <w:kern w:val="0"/>
                <w:sz w:val="24"/>
                <w:lang w:val="en-US" w:eastAsia="zh-CN"/>
              </w:rPr>
              <w:t>0.3840</w:t>
            </w:r>
            <w:r>
              <w:rPr>
                <w:rFonts w:hint="eastAsia"/>
                <w:color w:val="auto"/>
                <w:kern w:val="0"/>
                <w:sz w:val="24"/>
              </w:rPr>
              <w:t>t/a；</w:t>
            </w:r>
          </w:p>
          <w:p w14:paraId="5A092321">
            <w:pPr>
              <w:widowControl/>
              <w:spacing w:line="360" w:lineRule="auto"/>
              <w:ind w:firstLine="480" w:firstLineChars="200"/>
              <w:rPr>
                <w:color w:val="auto"/>
                <w:kern w:val="0"/>
                <w:sz w:val="24"/>
              </w:rPr>
            </w:pPr>
            <w:r>
              <w:rPr>
                <w:color w:val="auto"/>
                <w:kern w:val="0"/>
                <w:sz w:val="24"/>
              </w:rPr>
              <w:t>（2）废水</w:t>
            </w:r>
          </w:p>
          <w:p w14:paraId="008C8B19">
            <w:pPr>
              <w:widowControl/>
              <w:spacing w:line="360" w:lineRule="auto"/>
              <w:ind w:firstLine="480" w:firstLineChars="200"/>
              <w:rPr>
                <w:rFonts w:hint="eastAsia"/>
                <w:color w:val="auto"/>
                <w:kern w:val="0"/>
                <w:sz w:val="24"/>
                <w:lang w:eastAsia="zh-CN"/>
              </w:rPr>
            </w:pPr>
            <w:r>
              <w:rPr>
                <w:rFonts w:hint="eastAsia"/>
                <w:color w:val="auto"/>
                <w:kern w:val="0"/>
                <w:sz w:val="24"/>
              </w:rPr>
              <w:t>本项目废水不外排地表水。无需申请水污染物总量控制指标</w:t>
            </w:r>
            <w:r>
              <w:rPr>
                <w:rFonts w:hint="eastAsia"/>
                <w:color w:val="auto"/>
                <w:kern w:val="0"/>
                <w:sz w:val="24"/>
                <w:lang w:eastAsia="zh-CN"/>
              </w:rPr>
              <w:t>。</w:t>
            </w:r>
          </w:p>
          <w:p w14:paraId="45763E76">
            <w:pPr>
              <w:widowControl/>
              <w:spacing w:line="360" w:lineRule="auto"/>
              <w:ind w:firstLine="480" w:firstLineChars="200"/>
              <w:rPr>
                <w:rFonts w:hint="eastAsia"/>
                <w:color w:val="auto"/>
                <w:kern w:val="0"/>
                <w:sz w:val="24"/>
                <w:lang w:eastAsia="zh-CN"/>
              </w:rPr>
            </w:pPr>
          </w:p>
          <w:p w14:paraId="34778F2B">
            <w:pPr>
              <w:widowControl/>
              <w:spacing w:line="360" w:lineRule="auto"/>
              <w:ind w:firstLine="480" w:firstLineChars="200"/>
              <w:rPr>
                <w:rFonts w:hint="eastAsia"/>
                <w:color w:val="auto"/>
                <w:kern w:val="0"/>
                <w:sz w:val="24"/>
                <w:lang w:eastAsia="zh-CN"/>
              </w:rPr>
            </w:pPr>
          </w:p>
          <w:p w14:paraId="4CCF49AE">
            <w:pPr>
              <w:widowControl/>
              <w:spacing w:line="360" w:lineRule="auto"/>
              <w:ind w:firstLine="420" w:firstLineChars="200"/>
              <w:rPr>
                <w:color w:val="auto"/>
              </w:rPr>
            </w:pPr>
          </w:p>
        </w:tc>
      </w:tr>
    </w:tbl>
    <w:p w14:paraId="0DA52DE2">
      <w:pPr>
        <w:pStyle w:val="25"/>
        <w:adjustRightInd w:val="0"/>
        <w:snapToGrid w:val="0"/>
        <w:jc w:val="center"/>
        <w:outlineLvl w:val="0"/>
        <w:rPr>
          <w:rFonts w:ascii="Times New Roman" w:hAnsi="Times New Roman" w:eastAsia="黑体"/>
          <w:snapToGrid w:val="0"/>
          <w:color w:val="auto"/>
          <w:kern w:val="21"/>
          <w:sz w:val="30"/>
          <w:szCs w:val="30"/>
        </w:rPr>
      </w:pPr>
      <w:r>
        <w:rPr>
          <w:rFonts w:ascii="Times New Roman" w:hAnsi="Times New Roman" w:eastAsia="黑体"/>
          <w:snapToGrid w:val="0"/>
          <w:color w:val="auto"/>
          <w:kern w:val="21"/>
          <w:sz w:val="36"/>
          <w:szCs w:val="36"/>
        </w:rPr>
        <w:br w:type="page"/>
      </w:r>
      <w:r>
        <w:rPr>
          <w:rFonts w:ascii="Times New Roman" w:hAnsi="Times New Roman" w:eastAsia="黑体"/>
          <w:snapToGrid w:val="0"/>
          <w:color w:val="auto"/>
          <w:kern w:val="21"/>
          <w:sz w:val="30"/>
          <w:szCs w:val="30"/>
        </w:rPr>
        <w:t>四、主要环境影响和保护措施</w:t>
      </w:r>
    </w:p>
    <w:tbl>
      <w:tblPr>
        <w:tblStyle w:val="29"/>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99"/>
        <w:gridCol w:w="8482"/>
      </w:tblGrid>
      <w:tr w14:paraId="51B4E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9" w:type="dxa"/>
            <w:tcMar>
              <w:left w:w="28" w:type="dxa"/>
              <w:right w:w="28" w:type="dxa"/>
            </w:tcMar>
            <w:vAlign w:val="center"/>
          </w:tcPr>
          <w:p w14:paraId="34195693">
            <w:pPr>
              <w:pStyle w:val="25"/>
              <w:adjustRightInd w:val="0"/>
              <w:snapToGrid w:val="0"/>
              <w:spacing w:before="0" w:beforeAutospacing="0" w:after="0" w:afterAutospacing="0"/>
              <w:jc w:val="center"/>
              <w:rPr>
                <w:rFonts w:ascii="Times New Roman" w:hAnsi="Times New Roman"/>
                <w:bCs/>
                <w:color w:val="auto"/>
                <w:kern w:val="21"/>
                <w:sz w:val="21"/>
                <w:szCs w:val="21"/>
              </w:rPr>
            </w:pPr>
            <w:r>
              <w:rPr>
                <w:rFonts w:ascii="Times New Roman" w:hAnsi="Times New Roman"/>
                <w:b/>
                <w:bCs/>
                <w:color w:val="auto"/>
                <w:kern w:val="21"/>
                <w:szCs w:val="24"/>
              </w:rPr>
              <w:t>施工期环境保护措施</w:t>
            </w:r>
          </w:p>
        </w:tc>
        <w:tc>
          <w:tcPr>
            <w:tcW w:w="8482" w:type="dxa"/>
            <w:vAlign w:val="center"/>
          </w:tcPr>
          <w:p w14:paraId="35ACE08A">
            <w:pPr>
              <w:keepNext/>
              <w:keepLines/>
              <w:adjustRightInd w:val="0"/>
              <w:snapToGrid w:val="0"/>
              <w:spacing w:beforeLines="50" w:line="360" w:lineRule="auto"/>
              <w:ind w:firstLine="480" w:firstLineChars="200"/>
              <w:outlineLvl w:val="1"/>
              <w:rPr>
                <w:color w:val="auto"/>
                <w:sz w:val="24"/>
              </w:rPr>
            </w:pPr>
            <w:bookmarkStart w:id="2" w:name="_Toc51580472"/>
            <w:r>
              <w:rPr>
                <w:rFonts w:hint="eastAsia"/>
                <w:bCs/>
                <w:color w:val="auto"/>
                <w:sz w:val="24"/>
              </w:rPr>
              <w:t>1、施工期</w:t>
            </w:r>
            <w:r>
              <w:rPr>
                <w:bCs/>
                <w:color w:val="auto"/>
                <w:sz w:val="24"/>
              </w:rPr>
              <w:t>环境</w:t>
            </w:r>
            <w:bookmarkEnd w:id="2"/>
            <w:r>
              <w:rPr>
                <w:rFonts w:hint="eastAsia"/>
                <w:bCs/>
                <w:color w:val="auto"/>
                <w:sz w:val="24"/>
              </w:rPr>
              <w:t>保护</w:t>
            </w:r>
            <w:r>
              <w:rPr>
                <w:bCs/>
                <w:color w:val="auto"/>
                <w:sz w:val="24"/>
              </w:rPr>
              <w:t>措施</w:t>
            </w:r>
          </w:p>
          <w:p w14:paraId="7263A99E">
            <w:pPr>
              <w:adjustRightInd w:val="0"/>
              <w:snapToGrid w:val="0"/>
              <w:spacing w:line="360" w:lineRule="auto"/>
              <w:ind w:firstLine="480" w:firstLineChars="200"/>
              <w:rPr>
                <w:color w:val="auto"/>
                <w:sz w:val="24"/>
              </w:rPr>
            </w:pPr>
            <w:bookmarkStart w:id="3" w:name="_Toc241904019"/>
            <w:bookmarkStart w:id="4" w:name="_Toc214850273"/>
            <w:bookmarkStart w:id="5" w:name="_Toc212348347"/>
            <w:bookmarkStart w:id="6" w:name="_Toc179607443"/>
            <w:bookmarkStart w:id="7" w:name="_Toc185060447"/>
            <w:bookmarkStart w:id="8" w:name="_Toc252651395"/>
            <w:r>
              <w:rPr>
                <w:rFonts w:hint="eastAsia"/>
                <w:color w:val="auto"/>
                <w:sz w:val="24"/>
              </w:rPr>
              <w:t>本项目施工期</w:t>
            </w:r>
            <w:r>
              <w:rPr>
                <w:color w:val="auto"/>
                <w:sz w:val="24"/>
              </w:rPr>
              <w:t>对环境产生影响的因素主要有：扬尘及机械排放废气、施工噪声、建筑垃圾、施工废水等。施工期的环境影响一般属于短期的、可恢复的、局部的。以下将对这些污染及其环境影响加以分析，并提出相应的防治措施。</w:t>
            </w:r>
          </w:p>
          <w:p w14:paraId="1E00042B">
            <w:pPr>
              <w:keepNext/>
              <w:keepLines/>
              <w:adjustRightInd w:val="0"/>
              <w:snapToGrid w:val="0"/>
              <w:spacing w:line="360" w:lineRule="auto"/>
              <w:ind w:firstLine="480" w:firstLineChars="200"/>
              <w:outlineLvl w:val="1"/>
              <w:rPr>
                <w:bCs/>
                <w:color w:val="auto"/>
                <w:sz w:val="24"/>
              </w:rPr>
            </w:pPr>
            <w:bookmarkStart w:id="9" w:name="_Toc277265562"/>
            <w:bookmarkStart w:id="10" w:name="_Toc311210159"/>
            <w:bookmarkStart w:id="11" w:name="_Toc51580473"/>
            <w:bookmarkStart w:id="12" w:name="_Toc405391984"/>
            <w:r>
              <w:rPr>
                <w:rFonts w:hint="eastAsia"/>
                <w:bCs/>
                <w:color w:val="auto"/>
                <w:sz w:val="24"/>
              </w:rPr>
              <w:t>（1）</w:t>
            </w:r>
            <w:r>
              <w:rPr>
                <w:bCs/>
                <w:color w:val="auto"/>
                <w:sz w:val="24"/>
              </w:rPr>
              <w:t>大气环境</w:t>
            </w:r>
            <w:bookmarkEnd w:id="3"/>
            <w:bookmarkEnd w:id="4"/>
            <w:bookmarkEnd w:id="5"/>
            <w:bookmarkEnd w:id="6"/>
            <w:bookmarkEnd w:id="7"/>
            <w:bookmarkEnd w:id="8"/>
            <w:r>
              <w:rPr>
                <w:bCs/>
                <w:color w:val="auto"/>
                <w:sz w:val="24"/>
              </w:rPr>
              <w:t>防治措施</w:t>
            </w:r>
            <w:bookmarkEnd w:id="9"/>
            <w:bookmarkEnd w:id="10"/>
            <w:bookmarkEnd w:id="11"/>
            <w:bookmarkEnd w:id="12"/>
          </w:p>
          <w:p w14:paraId="4AA0656A">
            <w:pPr>
              <w:adjustRightInd w:val="0"/>
              <w:snapToGrid w:val="0"/>
              <w:spacing w:line="360" w:lineRule="auto"/>
              <w:ind w:firstLine="480" w:firstLineChars="200"/>
              <w:rPr>
                <w:color w:val="auto"/>
                <w:sz w:val="24"/>
              </w:rPr>
            </w:pPr>
            <w:r>
              <w:rPr>
                <w:color w:val="auto"/>
                <w:sz w:val="24"/>
              </w:rPr>
              <w:t>建设项目在施工过程中，</w:t>
            </w:r>
            <w:r>
              <w:rPr>
                <w:rFonts w:hint="eastAsia"/>
                <w:color w:val="auto"/>
                <w:sz w:val="24"/>
              </w:rPr>
              <w:t>土方开挖、</w:t>
            </w:r>
            <w:r>
              <w:rPr>
                <w:color w:val="auto"/>
                <w:sz w:val="24"/>
              </w:rPr>
              <w:t>汽车运输过程产生的扬尘</w:t>
            </w:r>
            <w:r>
              <w:rPr>
                <w:rFonts w:hint="eastAsia"/>
                <w:color w:val="auto"/>
                <w:sz w:val="24"/>
              </w:rPr>
              <w:t>，设备安装时产生切割粉尘、以及</w:t>
            </w:r>
            <w:r>
              <w:rPr>
                <w:color w:val="auto"/>
                <w:sz w:val="24"/>
              </w:rPr>
              <w:t>各种燃油机械和运输车辆排放的废气都会给周围环境空气带来污染。污染大气的主要因子是烃类、NO</w:t>
            </w:r>
            <w:r>
              <w:rPr>
                <w:rFonts w:hint="eastAsia"/>
                <w:color w:val="auto"/>
                <w:sz w:val="24"/>
              </w:rPr>
              <w:t>x</w:t>
            </w:r>
            <w:r>
              <w:rPr>
                <w:color w:val="auto"/>
                <w:sz w:val="24"/>
              </w:rPr>
              <w:t>、CO、SO</w:t>
            </w:r>
            <w:r>
              <w:rPr>
                <w:color w:val="auto"/>
                <w:sz w:val="24"/>
                <w:vertAlign w:val="subscript"/>
              </w:rPr>
              <w:t>2</w:t>
            </w:r>
            <w:r>
              <w:rPr>
                <w:color w:val="auto"/>
                <w:sz w:val="24"/>
              </w:rPr>
              <w:t>和</w:t>
            </w:r>
            <w:r>
              <w:rPr>
                <w:rFonts w:hint="eastAsia"/>
                <w:color w:val="auto"/>
                <w:sz w:val="24"/>
              </w:rPr>
              <w:t>颗粒物</w:t>
            </w:r>
            <w:r>
              <w:rPr>
                <w:color w:val="auto"/>
                <w:sz w:val="24"/>
              </w:rPr>
              <w:t>。</w:t>
            </w:r>
          </w:p>
          <w:p w14:paraId="577368EC">
            <w:pPr>
              <w:adjustRightInd w:val="0"/>
              <w:snapToGrid w:val="0"/>
              <w:spacing w:line="360" w:lineRule="auto"/>
              <w:ind w:firstLine="480" w:firstLineChars="200"/>
              <w:rPr>
                <w:color w:val="auto"/>
                <w:sz w:val="24"/>
              </w:rPr>
            </w:pPr>
            <w:r>
              <w:rPr>
                <w:color w:val="auto"/>
                <w:sz w:val="24"/>
                <w:szCs w:val="32"/>
              </w:rPr>
              <w:t>工地周边围挡、物料堆放覆盖、路面硬化、土方开挖湿法作业、出入车辆清洗、渣土车辆密闭运输须做到</w:t>
            </w:r>
            <w:r>
              <w:rPr>
                <w:rFonts w:hint="eastAsia"/>
                <w:color w:val="auto"/>
                <w:sz w:val="24"/>
                <w:szCs w:val="32"/>
              </w:rPr>
              <w:t>“</w:t>
            </w:r>
            <w:r>
              <w:rPr>
                <w:color w:val="auto"/>
                <w:sz w:val="24"/>
                <w:szCs w:val="32"/>
              </w:rPr>
              <w:t>六个百分之百</w:t>
            </w:r>
            <w:r>
              <w:rPr>
                <w:rFonts w:hint="eastAsia"/>
                <w:color w:val="auto"/>
                <w:sz w:val="24"/>
                <w:szCs w:val="32"/>
              </w:rPr>
              <w:t>”</w:t>
            </w:r>
            <w:r>
              <w:rPr>
                <w:color w:val="auto"/>
                <w:sz w:val="24"/>
                <w:szCs w:val="32"/>
              </w:rPr>
              <w:t>。</w:t>
            </w:r>
          </w:p>
          <w:p w14:paraId="70C6613B">
            <w:pPr>
              <w:keepNext/>
              <w:keepLines/>
              <w:adjustRightInd w:val="0"/>
              <w:snapToGrid w:val="0"/>
              <w:spacing w:line="360" w:lineRule="auto"/>
              <w:ind w:firstLine="480" w:firstLineChars="200"/>
              <w:outlineLvl w:val="1"/>
              <w:rPr>
                <w:bCs/>
                <w:color w:val="auto"/>
                <w:sz w:val="24"/>
                <w:szCs w:val="32"/>
              </w:rPr>
            </w:pPr>
            <w:bookmarkStart w:id="13" w:name="_Toc51580474"/>
            <w:r>
              <w:rPr>
                <w:rFonts w:hint="eastAsia"/>
                <w:bCs/>
                <w:color w:val="auto"/>
                <w:sz w:val="24"/>
                <w:szCs w:val="32"/>
              </w:rPr>
              <w:t>（2）</w:t>
            </w:r>
            <w:r>
              <w:rPr>
                <w:rFonts w:hAnsi="宋体"/>
                <w:bCs/>
                <w:color w:val="auto"/>
                <w:sz w:val="24"/>
                <w:szCs w:val="32"/>
              </w:rPr>
              <w:t>水环境防治措施</w:t>
            </w:r>
            <w:bookmarkEnd w:id="13"/>
          </w:p>
          <w:p w14:paraId="1AEFF3C0">
            <w:pPr>
              <w:adjustRightInd w:val="0"/>
              <w:snapToGrid w:val="0"/>
              <w:spacing w:line="360" w:lineRule="auto"/>
              <w:ind w:firstLine="480" w:firstLineChars="200"/>
              <w:rPr>
                <w:color w:val="auto"/>
                <w:sz w:val="24"/>
              </w:rPr>
            </w:pPr>
            <w:r>
              <w:rPr>
                <w:color w:val="auto"/>
                <w:sz w:val="24"/>
              </w:rPr>
              <w:t>施工期间废水主要来自于施工人员产生的生活污水。施工人员日常生活将产生一定量的生活污水，生活污水中主要污染物为BOD</w:t>
            </w:r>
            <w:r>
              <w:rPr>
                <w:color w:val="auto"/>
                <w:sz w:val="24"/>
                <w:vertAlign w:val="subscript"/>
              </w:rPr>
              <w:t>5</w:t>
            </w:r>
            <w:r>
              <w:rPr>
                <w:color w:val="auto"/>
                <w:sz w:val="24"/>
              </w:rPr>
              <w:t>、COD和悬浮物，其浓度一般为150mg/L、250mg/L和150mg/L。施工现场产生的生活污水</w:t>
            </w:r>
            <w:r>
              <w:rPr>
                <w:rFonts w:hint="eastAsia"/>
                <w:color w:val="auto"/>
                <w:sz w:val="24"/>
              </w:rPr>
              <w:t>设置旱厕处理后用于周边农田施肥。</w:t>
            </w:r>
          </w:p>
          <w:p w14:paraId="74D971A8">
            <w:pPr>
              <w:keepNext/>
              <w:keepLines/>
              <w:adjustRightInd w:val="0"/>
              <w:snapToGrid w:val="0"/>
              <w:spacing w:line="360" w:lineRule="auto"/>
              <w:ind w:firstLine="480" w:firstLineChars="200"/>
              <w:outlineLvl w:val="1"/>
              <w:rPr>
                <w:bCs/>
                <w:color w:val="auto"/>
                <w:sz w:val="24"/>
                <w:szCs w:val="32"/>
              </w:rPr>
            </w:pPr>
            <w:bookmarkStart w:id="14" w:name="_Toc252651397"/>
            <w:bookmarkStart w:id="15" w:name="_Toc214850275"/>
            <w:bookmarkStart w:id="16" w:name="_Toc185060449"/>
            <w:bookmarkStart w:id="17" w:name="_Toc241904021"/>
            <w:bookmarkStart w:id="18" w:name="_Toc212348349"/>
            <w:bookmarkStart w:id="19" w:name="_Toc179607445"/>
            <w:bookmarkStart w:id="20" w:name="_Toc277265564"/>
            <w:bookmarkStart w:id="21" w:name="_Toc405391988"/>
            <w:bookmarkStart w:id="22" w:name="_Toc311210163"/>
            <w:bookmarkStart w:id="23" w:name="_Toc51580475"/>
            <w:r>
              <w:rPr>
                <w:rFonts w:hint="eastAsia"/>
                <w:bCs/>
                <w:color w:val="auto"/>
                <w:sz w:val="24"/>
                <w:szCs w:val="32"/>
              </w:rPr>
              <w:t>（3）</w:t>
            </w:r>
            <w:r>
              <w:rPr>
                <w:rFonts w:hAnsi="宋体"/>
                <w:bCs/>
                <w:color w:val="auto"/>
                <w:sz w:val="24"/>
                <w:szCs w:val="32"/>
              </w:rPr>
              <w:t>声环境</w:t>
            </w:r>
            <w:bookmarkEnd w:id="14"/>
            <w:bookmarkEnd w:id="15"/>
            <w:bookmarkEnd w:id="16"/>
            <w:bookmarkEnd w:id="17"/>
            <w:bookmarkEnd w:id="18"/>
            <w:bookmarkEnd w:id="19"/>
            <w:r>
              <w:rPr>
                <w:rFonts w:hAnsi="宋体"/>
                <w:bCs/>
                <w:color w:val="auto"/>
                <w:sz w:val="24"/>
                <w:szCs w:val="32"/>
              </w:rPr>
              <w:t>防治措施</w:t>
            </w:r>
            <w:bookmarkEnd w:id="20"/>
            <w:bookmarkEnd w:id="21"/>
            <w:bookmarkEnd w:id="22"/>
            <w:bookmarkEnd w:id="23"/>
          </w:p>
          <w:p w14:paraId="3830C377">
            <w:pPr>
              <w:adjustRightInd w:val="0"/>
              <w:snapToGrid w:val="0"/>
              <w:spacing w:line="360" w:lineRule="auto"/>
              <w:ind w:firstLine="480" w:firstLineChars="200"/>
              <w:rPr>
                <w:color w:val="auto"/>
                <w:sz w:val="24"/>
              </w:rPr>
            </w:pPr>
            <w:r>
              <w:rPr>
                <w:color w:val="auto"/>
                <w:sz w:val="24"/>
              </w:rPr>
              <w:t>工程施工噪声源主要包括施工机械噪声、施工作业噪声、运输车辆噪声三类。施工现场的各类机械设备是最主要的施工噪声源，由于施工场地面积相对不大，且施工期按照工程建设进度实施施工，可视为固定声源；施工作业噪声主要指一些零星的敲打声、装卸车辆的撞击声、拆装模板的撞击声等，多为瞬间噪声；施工车辆的噪声属于运输车辆来往运输物料产生的交通噪声。在这些施工噪声中对声环境影响最大的是施工机械噪声。</w:t>
            </w:r>
          </w:p>
          <w:p w14:paraId="4191AAB2">
            <w:pPr>
              <w:adjustRightInd w:val="0"/>
              <w:snapToGrid w:val="0"/>
              <w:spacing w:line="360" w:lineRule="auto"/>
              <w:ind w:firstLine="480" w:firstLineChars="200"/>
              <w:rPr>
                <w:color w:val="auto"/>
                <w:sz w:val="24"/>
              </w:rPr>
            </w:pPr>
            <w:r>
              <w:rPr>
                <w:color w:val="auto"/>
                <w:sz w:val="24"/>
              </w:rPr>
              <w:t>根据目前的机械制造水平，施工期噪声影响不可避免，</w:t>
            </w:r>
            <w:r>
              <w:rPr>
                <w:rFonts w:hint="eastAsia"/>
                <w:color w:val="auto"/>
                <w:sz w:val="24"/>
              </w:rPr>
              <w:t>可</w:t>
            </w:r>
            <w:r>
              <w:rPr>
                <w:color w:val="auto"/>
                <w:sz w:val="24"/>
              </w:rPr>
              <w:t>通过加强施工产噪设备的管理，以减轻施工噪声对周围环境的影响。为了减少项目施工而给周围人们生活等活动带来的不利影响，本评价建议采取以下控制措施：</w:t>
            </w:r>
          </w:p>
          <w:p w14:paraId="11DD15C5">
            <w:pPr>
              <w:adjustRightInd w:val="0"/>
              <w:snapToGrid w:val="0"/>
              <w:spacing w:line="360" w:lineRule="auto"/>
              <w:ind w:firstLine="480" w:firstLineChars="200"/>
              <w:outlineLvl w:val="0"/>
              <w:rPr>
                <w:color w:val="auto"/>
                <w:sz w:val="24"/>
              </w:rPr>
            </w:pPr>
            <w:bookmarkStart w:id="24" w:name="_Toc51580476"/>
            <w:r>
              <w:rPr>
                <w:color w:val="auto"/>
                <w:sz w:val="24"/>
              </w:rPr>
              <w:t>1</w:t>
            </w:r>
            <w:r>
              <w:rPr>
                <w:rFonts w:hint="eastAsia"/>
                <w:color w:val="auto"/>
                <w:sz w:val="24"/>
              </w:rPr>
              <w:t>）</w:t>
            </w:r>
            <w:r>
              <w:rPr>
                <w:color w:val="auto"/>
                <w:sz w:val="24"/>
              </w:rPr>
              <w:t>在施工过程中，施工单位应严格执行《建筑施工场界环境噪声排放标准》</w:t>
            </w:r>
            <w:r>
              <w:rPr>
                <w:rFonts w:hint="eastAsia"/>
                <w:color w:val="auto"/>
                <w:sz w:val="24"/>
              </w:rPr>
              <w:t>（</w:t>
            </w:r>
            <w:r>
              <w:rPr>
                <w:color w:val="auto"/>
                <w:sz w:val="24"/>
              </w:rPr>
              <w:t>GB12523-2011</w:t>
            </w:r>
            <w:r>
              <w:rPr>
                <w:rFonts w:hint="eastAsia"/>
                <w:color w:val="auto"/>
                <w:sz w:val="24"/>
              </w:rPr>
              <w:t>）</w:t>
            </w:r>
            <w:r>
              <w:rPr>
                <w:color w:val="auto"/>
                <w:sz w:val="24"/>
              </w:rPr>
              <w:t>中的有关规定，避免施工扰民事件的发生。</w:t>
            </w:r>
            <w:bookmarkEnd w:id="24"/>
          </w:p>
          <w:p w14:paraId="7D0A0C8F">
            <w:pPr>
              <w:adjustRightInd w:val="0"/>
              <w:snapToGrid w:val="0"/>
              <w:spacing w:line="360" w:lineRule="auto"/>
              <w:ind w:firstLine="480" w:firstLineChars="200"/>
              <w:rPr>
                <w:color w:val="auto"/>
                <w:sz w:val="24"/>
              </w:rPr>
            </w:pPr>
            <w:r>
              <w:rPr>
                <w:color w:val="auto"/>
                <w:sz w:val="24"/>
              </w:rPr>
              <w:t>2</w:t>
            </w:r>
            <w:r>
              <w:rPr>
                <w:rFonts w:hint="eastAsia"/>
                <w:color w:val="auto"/>
                <w:sz w:val="24"/>
              </w:rPr>
              <w:t>）</w:t>
            </w:r>
            <w:r>
              <w:rPr>
                <w:color w:val="auto"/>
                <w:sz w:val="24"/>
              </w:rPr>
              <w:t>施工单位要合理安排施工作业时间，晚间（19：00-22：00）禁止高噪设备（大于90dB（A））施工，22:00-6:00严禁一切施工活动。</w:t>
            </w:r>
          </w:p>
          <w:p w14:paraId="384ACA0A">
            <w:pPr>
              <w:adjustRightInd w:val="0"/>
              <w:snapToGrid w:val="0"/>
              <w:spacing w:line="360" w:lineRule="auto"/>
              <w:ind w:firstLine="480" w:firstLineChars="200"/>
              <w:rPr>
                <w:color w:val="auto"/>
                <w:sz w:val="24"/>
              </w:rPr>
            </w:pPr>
            <w:r>
              <w:rPr>
                <w:color w:val="auto"/>
                <w:sz w:val="24"/>
              </w:rPr>
              <w:t>3</w:t>
            </w:r>
            <w:r>
              <w:rPr>
                <w:rFonts w:hint="eastAsia"/>
                <w:color w:val="auto"/>
                <w:sz w:val="24"/>
              </w:rPr>
              <w:t>）</w:t>
            </w:r>
            <w:r>
              <w:rPr>
                <w:color w:val="auto"/>
                <w:sz w:val="24"/>
              </w:rPr>
              <w:t>施工机械产生的噪声往往具有突发、无规则、不连续和高强度等特点，施工单位应采取合理安排施工机械操作时间的方法加以缓解，并减少同时作业的高噪施工机械数量，尽可能减轻声源叠加影响。</w:t>
            </w:r>
          </w:p>
          <w:p w14:paraId="57FEBDAD">
            <w:pPr>
              <w:adjustRightInd w:val="0"/>
              <w:snapToGrid w:val="0"/>
              <w:spacing w:line="360" w:lineRule="auto"/>
              <w:ind w:firstLine="480" w:firstLineChars="200"/>
              <w:rPr>
                <w:color w:val="auto"/>
                <w:sz w:val="24"/>
              </w:rPr>
            </w:pPr>
            <w:r>
              <w:rPr>
                <w:color w:val="auto"/>
                <w:sz w:val="24"/>
              </w:rPr>
              <w:t>4</w:t>
            </w:r>
            <w:r>
              <w:rPr>
                <w:rFonts w:hint="eastAsia"/>
                <w:color w:val="auto"/>
                <w:sz w:val="24"/>
              </w:rPr>
              <w:t>）</w:t>
            </w:r>
            <w:r>
              <w:rPr>
                <w:color w:val="auto"/>
                <w:sz w:val="24"/>
              </w:rPr>
              <w:t>对于施工期间的材料运输、敲击、人的喊叫等噪声源，要求施工单位文明施工、加强有效管理以缓解其影响。</w:t>
            </w:r>
          </w:p>
          <w:p w14:paraId="63A484A4">
            <w:pPr>
              <w:adjustRightInd w:val="0"/>
              <w:snapToGrid w:val="0"/>
              <w:spacing w:line="360" w:lineRule="auto"/>
              <w:ind w:firstLine="480" w:firstLineChars="200"/>
              <w:rPr>
                <w:color w:val="auto"/>
                <w:sz w:val="24"/>
              </w:rPr>
            </w:pPr>
            <w:r>
              <w:rPr>
                <w:color w:val="auto"/>
                <w:sz w:val="24"/>
              </w:rPr>
              <w:t>5</w:t>
            </w:r>
            <w:r>
              <w:rPr>
                <w:rFonts w:hint="eastAsia"/>
                <w:color w:val="auto"/>
                <w:sz w:val="24"/>
              </w:rPr>
              <w:t>）</w:t>
            </w:r>
            <w:r>
              <w:rPr>
                <w:color w:val="auto"/>
                <w:sz w:val="24"/>
              </w:rPr>
              <w:t>施工场地的施工车辆出入地点应低速、禁鸣。</w:t>
            </w:r>
          </w:p>
          <w:p w14:paraId="17BC9A54">
            <w:pPr>
              <w:keepNext/>
              <w:keepLines/>
              <w:adjustRightInd w:val="0"/>
              <w:snapToGrid w:val="0"/>
              <w:spacing w:line="360" w:lineRule="auto"/>
              <w:ind w:firstLine="480" w:firstLineChars="200"/>
              <w:outlineLvl w:val="1"/>
              <w:rPr>
                <w:bCs/>
                <w:color w:val="auto"/>
                <w:sz w:val="24"/>
                <w:szCs w:val="32"/>
              </w:rPr>
            </w:pPr>
            <w:r>
              <w:rPr>
                <w:rFonts w:hint="eastAsia"/>
                <w:bCs/>
                <w:color w:val="auto"/>
                <w:sz w:val="24"/>
                <w:szCs w:val="32"/>
              </w:rPr>
              <w:t>（4）</w:t>
            </w:r>
            <w:r>
              <w:rPr>
                <w:rFonts w:hint="eastAsia" w:hAnsi="宋体"/>
                <w:bCs/>
                <w:color w:val="auto"/>
                <w:sz w:val="24"/>
                <w:szCs w:val="32"/>
              </w:rPr>
              <w:t>固体</w:t>
            </w:r>
            <w:r>
              <w:rPr>
                <w:rFonts w:hAnsi="宋体"/>
                <w:bCs/>
                <w:color w:val="auto"/>
                <w:sz w:val="24"/>
                <w:szCs w:val="32"/>
              </w:rPr>
              <w:t>废物</w:t>
            </w:r>
            <w:r>
              <w:rPr>
                <w:rFonts w:hint="eastAsia" w:hAnsi="宋体"/>
                <w:bCs/>
                <w:color w:val="auto"/>
                <w:sz w:val="24"/>
                <w:szCs w:val="32"/>
              </w:rPr>
              <w:t>处置</w:t>
            </w:r>
            <w:r>
              <w:rPr>
                <w:rFonts w:hAnsi="宋体"/>
                <w:bCs/>
                <w:color w:val="auto"/>
                <w:sz w:val="24"/>
                <w:szCs w:val="32"/>
              </w:rPr>
              <w:t>措施</w:t>
            </w:r>
          </w:p>
          <w:p w14:paraId="20EF18DB">
            <w:pPr>
              <w:adjustRightInd w:val="0"/>
              <w:snapToGrid w:val="0"/>
              <w:spacing w:line="360" w:lineRule="auto"/>
              <w:ind w:firstLine="480" w:firstLineChars="200"/>
              <w:rPr>
                <w:color w:val="auto"/>
                <w:sz w:val="24"/>
              </w:rPr>
            </w:pPr>
            <w:r>
              <w:rPr>
                <w:color w:val="auto"/>
                <w:sz w:val="24"/>
              </w:rPr>
              <w:t>施工期间产生的固体废物主要为</w:t>
            </w:r>
            <w:r>
              <w:rPr>
                <w:rFonts w:hint="eastAsia"/>
                <w:color w:val="auto"/>
                <w:sz w:val="24"/>
              </w:rPr>
              <w:t>设备建筑</w:t>
            </w:r>
            <w:r>
              <w:rPr>
                <w:color w:val="auto"/>
                <w:sz w:val="24"/>
              </w:rPr>
              <w:t>垃圾和生活垃圾。</w:t>
            </w:r>
          </w:p>
          <w:p w14:paraId="60C1A984">
            <w:pPr>
              <w:adjustRightInd w:val="0"/>
              <w:snapToGrid w:val="0"/>
              <w:spacing w:line="360" w:lineRule="auto"/>
              <w:ind w:firstLine="480" w:firstLineChars="200"/>
              <w:rPr>
                <w:color w:val="auto"/>
                <w:sz w:val="24"/>
              </w:rPr>
            </w:pPr>
            <w:r>
              <w:rPr>
                <w:color w:val="auto"/>
                <w:sz w:val="24"/>
              </w:rPr>
              <w:t>建筑垃圾主要包括废建材（如砂石、混凝土、废砖等）以及设备安装过程中产生的废包装材料等，基本无毒性，有害程度低，为一般废物，但处置不当，也会产生二次污染和水土流失等不良后果。</w:t>
            </w:r>
          </w:p>
          <w:p w14:paraId="299B4EE5">
            <w:pPr>
              <w:adjustRightInd w:val="0"/>
              <w:snapToGrid w:val="0"/>
              <w:spacing w:line="360" w:lineRule="auto"/>
              <w:ind w:firstLine="480" w:firstLineChars="200"/>
              <w:rPr>
                <w:color w:val="auto"/>
                <w:sz w:val="24"/>
              </w:rPr>
            </w:pPr>
            <w:r>
              <w:rPr>
                <w:color w:val="auto"/>
                <w:sz w:val="24"/>
              </w:rPr>
              <w:t>生活垃圾主要包括废弃的各种生活用品以及饮食垃圾。若不及时清运处理，则会腐烂变质、滋生苍蝇蚊虫、产生恶臭以及传染疾病等，从而给周围环境和作业人员健康带来不利影响。</w:t>
            </w:r>
          </w:p>
          <w:p w14:paraId="21196CFA">
            <w:pPr>
              <w:adjustRightInd w:val="0"/>
              <w:snapToGrid w:val="0"/>
              <w:spacing w:line="360" w:lineRule="auto"/>
              <w:ind w:firstLine="480" w:firstLineChars="200"/>
              <w:rPr>
                <w:color w:val="auto"/>
                <w:sz w:val="24"/>
              </w:rPr>
            </w:pPr>
            <w:r>
              <w:rPr>
                <w:color w:val="auto"/>
                <w:sz w:val="24"/>
              </w:rPr>
              <w:t>本次评价建议施工期产生的固体废物采取以下控制措施：</w:t>
            </w:r>
          </w:p>
          <w:p w14:paraId="1D95D128">
            <w:pPr>
              <w:adjustRightInd w:val="0"/>
              <w:snapToGrid w:val="0"/>
              <w:spacing w:line="360" w:lineRule="auto"/>
              <w:ind w:firstLine="480" w:firstLineChars="200"/>
              <w:rPr>
                <w:color w:val="auto"/>
                <w:sz w:val="24"/>
              </w:rPr>
            </w:pPr>
            <w:r>
              <w:rPr>
                <w:rFonts w:hint="eastAsia"/>
                <w:color w:val="auto"/>
                <w:sz w:val="24"/>
              </w:rPr>
              <w:t>1）</w:t>
            </w:r>
            <w:r>
              <w:rPr>
                <w:color w:val="auto"/>
                <w:sz w:val="24"/>
              </w:rPr>
              <w:t>施工过程中的建筑垃圾应进行必要的分类，以便回收可以二次利用的废弃物，不能利用的建筑垃圾要及时清运至专门的建筑垃圾堆放场地处置，避免任意堆弃影响土地利用及造成二次污染。</w:t>
            </w:r>
          </w:p>
          <w:p w14:paraId="1E61C57C">
            <w:pPr>
              <w:spacing w:line="360" w:lineRule="auto"/>
              <w:ind w:firstLine="480" w:firstLineChars="200"/>
              <w:rPr>
                <w:color w:val="auto"/>
                <w:sz w:val="24"/>
              </w:rPr>
            </w:pPr>
            <w:r>
              <w:rPr>
                <w:rFonts w:hint="eastAsia"/>
                <w:color w:val="auto"/>
                <w:sz w:val="24"/>
              </w:rPr>
              <w:t>2）</w:t>
            </w:r>
            <w:r>
              <w:rPr>
                <w:color w:val="auto"/>
                <w:sz w:val="24"/>
              </w:rPr>
              <w:t>生活垃圾统一收集后送至</w:t>
            </w:r>
            <w:r>
              <w:rPr>
                <w:rFonts w:hint="eastAsia"/>
                <w:color w:val="auto"/>
                <w:sz w:val="24"/>
              </w:rPr>
              <w:t>环卫部门</w:t>
            </w:r>
            <w:r>
              <w:rPr>
                <w:color w:val="auto"/>
                <w:sz w:val="24"/>
              </w:rPr>
              <w:t>进行集中处置。</w:t>
            </w:r>
          </w:p>
          <w:p w14:paraId="3568F17C">
            <w:pPr>
              <w:rPr>
                <w:color w:val="auto"/>
                <w:sz w:val="24"/>
              </w:rPr>
            </w:pPr>
          </w:p>
          <w:p w14:paraId="1D442519">
            <w:pPr>
              <w:pStyle w:val="7"/>
              <w:ind w:firstLine="560"/>
              <w:rPr>
                <w:color w:val="auto"/>
              </w:rPr>
            </w:pPr>
          </w:p>
          <w:p w14:paraId="16702CED">
            <w:pPr>
              <w:spacing w:line="360" w:lineRule="auto"/>
              <w:ind w:firstLine="420" w:firstLineChars="200"/>
              <w:rPr>
                <w:color w:val="auto"/>
              </w:rPr>
            </w:pPr>
          </w:p>
          <w:p w14:paraId="3519CE32">
            <w:pPr>
              <w:spacing w:line="360" w:lineRule="auto"/>
              <w:ind w:firstLine="420" w:firstLineChars="200"/>
              <w:rPr>
                <w:color w:val="auto"/>
              </w:rPr>
            </w:pPr>
          </w:p>
          <w:p w14:paraId="692BC0A7">
            <w:pPr>
              <w:spacing w:line="360" w:lineRule="auto"/>
              <w:ind w:firstLine="420" w:firstLineChars="200"/>
              <w:rPr>
                <w:color w:val="auto"/>
              </w:rPr>
            </w:pPr>
          </w:p>
          <w:p w14:paraId="7B598658">
            <w:pPr>
              <w:spacing w:line="360" w:lineRule="auto"/>
              <w:ind w:firstLine="420" w:firstLineChars="200"/>
              <w:rPr>
                <w:color w:val="auto"/>
              </w:rPr>
            </w:pPr>
          </w:p>
        </w:tc>
      </w:tr>
      <w:tr w14:paraId="30938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52" w:hRule="atLeast"/>
          <w:jc w:val="center"/>
        </w:trPr>
        <w:tc>
          <w:tcPr>
            <w:tcW w:w="499" w:type="dxa"/>
            <w:tcMar>
              <w:left w:w="28" w:type="dxa"/>
              <w:right w:w="28" w:type="dxa"/>
            </w:tcMar>
            <w:vAlign w:val="center"/>
          </w:tcPr>
          <w:p w14:paraId="4798DE6D">
            <w:pPr>
              <w:adjustRightInd w:val="0"/>
              <w:snapToGrid w:val="0"/>
              <w:jc w:val="center"/>
              <w:rPr>
                <w:b/>
                <w:color w:val="auto"/>
                <w:kern w:val="21"/>
                <w:sz w:val="24"/>
              </w:rPr>
            </w:pPr>
            <w:r>
              <w:rPr>
                <w:b/>
                <w:color w:val="auto"/>
                <w:kern w:val="21"/>
                <w:sz w:val="24"/>
              </w:rPr>
              <w:t>运营期环</w:t>
            </w:r>
          </w:p>
          <w:p w14:paraId="264E96DE">
            <w:pPr>
              <w:adjustRightInd w:val="0"/>
              <w:snapToGrid w:val="0"/>
              <w:jc w:val="center"/>
              <w:rPr>
                <w:b/>
                <w:color w:val="auto"/>
                <w:kern w:val="21"/>
                <w:sz w:val="24"/>
              </w:rPr>
            </w:pPr>
            <w:r>
              <w:rPr>
                <w:b/>
                <w:color w:val="auto"/>
                <w:kern w:val="21"/>
                <w:sz w:val="24"/>
              </w:rPr>
              <w:t>境影</w:t>
            </w:r>
          </w:p>
          <w:p w14:paraId="5121304A">
            <w:pPr>
              <w:adjustRightInd w:val="0"/>
              <w:snapToGrid w:val="0"/>
              <w:jc w:val="center"/>
              <w:rPr>
                <w:b/>
                <w:color w:val="auto"/>
                <w:kern w:val="21"/>
                <w:sz w:val="24"/>
              </w:rPr>
            </w:pPr>
            <w:r>
              <w:rPr>
                <w:b/>
                <w:color w:val="auto"/>
                <w:kern w:val="21"/>
                <w:sz w:val="24"/>
              </w:rPr>
              <w:t>响和</w:t>
            </w:r>
          </w:p>
          <w:p w14:paraId="393E3E0C">
            <w:pPr>
              <w:adjustRightInd w:val="0"/>
              <w:snapToGrid w:val="0"/>
              <w:jc w:val="center"/>
              <w:rPr>
                <w:b/>
                <w:color w:val="auto"/>
                <w:kern w:val="21"/>
                <w:sz w:val="24"/>
              </w:rPr>
            </w:pPr>
            <w:r>
              <w:rPr>
                <w:b/>
                <w:color w:val="auto"/>
                <w:kern w:val="21"/>
                <w:sz w:val="24"/>
              </w:rPr>
              <w:t>保护</w:t>
            </w:r>
          </w:p>
          <w:p w14:paraId="20794A2D">
            <w:pPr>
              <w:adjustRightInd w:val="0"/>
              <w:snapToGrid w:val="0"/>
              <w:jc w:val="center"/>
              <w:rPr>
                <w:bCs/>
                <w:color w:val="auto"/>
                <w:kern w:val="21"/>
                <w:szCs w:val="21"/>
              </w:rPr>
            </w:pPr>
            <w:r>
              <w:rPr>
                <w:b/>
                <w:color w:val="auto"/>
                <w:kern w:val="21"/>
                <w:sz w:val="24"/>
              </w:rPr>
              <w:t>措施</w:t>
            </w:r>
          </w:p>
        </w:tc>
        <w:tc>
          <w:tcPr>
            <w:tcW w:w="8482" w:type="dxa"/>
            <w:vAlign w:val="center"/>
          </w:tcPr>
          <w:p w14:paraId="6ED458D9">
            <w:pPr>
              <w:widowControl/>
              <w:spacing w:beforeLines="50" w:line="360" w:lineRule="auto"/>
              <w:jc w:val="left"/>
              <w:rPr>
                <w:rFonts w:eastAsia="TimesNewRomanPS-BoldMT"/>
                <w:color w:val="auto"/>
                <w:kern w:val="0"/>
                <w:sz w:val="24"/>
              </w:rPr>
            </w:pPr>
            <w:r>
              <w:rPr>
                <w:b/>
                <w:bCs/>
                <w:color w:val="auto"/>
                <w:kern w:val="0"/>
                <w:sz w:val="24"/>
              </w:rPr>
              <w:t>一、大气环境影响分析及环境保护措施</w:t>
            </w:r>
          </w:p>
          <w:p w14:paraId="41357C24">
            <w:pPr>
              <w:pStyle w:val="7"/>
              <w:spacing w:line="360" w:lineRule="auto"/>
              <w:ind w:firstLine="241" w:firstLineChars="100"/>
              <w:rPr>
                <w:b/>
                <w:bCs/>
                <w:color w:val="auto"/>
                <w:sz w:val="24"/>
                <w:szCs w:val="24"/>
              </w:rPr>
            </w:pPr>
            <w:r>
              <w:rPr>
                <w:b/>
                <w:bCs/>
                <w:color w:val="auto"/>
                <w:sz w:val="24"/>
                <w:szCs w:val="24"/>
              </w:rPr>
              <w:t>1、废气污染源强及达标分析</w:t>
            </w:r>
          </w:p>
          <w:p w14:paraId="47E78CFE">
            <w:pPr>
              <w:widowControl/>
              <w:spacing w:line="360" w:lineRule="auto"/>
              <w:ind w:firstLine="480" w:firstLineChars="200"/>
              <w:jc w:val="left"/>
              <w:rPr>
                <w:rFonts w:hint="eastAsia"/>
                <w:color w:val="auto"/>
                <w:kern w:val="0"/>
                <w:sz w:val="24"/>
              </w:rPr>
            </w:pPr>
            <w:r>
              <w:rPr>
                <w:rFonts w:hint="eastAsia"/>
                <w:color w:val="auto"/>
                <w:kern w:val="0"/>
                <w:sz w:val="24"/>
              </w:rPr>
              <w:t>本项目废气主要是</w:t>
            </w:r>
            <w:r>
              <w:rPr>
                <w:rFonts w:hint="eastAsia"/>
                <w:color w:val="auto"/>
                <w:kern w:val="0"/>
                <w:sz w:val="24"/>
                <w:lang w:val="en-US" w:eastAsia="zh-CN"/>
              </w:rPr>
              <w:t>沼气</w:t>
            </w:r>
            <w:r>
              <w:rPr>
                <w:rFonts w:hint="eastAsia"/>
                <w:color w:val="auto"/>
                <w:kern w:val="0"/>
                <w:sz w:val="24"/>
              </w:rPr>
              <w:t>锅炉燃烧废气</w:t>
            </w:r>
            <w:r>
              <w:rPr>
                <w:rFonts w:hint="eastAsia"/>
                <w:color w:val="auto"/>
                <w:kern w:val="0"/>
                <w:sz w:val="24"/>
                <w:lang w:eastAsia="zh-CN"/>
              </w:rPr>
              <w:t>、</w:t>
            </w:r>
            <w:r>
              <w:rPr>
                <w:rFonts w:hint="eastAsia"/>
                <w:color w:val="auto"/>
                <w:kern w:val="0"/>
                <w:sz w:val="24"/>
              </w:rPr>
              <w:t>投料粉尘</w:t>
            </w:r>
            <w:r>
              <w:rPr>
                <w:rFonts w:hint="eastAsia"/>
                <w:color w:val="auto"/>
                <w:kern w:val="0"/>
                <w:sz w:val="24"/>
                <w:lang w:eastAsia="zh-CN"/>
              </w:rPr>
              <w:t>以及</w:t>
            </w:r>
            <w:r>
              <w:rPr>
                <w:rFonts w:hint="eastAsia"/>
                <w:color w:val="auto"/>
                <w:kern w:val="0"/>
                <w:sz w:val="24"/>
              </w:rPr>
              <w:t>豆渣暂存间</w:t>
            </w:r>
            <w:r>
              <w:rPr>
                <w:rFonts w:hint="eastAsia"/>
                <w:color w:val="auto"/>
                <w:kern w:val="0"/>
                <w:sz w:val="24"/>
                <w:lang w:eastAsia="zh-CN"/>
              </w:rPr>
              <w:t>产生的</w:t>
            </w:r>
            <w:r>
              <w:rPr>
                <w:rFonts w:hint="eastAsia"/>
                <w:color w:val="auto"/>
                <w:kern w:val="0"/>
                <w:sz w:val="24"/>
              </w:rPr>
              <w:t>异味。</w:t>
            </w:r>
          </w:p>
          <w:p w14:paraId="0131D8DB">
            <w:pPr>
              <w:widowControl/>
              <w:spacing w:line="360" w:lineRule="auto"/>
              <w:ind w:firstLine="480" w:firstLineChars="200"/>
              <w:jc w:val="left"/>
              <w:rPr>
                <w:rFonts w:hint="eastAsia"/>
                <w:color w:val="auto"/>
                <w:kern w:val="0"/>
                <w:sz w:val="24"/>
              </w:rPr>
            </w:pPr>
            <w:r>
              <w:rPr>
                <w:rFonts w:hint="eastAsia"/>
                <w:color w:val="auto"/>
                <w:kern w:val="0"/>
                <w:sz w:val="24"/>
              </w:rPr>
              <w:t>（1）燃烧废气</w:t>
            </w:r>
          </w:p>
          <w:p w14:paraId="4A0D6D0B">
            <w:pPr>
              <w:widowControl/>
              <w:spacing w:line="360" w:lineRule="auto"/>
              <w:ind w:firstLine="480" w:firstLineChars="200"/>
              <w:jc w:val="both"/>
              <w:rPr>
                <w:rFonts w:hint="eastAsia"/>
                <w:color w:val="auto"/>
                <w:kern w:val="0"/>
                <w:sz w:val="24"/>
              </w:rPr>
            </w:pPr>
            <w:r>
              <w:rPr>
                <w:rFonts w:hint="eastAsia"/>
                <w:color w:val="auto"/>
                <w:kern w:val="0"/>
                <w:sz w:val="24"/>
              </w:rPr>
              <w:t>根据建设方提供的资料，本项目锅炉所用的</w:t>
            </w:r>
            <w:r>
              <w:rPr>
                <w:rFonts w:hint="eastAsia"/>
                <w:color w:val="auto"/>
                <w:kern w:val="0"/>
                <w:sz w:val="24"/>
                <w:lang w:val="en-US" w:eastAsia="zh-CN"/>
              </w:rPr>
              <w:t>沼气来源于建设单位架河循环产业园秸秆粪便资源化利用（一期）项目产生的沼气，该沼气在生产阶段已经过脱硫脱水处理，本项目所使用的沼气</w:t>
            </w:r>
            <w:r>
              <w:rPr>
                <w:rFonts w:hint="eastAsia"/>
                <w:color w:val="auto"/>
                <w:kern w:val="0"/>
                <w:sz w:val="24"/>
              </w:rPr>
              <w:t>燃料低位发热量</w:t>
            </w:r>
            <w:r>
              <w:rPr>
                <w:rFonts w:hint="eastAsia"/>
                <w:color w:val="auto"/>
                <w:kern w:val="0"/>
                <w:sz w:val="24"/>
                <w:lang w:val="en-US" w:eastAsia="zh-CN"/>
              </w:rPr>
              <w:t>约</w:t>
            </w:r>
            <w:r>
              <w:rPr>
                <w:rFonts w:hint="eastAsia"/>
                <w:color w:val="auto"/>
                <w:kern w:val="0"/>
                <w:sz w:val="24"/>
              </w:rPr>
              <w:t>为</w:t>
            </w:r>
            <w:r>
              <w:rPr>
                <w:rFonts w:hint="eastAsia"/>
                <w:color w:val="auto"/>
                <w:kern w:val="0"/>
                <w:sz w:val="24"/>
                <w:lang w:val="en-US" w:eastAsia="zh-CN"/>
              </w:rPr>
              <w:t>25</w:t>
            </w:r>
            <w:r>
              <w:rPr>
                <w:rFonts w:hint="eastAsia"/>
                <w:color w:val="auto"/>
                <w:kern w:val="0"/>
                <w:sz w:val="24"/>
              </w:rPr>
              <w:t>MJ/m</w:t>
            </w:r>
            <w:r>
              <w:rPr>
                <w:rFonts w:hint="eastAsia"/>
                <w:color w:val="auto"/>
                <w:kern w:val="0"/>
                <w:sz w:val="24"/>
                <w:vertAlign w:val="superscript"/>
              </w:rPr>
              <w:t>3</w:t>
            </w:r>
            <w:r>
              <w:rPr>
                <w:rFonts w:hint="eastAsia"/>
                <w:color w:val="auto"/>
                <w:kern w:val="0"/>
                <w:sz w:val="24"/>
              </w:rPr>
              <w:t>（换算为</w:t>
            </w:r>
            <w:r>
              <w:rPr>
                <w:rFonts w:hint="eastAsia"/>
                <w:color w:val="auto"/>
                <w:kern w:val="0"/>
                <w:sz w:val="24"/>
                <w:lang w:val="en-US" w:eastAsia="zh-CN"/>
              </w:rPr>
              <w:t>5980.8</w:t>
            </w:r>
            <w:r>
              <w:rPr>
                <w:rFonts w:hint="eastAsia"/>
                <w:color w:val="auto"/>
                <w:kern w:val="0"/>
                <w:sz w:val="24"/>
              </w:rPr>
              <w:t>kcal/m</w:t>
            </w:r>
            <w:r>
              <w:rPr>
                <w:rFonts w:hint="eastAsia"/>
                <w:color w:val="auto"/>
                <w:kern w:val="0"/>
                <w:sz w:val="24"/>
                <w:vertAlign w:val="superscript"/>
              </w:rPr>
              <w:t>3</w:t>
            </w:r>
            <w:r>
              <w:rPr>
                <w:rFonts w:hint="eastAsia"/>
                <w:color w:val="auto"/>
                <w:kern w:val="0"/>
                <w:sz w:val="24"/>
              </w:rPr>
              <w:t>）；燃烧室热效率约为95%，则2t/h</w:t>
            </w:r>
            <w:r>
              <w:rPr>
                <w:rFonts w:hint="eastAsia"/>
                <w:color w:val="auto"/>
                <w:kern w:val="0"/>
                <w:sz w:val="24"/>
                <w:lang w:val="en-US" w:eastAsia="zh-CN"/>
              </w:rPr>
              <w:t>沼气</w:t>
            </w:r>
            <w:r>
              <w:rPr>
                <w:rFonts w:hint="eastAsia"/>
                <w:color w:val="auto"/>
                <w:kern w:val="0"/>
                <w:sz w:val="24"/>
              </w:rPr>
              <w:t>锅炉每小时需要燃料量为1200000kcal/</w:t>
            </w:r>
            <w:r>
              <w:rPr>
                <w:rFonts w:hint="eastAsia"/>
                <w:color w:val="auto"/>
                <w:kern w:val="0"/>
                <w:sz w:val="24"/>
                <w:lang w:val="en-US" w:eastAsia="zh-CN"/>
              </w:rPr>
              <w:t>5980.8</w:t>
            </w:r>
            <w:r>
              <w:rPr>
                <w:rFonts w:hint="eastAsia"/>
                <w:color w:val="auto"/>
                <w:kern w:val="0"/>
                <w:sz w:val="24"/>
              </w:rPr>
              <w:t>kcal/m</w:t>
            </w:r>
            <w:r>
              <w:rPr>
                <w:rFonts w:hint="eastAsia"/>
                <w:color w:val="auto"/>
                <w:kern w:val="0"/>
                <w:sz w:val="24"/>
                <w:vertAlign w:val="superscript"/>
              </w:rPr>
              <w:t>3</w:t>
            </w:r>
            <w:r>
              <w:rPr>
                <w:rFonts w:hint="eastAsia"/>
                <w:color w:val="auto"/>
                <w:kern w:val="0"/>
                <w:sz w:val="24"/>
              </w:rPr>
              <w:t>/95%=</w:t>
            </w:r>
            <w:r>
              <w:rPr>
                <w:rFonts w:hint="eastAsia"/>
                <w:color w:val="auto"/>
                <w:kern w:val="0"/>
                <w:sz w:val="24"/>
                <w:lang w:val="en-US" w:eastAsia="zh-CN"/>
              </w:rPr>
              <w:t>211.20</w:t>
            </w:r>
            <w:r>
              <w:rPr>
                <w:rFonts w:hint="eastAsia"/>
                <w:color w:val="auto"/>
                <w:kern w:val="0"/>
                <w:sz w:val="24"/>
              </w:rPr>
              <w:t>m</w:t>
            </w:r>
            <w:r>
              <w:rPr>
                <w:rFonts w:hint="eastAsia"/>
                <w:color w:val="auto"/>
                <w:kern w:val="0"/>
                <w:sz w:val="24"/>
                <w:vertAlign w:val="superscript"/>
              </w:rPr>
              <w:t>3</w:t>
            </w:r>
            <w:r>
              <w:rPr>
                <w:rFonts w:hint="eastAsia"/>
                <w:color w:val="auto"/>
                <w:kern w:val="0"/>
                <w:sz w:val="24"/>
              </w:rPr>
              <w:t>/h，该</w:t>
            </w:r>
            <w:r>
              <w:rPr>
                <w:rFonts w:hint="eastAsia"/>
                <w:color w:val="auto"/>
                <w:kern w:val="0"/>
                <w:sz w:val="24"/>
                <w:lang w:val="en-US" w:eastAsia="zh-CN"/>
              </w:rPr>
              <w:t>2</w:t>
            </w:r>
            <w:r>
              <w:rPr>
                <w:rFonts w:hint="eastAsia"/>
                <w:color w:val="auto"/>
                <w:kern w:val="0"/>
                <w:sz w:val="24"/>
              </w:rPr>
              <w:t>t/h沼气锅炉年运行时间</w:t>
            </w:r>
            <w:r>
              <w:rPr>
                <w:rFonts w:hint="eastAsia"/>
                <w:color w:val="auto"/>
                <w:kern w:val="0"/>
                <w:sz w:val="24"/>
                <w:lang w:val="en-US" w:eastAsia="zh-CN"/>
              </w:rPr>
              <w:t>30</w:t>
            </w:r>
            <w:r>
              <w:rPr>
                <w:rFonts w:hint="eastAsia"/>
                <w:color w:val="auto"/>
                <w:kern w:val="0"/>
                <w:sz w:val="24"/>
              </w:rPr>
              <w:t>00h，则2t/h</w:t>
            </w:r>
            <w:r>
              <w:rPr>
                <w:rFonts w:hint="eastAsia"/>
                <w:color w:val="auto"/>
                <w:kern w:val="0"/>
                <w:sz w:val="24"/>
                <w:lang w:val="en-US" w:eastAsia="zh-CN"/>
              </w:rPr>
              <w:t>沼气</w:t>
            </w:r>
            <w:r>
              <w:rPr>
                <w:rFonts w:hint="eastAsia"/>
                <w:color w:val="auto"/>
                <w:kern w:val="0"/>
                <w:sz w:val="24"/>
              </w:rPr>
              <w:t>天然气燃料年用量为</w:t>
            </w:r>
            <w:r>
              <w:rPr>
                <w:rFonts w:hint="eastAsia"/>
                <w:color w:val="auto"/>
                <w:kern w:val="0"/>
                <w:sz w:val="24"/>
                <w:lang w:val="en-US" w:eastAsia="zh-CN"/>
              </w:rPr>
              <w:t>63.36</w:t>
            </w:r>
            <w:r>
              <w:rPr>
                <w:rFonts w:hint="eastAsia"/>
                <w:color w:val="auto"/>
                <w:kern w:val="0"/>
                <w:sz w:val="24"/>
              </w:rPr>
              <w:t>万m</w:t>
            </w:r>
            <w:r>
              <w:rPr>
                <w:rFonts w:hint="eastAsia"/>
                <w:color w:val="auto"/>
                <w:kern w:val="0"/>
                <w:sz w:val="24"/>
                <w:vertAlign w:val="superscript"/>
              </w:rPr>
              <w:t>3</w:t>
            </w:r>
            <w:r>
              <w:rPr>
                <w:rFonts w:hint="eastAsia"/>
                <w:color w:val="auto"/>
                <w:kern w:val="0"/>
                <w:sz w:val="24"/>
              </w:rPr>
              <w:t>/a。</w:t>
            </w:r>
            <w:r>
              <w:rPr>
                <w:rFonts w:hint="eastAsia"/>
                <w:color w:val="auto"/>
                <w:kern w:val="0"/>
                <w:sz w:val="24"/>
                <w:lang w:val="en-US" w:eastAsia="zh-CN"/>
              </w:rPr>
              <w:t>根据建设单位提供的资料，现有项目产生的沼气中</w:t>
            </w:r>
            <w:r>
              <w:rPr>
                <w:rFonts w:hint="eastAsia"/>
                <w:color w:val="auto"/>
                <w:kern w:val="0"/>
                <w:sz w:val="24"/>
              </w:rPr>
              <w:t>甲烷</w:t>
            </w:r>
            <w:r>
              <w:rPr>
                <w:rFonts w:hint="eastAsia"/>
                <w:color w:val="auto"/>
                <w:kern w:val="0"/>
                <w:sz w:val="24"/>
                <w:lang w:val="en-US" w:eastAsia="zh-CN"/>
              </w:rPr>
              <w:t>含量约为5</w:t>
            </w:r>
            <w:r>
              <w:rPr>
                <w:rFonts w:hint="eastAsia"/>
                <w:color w:val="auto"/>
                <w:kern w:val="0"/>
                <w:sz w:val="24"/>
              </w:rPr>
              <w:t>0%。</w:t>
            </w:r>
            <w:r>
              <w:rPr>
                <w:rFonts w:hint="eastAsia"/>
                <w:color w:val="auto"/>
                <w:kern w:val="0"/>
                <w:sz w:val="24"/>
                <w:lang w:eastAsia="zh-CN"/>
              </w:rPr>
              <w:t>沼气锅炉</w:t>
            </w:r>
            <w:r>
              <w:rPr>
                <w:rFonts w:hint="eastAsia"/>
                <w:color w:val="auto"/>
                <w:kern w:val="0"/>
                <w:sz w:val="24"/>
              </w:rPr>
              <w:t>配备低氮燃烧器</w:t>
            </w:r>
            <w:r>
              <w:rPr>
                <w:rFonts w:hint="eastAsia"/>
                <w:color w:val="auto"/>
                <w:kern w:val="0"/>
                <w:sz w:val="24"/>
                <w:lang w:eastAsia="zh-CN"/>
              </w:rPr>
              <w:t>，</w:t>
            </w:r>
            <w:r>
              <w:rPr>
                <w:rFonts w:hint="eastAsia"/>
                <w:color w:val="auto"/>
                <w:kern w:val="0"/>
                <w:sz w:val="24"/>
              </w:rPr>
              <w:t>燃烧废气污染物主要成分为SO</w:t>
            </w:r>
            <w:r>
              <w:rPr>
                <w:rFonts w:hint="eastAsia"/>
                <w:color w:val="auto"/>
                <w:kern w:val="0"/>
                <w:sz w:val="24"/>
                <w:vertAlign w:val="subscript"/>
              </w:rPr>
              <w:t>2</w:t>
            </w:r>
            <w:r>
              <w:rPr>
                <w:rFonts w:hint="eastAsia"/>
                <w:color w:val="auto"/>
                <w:kern w:val="0"/>
                <w:sz w:val="24"/>
              </w:rPr>
              <w:t>、NOx、颗粒物。</w:t>
            </w:r>
          </w:p>
          <w:p w14:paraId="734E8739">
            <w:pPr>
              <w:widowControl/>
              <w:spacing w:line="360" w:lineRule="auto"/>
              <w:ind w:firstLine="480" w:firstLineChars="200"/>
              <w:jc w:val="left"/>
              <w:rPr>
                <w:rFonts w:hint="eastAsia"/>
                <w:color w:val="auto"/>
                <w:kern w:val="0"/>
                <w:sz w:val="24"/>
              </w:rPr>
            </w:pPr>
            <w:r>
              <w:rPr>
                <w:rFonts w:hint="eastAsia"/>
                <w:color w:val="auto"/>
                <w:kern w:val="0"/>
                <w:sz w:val="24"/>
                <w:lang w:val="en-US" w:eastAsia="zh-CN"/>
              </w:rPr>
              <w:t>由于</w:t>
            </w:r>
            <w:r>
              <w:rPr>
                <w:rFonts w:hint="eastAsia"/>
                <w:color w:val="auto"/>
                <w:kern w:val="0"/>
                <w:sz w:val="24"/>
                <w:lang w:eastAsia="zh-CN"/>
              </w:rPr>
              <w:t>沼气锅炉</w:t>
            </w:r>
            <w:r>
              <w:rPr>
                <w:rFonts w:hint="eastAsia"/>
                <w:color w:val="auto"/>
                <w:kern w:val="0"/>
                <w:sz w:val="24"/>
                <w:lang w:val="en-US" w:eastAsia="zh-CN"/>
              </w:rPr>
              <w:t>无市场参照产排污系数，因此</w:t>
            </w:r>
            <w:r>
              <w:rPr>
                <w:rFonts w:hint="eastAsia"/>
                <w:color w:val="auto"/>
                <w:kern w:val="0"/>
                <w:sz w:val="24"/>
              </w:rPr>
              <w:t>参照《排放源统计调查产排污核算方法和系数手册》（公告2021年第24号）4430工业锅炉（热力供应）行业系数手册中燃气工业锅炉产污系数表，燃气工业锅炉的工业废气量产污系数为107753Nm</w:t>
            </w:r>
            <w:r>
              <w:rPr>
                <w:rFonts w:hint="eastAsia"/>
                <w:color w:val="auto"/>
                <w:kern w:val="0"/>
                <w:sz w:val="24"/>
                <w:vertAlign w:val="superscript"/>
              </w:rPr>
              <w:t>3</w:t>
            </w:r>
            <w:r>
              <w:rPr>
                <w:rFonts w:hint="eastAsia"/>
                <w:color w:val="auto"/>
                <w:kern w:val="0"/>
                <w:sz w:val="24"/>
              </w:rPr>
              <w:t>/万m</w:t>
            </w:r>
            <w:r>
              <w:rPr>
                <w:rFonts w:hint="eastAsia"/>
                <w:color w:val="auto"/>
                <w:kern w:val="0"/>
                <w:sz w:val="24"/>
                <w:vertAlign w:val="superscript"/>
              </w:rPr>
              <w:t>3</w:t>
            </w:r>
            <w:r>
              <w:rPr>
                <w:rFonts w:hint="eastAsia"/>
                <w:color w:val="auto"/>
                <w:kern w:val="0"/>
                <w:sz w:val="24"/>
              </w:rPr>
              <w:t>-原料，项目沼气用量为</w:t>
            </w:r>
            <w:r>
              <w:rPr>
                <w:rFonts w:hint="eastAsia"/>
                <w:color w:val="auto"/>
                <w:kern w:val="0"/>
                <w:sz w:val="24"/>
                <w:lang w:val="en-US" w:eastAsia="zh-CN"/>
              </w:rPr>
              <w:t>63.36</w:t>
            </w:r>
            <w:r>
              <w:rPr>
                <w:rFonts w:hint="eastAsia"/>
                <w:color w:val="auto"/>
                <w:kern w:val="0"/>
                <w:sz w:val="24"/>
              </w:rPr>
              <w:t>万m</w:t>
            </w:r>
            <w:r>
              <w:rPr>
                <w:rFonts w:hint="eastAsia"/>
                <w:color w:val="auto"/>
                <w:kern w:val="0"/>
                <w:sz w:val="24"/>
                <w:vertAlign w:val="superscript"/>
              </w:rPr>
              <w:t>3</w:t>
            </w:r>
            <w:r>
              <w:rPr>
                <w:rFonts w:hint="eastAsia"/>
                <w:color w:val="auto"/>
                <w:kern w:val="0"/>
                <w:sz w:val="24"/>
              </w:rPr>
              <w:t>/a，年运行</w:t>
            </w:r>
            <w:r>
              <w:rPr>
                <w:rFonts w:hint="eastAsia"/>
                <w:color w:val="auto"/>
                <w:kern w:val="0"/>
                <w:sz w:val="24"/>
                <w:lang w:val="en-US" w:eastAsia="zh-CN"/>
              </w:rPr>
              <w:t>3000</w:t>
            </w:r>
            <w:r>
              <w:rPr>
                <w:rFonts w:hint="eastAsia"/>
                <w:color w:val="auto"/>
                <w:kern w:val="0"/>
                <w:sz w:val="24"/>
              </w:rPr>
              <w:t>h，则基准烟气量</w:t>
            </w:r>
            <w:r>
              <w:rPr>
                <w:rFonts w:hint="eastAsia"/>
                <w:color w:val="auto"/>
                <w:kern w:val="0"/>
                <w:sz w:val="24"/>
                <w:lang w:val="en-US" w:eastAsia="zh-CN"/>
              </w:rPr>
              <w:t>约</w:t>
            </w:r>
            <w:r>
              <w:rPr>
                <w:rFonts w:hint="eastAsia"/>
                <w:color w:val="auto"/>
                <w:kern w:val="0"/>
                <w:sz w:val="24"/>
              </w:rPr>
              <w:t>为</w:t>
            </w:r>
            <w:r>
              <w:rPr>
                <w:rFonts w:hint="eastAsia"/>
                <w:color w:val="auto"/>
                <w:kern w:val="0"/>
                <w:sz w:val="24"/>
                <w:lang w:val="en-US" w:eastAsia="zh-CN"/>
              </w:rPr>
              <w:t>2275</w:t>
            </w:r>
            <w:r>
              <w:rPr>
                <w:rFonts w:hint="eastAsia"/>
                <w:color w:val="auto"/>
                <w:kern w:val="0"/>
                <w:sz w:val="24"/>
              </w:rPr>
              <w:t>m</w:t>
            </w:r>
            <w:r>
              <w:rPr>
                <w:rFonts w:hint="eastAsia"/>
                <w:color w:val="auto"/>
                <w:kern w:val="0"/>
                <w:sz w:val="24"/>
                <w:vertAlign w:val="superscript"/>
              </w:rPr>
              <w:t>3</w:t>
            </w:r>
            <w:r>
              <w:rPr>
                <w:rFonts w:hint="eastAsia"/>
                <w:color w:val="auto"/>
                <w:kern w:val="0"/>
                <w:sz w:val="24"/>
              </w:rPr>
              <w:t>/h。</w:t>
            </w:r>
          </w:p>
          <w:p w14:paraId="17E4D9CB">
            <w:pPr>
              <w:widowControl/>
              <w:spacing w:line="360" w:lineRule="auto"/>
              <w:ind w:firstLine="480" w:firstLineChars="200"/>
              <w:jc w:val="left"/>
              <w:rPr>
                <w:rFonts w:hint="eastAsia"/>
                <w:color w:val="auto"/>
                <w:kern w:val="0"/>
                <w:sz w:val="24"/>
              </w:rPr>
            </w:pPr>
            <w:r>
              <w:rPr>
                <w:rFonts w:hint="eastAsia"/>
                <w:color w:val="auto"/>
                <w:kern w:val="0"/>
                <w:sz w:val="24"/>
              </w:rPr>
              <w:t>②污染物产生量</w:t>
            </w:r>
          </w:p>
          <w:p w14:paraId="68095E73">
            <w:pPr>
              <w:widowControl/>
              <w:spacing w:line="360" w:lineRule="auto"/>
              <w:ind w:firstLine="480" w:firstLineChars="200"/>
              <w:jc w:val="left"/>
              <w:rPr>
                <w:rFonts w:hint="eastAsia"/>
                <w:color w:val="auto"/>
                <w:kern w:val="0"/>
                <w:sz w:val="24"/>
              </w:rPr>
            </w:pPr>
            <w:r>
              <w:rPr>
                <w:rFonts w:hint="eastAsia"/>
                <w:color w:val="auto"/>
                <w:kern w:val="0"/>
                <w:sz w:val="24"/>
              </w:rPr>
              <w:t>参照《排放源统计调查产排污核算方法和系数手册》（公告2021年第24号）4430工业锅炉（热力供应）行业系数手册中燃气工业锅炉产污系数表，SO</w:t>
            </w:r>
            <w:r>
              <w:rPr>
                <w:rFonts w:hint="eastAsia"/>
                <w:color w:val="auto"/>
                <w:kern w:val="0"/>
                <w:sz w:val="24"/>
                <w:vertAlign w:val="subscript"/>
              </w:rPr>
              <w:t>2</w:t>
            </w:r>
            <w:r>
              <w:rPr>
                <w:rFonts w:hint="eastAsia"/>
                <w:color w:val="auto"/>
                <w:kern w:val="0"/>
                <w:sz w:val="24"/>
              </w:rPr>
              <w:t>产污系数为0.02Skg/万立方米-原料（脱硫后含硫量为100mg/m</w:t>
            </w:r>
            <w:r>
              <w:rPr>
                <w:rFonts w:hint="eastAsia"/>
                <w:color w:val="auto"/>
                <w:kern w:val="0"/>
                <w:sz w:val="24"/>
                <w:vertAlign w:val="superscript"/>
              </w:rPr>
              <w:t>3</w:t>
            </w:r>
            <w:r>
              <w:rPr>
                <w:rFonts w:hint="eastAsia"/>
                <w:color w:val="auto"/>
                <w:kern w:val="0"/>
                <w:sz w:val="24"/>
              </w:rPr>
              <w:t>，即S取值为100），沼气中的甲烷量为</w:t>
            </w:r>
            <w:r>
              <w:rPr>
                <w:rFonts w:hint="eastAsia"/>
                <w:color w:val="auto"/>
                <w:kern w:val="0"/>
                <w:sz w:val="24"/>
                <w:lang w:val="en-US" w:eastAsia="zh-CN"/>
              </w:rPr>
              <w:t>31.68</w:t>
            </w:r>
            <w:r>
              <w:rPr>
                <w:rFonts w:hint="eastAsia"/>
                <w:color w:val="auto"/>
                <w:kern w:val="0"/>
                <w:sz w:val="24"/>
              </w:rPr>
              <w:t>万m</w:t>
            </w:r>
            <w:r>
              <w:rPr>
                <w:rFonts w:hint="eastAsia"/>
                <w:color w:val="auto"/>
                <w:kern w:val="0"/>
                <w:sz w:val="24"/>
                <w:vertAlign w:val="superscript"/>
              </w:rPr>
              <w:t>3</w:t>
            </w:r>
            <w:r>
              <w:rPr>
                <w:rFonts w:hint="eastAsia"/>
                <w:color w:val="auto"/>
                <w:kern w:val="0"/>
                <w:sz w:val="24"/>
              </w:rPr>
              <w:t>/a，则SO</w:t>
            </w:r>
            <w:r>
              <w:rPr>
                <w:rFonts w:hint="eastAsia"/>
                <w:color w:val="auto"/>
                <w:kern w:val="0"/>
                <w:sz w:val="24"/>
                <w:vertAlign w:val="subscript"/>
              </w:rPr>
              <w:t>2</w:t>
            </w:r>
            <w:r>
              <w:rPr>
                <w:rFonts w:hint="eastAsia"/>
                <w:color w:val="auto"/>
                <w:kern w:val="0"/>
                <w:sz w:val="24"/>
              </w:rPr>
              <w:t>产生量为</w:t>
            </w:r>
            <w:r>
              <w:rPr>
                <w:rFonts w:hint="eastAsia"/>
                <w:color w:val="auto"/>
                <w:kern w:val="0"/>
                <w:sz w:val="24"/>
                <w:lang w:val="en-US" w:eastAsia="zh-CN"/>
              </w:rPr>
              <w:t>0.0634</w:t>
            </w:r>
            <w:r>
              <w:rPr>
                <w:rFonts w:hint="eastAsia"/>
                <w:color w:val="auto"/>
                <w:kern w:val="0"/>
                <w:sz w:val="24"/>
              </w:rPr>
              <w:t>t/a。</w:t>
            </w:r>
          </w:p>
          <w:p w14:paraId="46AB971D">
            <w:pPr>
              <w:widowControl/>
              <w:spacing w:line="360" w:lineRule="auto"/>
              <w:ind w:firstLine="480" w:firstLineChars="200"/>
              <w:jc w:val="left"/>
              <w:rPr>
                <w:rFonts w:hint="eastAsia"/>
                <w:color w:val="auto"/>
                <w:kern w:val="0"/>
                <w:sz w:val="24"/>
              </w:rPr>
            </w:pPr>
            <w:r>
              <w:rPr>
                <w:rFonts w:hint="eastAsia"/>
                <w:color w:val="auto"/>
                <w:kern w:val="0"/>
                <w:sz w:val="24"/>
              </w:rPr>
              <w:t>项目沼气蒸汽锅炉采用低氮燃烧技术（</w:t>
            </w:r>
            <w:r>
              <w:rPr>
                <w:rFonts w:hint="eastAsia"/>
                <w:color w:val="auto"/>
                <w:kern w:val="0"/>
                <w:sz w:val="24"/>
                <w:lang w:val="en-US" w:eastAsia="zh-CN"/>
              </w:rPr>
              <w:t>国际</w:t>
            </w:r>
            <w:r>
              <w:rPr>
                <w:rFonts w:hint="eastAsia"/>
                <w:color w:val="auto"/>
                <w:kern w:val="0"/>
                <w:sz w:val="24"/>
              </w:rPr>
              <w:t>领先），根据《排放源统计调查产排污核算方法和系数手册》（公告2021年第24号）4430工业锅炉（热力供应）行业系数手册中燃气工业锅炉产污系数表，采用低氮燃烧技术（国内领先）的NOx产污系数取</w:t>
            </w:r>
            <w:r>
              <w:rPr>
                <w:rFonts w:hint="eastAsia"/>
                <w:color w:val="auto"/>
                <w:kern w:val="0"/>
                <w:sz w:val="24"/>
                <w:lang w:val="en-US" w:eastAsia="zh-CN"/>
              </w:rPr>
              <w:t>3.03</w:t>
            </w:r>
            <w:r>
              <w:rPr>
                <w:rFonts w:hint="eastAsia"/>
                <w:color w:val="auto"/>
                <w:kern w:val="0"/>
                <w:sz w:val="24"/>
              </w:rPr>
              <w:t>kg/万立方米-原料，则NOx产生量为</w:t>
            </w:r>
            <w:r>
              <w:rPr>
                <w:rFonts w:hint="eastAsia"/>
                <w:color w:val="auto"/>
                <w:kern w:val="0"/>
                <w:sz w:val="24"/>
                <w:lang w:val="en-US" w:eastAsia="zh-CN"/>
              </w:rPr>
              <w:t>0.1920</w:t>
            </w:r>
            <w:r>
              <w:rPr>
                <w:rFonts w:hint="eastAsia"/>
                <w:color w:val="auto"/>
                <w:kern w:val="0"/>
                <w:sz w:val="24"/>
              </w:rPr>
              <w:t>t/a。</w:t>
            </w:r>
          </w:p>
          <w:p w14:paraId="471C85FE">
            <w:pPr>
              <w:widowControl/>
              <w:spacing w:line="360" w:lineRule="auto"/>
              <w:ind w:firstLine="480" w:firstLineChars="200"/>
              <w:jc w:val="left"/>
              <w:rPr>
                <w:rFonts w:hint="eastAsia"/>
                <w:color w:val="auto"/>
                <w:kern w:val="0"/>
                <w:sz w:val="24"/>
              </w:rPr>
            </w:pPr>
            <w:r>
              <w:rPr>
                <w:rFonts w:hint="eastAsia"/>
                <w:color w:val="auto"/>
                <w:kern w:val="0"/>
                <w:sz w:val="24"/>
              </w:rPr>
              <w:t>由于《排放源统计调查产排污核算方法和系数手册》（公告2021年第24号）4430工业锅炉（热力供应）行业系数手册中无颗粒物系数，故参照环评工程师社会区域类登记培训教材P123表4-12中数据：每燃烧10000m</w:t>
            </w:r>
            <w:r>
              <w:rPr>
                <w:rFonts w:hint="eastAsia"/>
                <w:color w:val="auto"/>
                <w:kern w:val="0"/>
                <w:sz w:val="24"/>
                <w:vertAlign w:val="superscript"/>
              </w:rPr>
              <w:t>3</w:t>
            </w:r>
            <w:r>
              <w:rPr>
                <w:rFonts w:hint="eastAsia"/>
                <w:color w:val="auto"/>
                <w:kern w:val="0"/>
                <w:sz w:val="24"/>
              </w:rPr>
              <w:t>的天然气产生1.4kg烟尘。则项目烟尘（颗粒物）产生量为</w:t>
            </w:r>
            <w:r>
              <w:rPr>
                <w:rFonts w:hint="eastAsia"/>
                <w:color w:val="auto"/>
                <w:kern w:val="0"/>
                <w:sz w:val="24"/>
                <w:lang w:val="en-US" w:eastAsia="zh-CN"/>
              </w:rPr>
              <w:t>0.0887</w:t>
            </w:r>
            <w:r>
              <w:rPr>
                <w:rFonts w:hint="eastAsia"/>
                <w:color w:val="auto"/>
                <w:kern w:val="0"/>
                <w:sz w:val="24"/>
              </w:rPr>
              <w:t>t/a。</w:t>
            </w:r>
          </w:p>
          <w:p w14:paraId="7AEABDD3">
            <w:pPr>
              <w:widowControl/>
              <w:spacing w:line="360" w:lineRule="auto"/>
              <w:ind w:firstLine="480" w:firstLineChars="200"/>
              <w:jc w:val="left"/>
              <w:rPr>
                <w:rFonts w:hint="eastAsia"/>
                <w:color w:val="auto"/>
                <w:kern w:val="0"/>
                <w:sz w:val="24"/>
              </w:rPr>
            </w:pPr>
            <w:r>
              <w:rPr>
                <w:rFonts w:hint="eastAsia"/>
                <w:color w:val="auto"/>
                <w:kern w:val="0"/>
                <w:sz w:val="24"/>
              </w:rPr>
              <w:t>收集处理措施：</w:t>
            </w:r>
            <w:r>
              <w:rPr>
                <w:rFonts w:hint="eastAsia"/>
                <w:color w:val="auto"/>
                <w:kern w:val="0"/>
                <w:sz w:val="24"/>
                <w:lang w:val="en-US" w:eastAsia="zh-CN"/>
              </w:rPr>
              <w:t>2</w:t>
            </w:r>
            <w:r>
              <w:rPr>
                <w:rFonts w:hint="eastAsia"/>
                <w:color w:val="auto"/>
                <w:kern w:val="0"/>
                <w:sz w:val="24"/>
              </w:rPr>
              <w:t>t/h</w:t>
            </w:r>
            <w:r>
              <w:rPr>
                <w:rFonts w:hint="eastAsia"/>
                <w:color w:val="auto"/>
                <w:kern w:val="0"/>
                <w:sz w:val="24"/>
                <w:lang w:eastAsia="zh-CN"/>
              </w:rPr>
              <w:t>沼气</w:t>
            </w:r>
            <w:r>
              <w:rPr>
                <w:rFonts w:hint="eastAsia"/>
                <w:color w:val="auto"/>
                <w:kern w:val="0"/>
                <w:sz w:val="24"/>
              </w:rPr>
              <w:t>锅炉配备低氮燃烧器，燃烧尾气经排气管经</w:t>
            </w:r>
            <w:r>
              <w:rPr>
                <w:rFonts w:hint="eastAsia"/>
                <w:color w:val="auto"/>
                <w:kern w:val="0"/>
                <w:sz w:val="24"/>
                <w:lang w:val="en-US" w:eastAsia="zh-CN"/>
              </w:rPr>
              <w:t>8</w:t>
            </w:r>
            <w:r>
              <w:rPr>
                <w:rFonts w:hint="eastAsia"/>
                <w:color w:val="auto"/>
                <w:kern w:val="0"/>
                <w:sz w:val="24"/>
              </w:rPr>
              <w:t>m高排气筒排放。</w:t>
            </w:r>
          </w:p>
          <w:p w14:paraId="2497F1AD">
            <w:pPr>
              <w:widowControl/>
              <w:spacing w:line="360" w:lineRule="auto"/>
              <w:ind w:firstLine="480" w:firstLineChars="200"/>
              <w:jc w:val="left"/>
              <w:rPr>
                <w:rFonts w:hint="eastAsia"/>
                <w:color w:val="auto"/>
                <w:kern w:val="0"/>
                <w:sz w:val="24"/>
              </w:rPr>
            </w:pPr>
            <w:r>
              <w:rPr>
                <w:rFonts w:hint="eastAsia"/>
                <w:color w:val="auto"/>
                <w:kern w:val="0"/>
                <w:sz w:val="24"/>
              </w:rPr>
              <w:t>（</w:t>
            </w:r>
            <w:r>
              <w:rPr>
                <w:rFonts w:hint="eastAsia"/>
                <w:color w:val="auto"/>
                <w:kern w:val="0"/>
                <w:sz w:val="24"/>
                <w:lang w:val="en-US" w:eastAsia="zh-CN"/>
              </w:rPr>
              <w:t>2</w:t>
            </w:r>
            <w:r>
              <w:rPr>
                <w:rFonts w:hint="eastAsia"/>
                <w:color w:val="auto"/>
                <w:kern w:val="0"/>
                <w:sz w:val="24"/>
              </w:rPr>
              <w:t>）投料粉尘</w:t>
            </w:r>
          </w:p>
          <w:p w14:paraId="1B70E42A">
            <w:pPr>
              <w:widowControl/>
              <w:spacing w:line="360" w:lineRule="auto"/>
              <w:ind w:firstLine="480" w:firstLineChars="200"/>
              <w:jc w:val="left"/>
              <w:rPr>
                <w:rFonts w:hint="eastAsia"/>
                <w:color w:val="auto"/>
                <w:kern w:val="0"/>
                <w:sz w:val="24"/>
              </w:rPr>
            </w:pPr>
            <w:r>
              <w:rPr>
                <w:rFonts w:hint="eastAsia"/>
                <w:color w:val="auto"/>
                <w:kern w:val="0"/>
                <w:sz w:val="24"/>
              </w:rPr>
              <w:t>本项目点浆工序需使用石膏粉和内酯等，将袋装石膏粉和内酯等拆包后由人工投料倒入搅拌机中，加水进行搅拌调浆，此过程中会有粉尘产生，参考《工业源产排污系数手册》（2010年修订）中的投料过程产生的粉尘按照0.5kg/t-原料计算，本项目使用粉状辅料57t/a，则投料粉尘产生量为0.0285t/a。粉尘经物理沉降后，逸散量约占粉尘产生量的10%，则粉尘排放量为0.003t/a，以无组织形式排放于车间，车间安装排风扇加强通风。</w:t>
            </w:r>
          </w:p>
          <w:p w14:paraId="0105A76A">
            <w:pPr>
              <w:widowControl/>
              <w:spacing w:line="360" w:lineRule="auto"/>
              <w:ind w:firstLine="480" w:firstLineChars="200"/>
              <w:jc w:val="left"/>
              <w:rPr>
                <w:rFonts w:hint="eastAsia"/>
                <w:color w:val="auto"/>
                <w:kern w:val="0"/>
                <w:sz w:val="24"/>
              </w:rPr>
            </w:pPr>
            <w:r>
              <w:rPr>
                <w:rFonts w:hint="eastAsia"/>
                <w:color w:val="auto"/>
                <w:kern w:val="0"/>
                <w:sz w:val="24"/>
              </w:rPr>
              <w:t>（</w:t>
            </w:r>
            <w:r>
              <w:rPr>
                <w:rFonts w:hint="eastAsia"/>
                <w:color w:val="auto"/>
                <w:kern w:val="0"/>
                <w:sz w:val="24"/>
                <w:lang w:val="en-US" w:eastAsia="zh-CN"/>
              </w:rPr>
              <w:t>3</w:t>
            </w:r>
            <w:r>
              <w:rPr>
                <w:rFonts w:hint="eastAsia"/>
                <w:color w:val="auto"/>
                <w:kern w:val="0"/>
                <w:sz w:val="24"/>
              </w:rPr>
              <w:t>）豆渣暂存间异味</w:t>
            </w:r>
          </w:p>
          <w:p w14:paraId="6D4CAE6C">
            <w:pPr>
              <w:widowControl/>
              <w:spacing w:line="360" w:lineRule="auto"/>
              <w:ind w:firstLine="480" w:firstLineChars="200"/>
              <w:jc w:val="left"/>
              <w:rPr>
                <w:color w:val="auto"/>
                <w:sz w:val="24"/>
              </w:rPr>
            </w:pPr>
            <w:r>
              <w:rPr>
                <w:rFonts w:hint="eastAsia"/>
                <w:color w:val="auto"/>
                <w:kern w:val="0"/>
                <w:sz w:val="24"/>
              </w:rPr>
              <w:t>豆渣堆置或处理过程会产生异味，均以无组织形式排放，对外环境均有一定影响。运营期设置豆渣暂存间，封闭堆放，豆渣由塑料袋存放，无渗滤豆汁排放，暂存于豆渣暂存间内，每日傍晚由</w:t>
            </w:r>
            <w:r>
              <w:rPr>
                <w:rFonts w:hint="eastAsia"/>
                <w:color w:val="auto"/>
                <w:kern w:val="0"/>
                <w:sz w:val="24"/>
                <w:lang w:eastAsia="zh-CN"/>
              </w:rPr>
              <w:t>转运至园区</w:t>
            </w:r>
            <w:r>
              <w:rPr>
                <w:rFonts w:hint="eastAsia"/>
                <w:color w:val="auto"/>
                <w:kern w:val="0"/>
                <w:sz w:val="24"/>
              </w:rPr>
              <w:t>畜禽养殖</w:t>
            </w:r>
            <w:r>
              <w:rPr>
                <w:rFonts w:hint="eastAsia"/>
                <w:color w:val="auto"/>
                <w:kern w:val="0"/>
                <w:sz w:val="24"/>
                <w:lang w:eastAsia="zh-CN"/>
              </w:rPr>
              <w:t>区作为</w:t>
            </w:r>
            <w:r>
              <w:rPr>
                <w:rFonts w:hint="eastAsia"/>
                <w:color w:val="auto"/>
                <w:kern w:val="0"/>
                <w:sz w:val="24"/>
              </w:rPr>
              <w:t>饲料，做到日产日清，减少豆渣停留时间及腐败时间，同时每日清运后，对豆渣暂存间地面洒落豆渣进行清扫冲洗，保证地面干净整洁，防止臭气滋生</w:t>
            </w:r>
            <w:r>
              <w:rPr>
                <w:rFonts w:hint="eastAsia"/>
                <w:color w:val="auto"/>
                <w:sz w:val="24"/>
              </w:rPr>
              <w:t>。</w:t>
            </w:r>
          </w:p>
          <w:p w14:paraId="00E1771F">
            <w:pPr>
              <w:pStyle w:val="7"/>
              <w:spacing w:line="360" w:lineRule="auto"/>
              <w:ind w:firstLine="482"/>
              <w:rPr>
                <w:b/>
                <w:bCs/>
                <w:color w:val="auto"/>
                <w:sz w:val="24"/>
                <w:szCs w:val="24"/>
              </w:rPr>
            </w:pPr>
            <w:r>
              <w:rPr>
                <w:rFonts w:hint="eastAsia"/>
                <w:b/>
                <w:bCs/>
                <w:color w:val="auto"/>
                <w:sz w:val="24"/>
                <w:szCs w:val="24"/>
              </w:rPr>
              <w:t>2、非正常工况</w:t>
            </w:r>
          </w:p>
          <w:p w14:paraId="785670CA">
            <w:pPr>
              <w:spacing w:line="360" w:lineRule="auto"/>
              <w:ind w:firstLine="480" w:firstLineChars="200"/>
              <w:rPr>
                <w:rFonts w:hint="eastAsia"/>
                <w:color w:val="auto"/>
                <w:kern w:val="0"/>
                <w:sz w:val="24"/>
              </w:rPr>
            </w:pPr>
            <w:r>
              <w:rPr>
                <w:rFonts w:hint="eastAsia"/>
                <w:color w:val="auto"/>
                <w:kern w:val="0"/>
                <w:sz w:val="24"/>
              </w:rPr>
              <w:t>本项目非正常排放考虑污染物排放控制措施达不到应有效率从而发生非正常排放，一般半小时内可以恢复正常，一般事故的非正常排放约2-3年1次，为小概率事件。本项目非正常工况考虑污染治理设施运行不稳定或不能运行，导致废气直接外排，</w:t>
            </w:r>
            <w:r>
              <w:rPr>
                <w:rFonts w:hint="eastAsia"/>
                <w:color w:val="auto"/>
                <w:kern w:val="0"/>
                <w:sz w:val="24"/>
                <w:lang w:eastAsia="zh-CN"/>
              </w:rPr>
              <w:t>本项目主要采取低氮燃烧的方式燃烧沼气，不存在非正常工况，因此无需分析</w:t>
            </w:r>
            <w:r>
              <w:rPr>
                <w:rFonts w:hint="eastAsia"/>
                <w:color w:val="auto"/>
                <w:kern w:val="0"/>
                <w:sz w:val="24"/>
              </w:rPr>
              <w:t>非正常工况下项目污染物的产生及排放。</w:t>
            </w:r>
          </w:p>
          <w:p w14:paraId="618F7FB9">
            <w:pPr>
              <w:spacing w:line="360" w:lineRule="auto"/>
              <w:ind w:firstLine="480" w:firstLineChars="200"/>
              <w:rPr>
                <w:rFonts w:hint="eastAsia"/>
                <w:color w:val="auto"/>
                <w:kern w:val="0"/>
                <w:sz w:val="24"/>
                <w:lang w:eastAsia="zh-CN"/>
              </w:rPr>
            </w:pPr>
            <w:r>
              <w:rPr>
                <w:rFonts w:hint="eastAsia"/>
                <w:color w:val="auto"/>
                <w:kern w:val="0"/>
                <w:sz w:val="24"/>
                <w:lang w:eastAsia="zh-CN"/>
              </w:rPr>
              <w:t>本项目</w:t>
            </w:r>
            <w:r>
              <w:rPr>
                <w:rFonts w:hint="eastAsia"/>
                <w:color w:val="auto"/>
                <w:kern w:val="0"/>
                <w:sz w:val="24"/>
              </w:rPr>
              <w:t>废气产排污环节、污染物及污染治理设施</w:t>
            </w:r>
            <w:r>
              <w:rPr>
                <w:rFonts w:hint="eastAsia"/>
                <w:color w:val="auto"/>
                <w:kern w:val="0"/>
                <w:sz w:val="24"/>
                <w:lang w:eastAsia="zh-CN"/>
              </w:rPr>
              <w:t>情况见下表：</w:t>
            </w:r>
          </w:p>
          <w:p w14:paraId="35F95FAE">
            <w:pPr>
              <w:widowControl/>
              <w:jc w:val="center"/>
              <w:rPr>
                <w:b/>
                <w:bCs/>
                <w:color w:val="auto"/>
                <w:kern w:val="0"/>
                <w:szCs w:val="21"/>
              </w:rPr>
            </w:pPr>
            <w:r>
              <w:rPr>
                <w:b/>
                <w:bCs/>
                <w:color w:val="auto"/>
                <w:kern w:val="0"/>
                <w:szCs w:val="21"/>
              </w:rPr>
              <w:t>表4-</w:t>
            </w:r>
            <w:r>
              <w:rPr>
                <w:rFonts w:hint="eastAsia"/>
                <w:b/>
                <w:bCs/>
                <w:color w:val="auto"/>
                <w:kern w:val="0"/>
                <w:szCs w:val="21"/>
              </w:rPr>
              <w:t>2</w:t>
            </w:r>
            <w:r>
              <w:rPr>
                <w:rFonts w:hint="eastAsia"/>
                <w:b/>
                <w:bCs/>
                <w:color w:val="auto"/>
                <w:kern w:val="0"/>
                <w:szCs w:val="21"/>
                <w:lang w:val="en-US" w:eastAsia="zh-CN"/>
              </w:rPr>
              <w:t xml:space="preserve">  </w:t>
            </w:r>
            <w:r>
              <w:rPr>
                <w:b/>
                <w:bCs/>
                <w:color w:val="auto"/>
                <w:kern w:val="0"/>
                <w:szCs w:val="21"/>
              </w:rPr>
              <w:t>项目废气产排污环节、污染物及污染治理设施一览表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79"/>
              <w:gridCol w:w="1022"/>
              <w:gridCol w:w="979"/>
              <w:gridCol w:w="779"/>
              <w:gridCol w:w="926"/>
              <w:gridCol w:w="654"/>
              <w:gridCol w:w="617"/>
              <w:gridCol w:w="520"/>
              <w:gridCol w:w="727"/>
              <w:gridCol w:w="942"/>
              <w:gridCol w:w="510"/>
            </w:tblGrid>
            <w:tr w14:paraId="1B03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51" w:type="pct"/>
                  <w:vAlign w:val="center"/>
                </w:tcPr>
                <w:p w14:paraId="22AE3DC3">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排放形式</w:t>
                  </w:r>
                </w:p>
              </w:tc>
              <w:tc>
                <w:tcPr>
                  <w:tcW w:w="618" w:type="pct"/>
                  <w:vAlign w:val="center"/>
                </w:tcPr>
                <w:p w14:paraId="4A0B9138">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产污环节</w:t>
                  </w:r>
                </w:p>
              </w:tc>
              <w:tc>
                <w:tcPr>
                  <w:tcW w:w="592" w:type="pct"/>
                  <w:shd w:val="clear" w:color="auto" w:fill="auto"/>
                  <w:vAlign w:val="center"/>
                </w:tcPr>
                <w:p w14:paraId="708D76F7">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污染物种类</w:t>
                  </w:r>
                </w:p>
              </w:tc>
              <w:tc>
                <w:tcPr>
                  <w:tcW w:w="471" w:type="pct"/>
                  <w:shd w:val="clear" w:color="auto" w:fill="auto"/>
                  <w:vAlign w:val="center"/>
                </w:tcPr>
                <w:p w14:paraId="075E725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产生量（t/a）</w:t>
                  </w:r>
                </w:p>
              </w:tc>
              <w:tc>
                <w:tcPr>
                  <w:tcW w:w="560" w:type="pct"/>
                  <w:vAlign w:val="center"/>
                </w:tcPr>
                <w:p w14:paraId="5DC73AE3">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产生浓度mg/m</w:t>
                  </w:r>
                  <w:r>
                    <w:rPr>
                      <w:rFonts w:ascii="Times New Roman" w:hAnsi="Times New Roman"/>
                      <w:color w:val="auto"/>
                      <w:sz w:val="21"/>
                      <w:szCs w:val="21"/>
                      <w:vertAlign w:val="superscript"/>
                    </w:rPr>
                    <w:t>3</w:t>
                  </w:r>
                </w:p>
              </w:tc>
              <w:tc>
                <w:tcPr>
                  <w:tcW w:w="396" w:type="pct"/>
                  <w:shd w:val="clear" w:color="auto" w:fill="auto"/>
                  <w:vAlign w:val="center"/>
                </w:tcPr>
                <w:p w14:paraId="7625C49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治理措施</w:t>
                  </w:r>
                </w:p>
              </w:tc>
              <w:tc>
                <w:tcPr>
                  <w:tcW w:w="373" w:type="pct"/>
                  <w:shd w:val="clear" w:color="auto" w:fill="auto"/>
                  <w:vAlign w:val="center"/>
                </w:tcPr>
                <w:p w14:paraId="051C7BB4">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收集效率</w:t>
                  </w:r>
                </w:p>
              </w:tc>
              <w:tc>
                <w:tcPr>
                  <w:tcW w:w="315" w:type="pct"/>
                  <w:shd w:val="clear" w:color="auto" w:fill="auto"/>
                  <w:vAlign w:val="center"/>
                </w:tcPr>
                <w:p w14:paraId="5D170661">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处理效率</w:t>
                  </w:r>
                </w:p>
              </w:tc>
              <w:tc>
                <w:tcPr>
                  <w:tcW w:w="440" w:type="pct"/>
                  <w:shd w:val="clear" w:color="auto" w:fill="auto"/>
                  <w:vAlign w:val="center"/>
                </w:tcPr>
                <w:p w14:paraId="3860A02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排放量（t/a）</w:t>
                  </w:r>
                </w:p>
              </w:tc>
              <w:tc>
                <w:tcPr>
                  <w:tcW w:w="570" w:type="pct"/>
                  <w:shd w:val="clear" w:color="auto" w:fill="auto"/>
                  <w:vAlign w:val="center"/>
                </w:tcPr>
                <w:p w14:paraId="0561E992">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排放浓度mg/m</w:t>
                  </w:r>
                  <w:r>
                    <w:rPr>
                      <w:rFonts w:ascii="Times New Roman" w:hAnsi="Times New Roman"/>
                      <w:color w:val="auto"/>
                      <w:sz w:val="21"/>
                      <w:szCs w:val="21"/>
                      <w:vertAlign w:val="superscript"/>
                    </w:rPr>
                    <w:t>3</w:t>
                  </w:r>
                </w:p>
              </w:tc>
              <w:tc>
                <w:tcPr>
                  <w:tcW w:w="309" w:type="pct"/>
                  <w:shd w:val="clear" w:color="auto" w:fill="auto"/>
                  <w:vAlign w:val="center"/>
                </w:tcPr>
                <w:p w14:paraId="13F4EF67">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是否达标</w:t>
                  </w:r>
                </w:p>
              </w:tc>
            </w:tr>
            <w:tr w14:paraId="0B7C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51" w:type="pct"/>
                  <w:vMerge w:val="restart"/>
                  <w:vAlign w:val="center"/>
                </w:tcPr>
                <w:p w14:paraId="3D05E997">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有组织</w:t>
                  </w:r>
                </w:p>
              </w:tc>
              <w:tc>
                <w:tcPr>
                  <w:tcW w:w="618" w:type="pct"/>
                  <w:vMerge w:val="restart"/>
                  <w:vAlign w:val="center"/>
                </w:tcPr>
                <w:p w14:paraId="2CA512D6">
                  <w:pPr>
                    <w:adjustRightInd w:val="0"/>
                    <w:snapToGrid w:val="0"/>
                    <w:spacing w:before="60" w:after="60"/>
                    <w:jc w:val="center"/>
                    <w:rPr>
                      <w:color w:val="auto"/>
                      <w:sz w:val="21"/>
                      <w:szCs w:val="21"/>
                    </w:rPr>
                  </w:pPr>
                  <w:r>
                    <w:rPr>
                      <w:rFonts w:hint="eastAsia"/>
                      <w:color w:val="auto"/>
                      <w:sz w:val="21"/>
                      <w:szCs w:val="21"/>
                      <w:lang w:eastAsia="zh-CN"/>
                    </w:rPr>
                    <w:t>沼气燃烧锅炉排气筒</w:t>
                  </w:r>
                  <w:r>
                    <w:rPr>
                      <w:color w:val="auto"/>
                      <w:sz w:val="21"/>
                      <w:szCs w:val="21"/>
                    </w:rPr>
                    <w:t>DA001</w:t>
                  </w:r>
                </w:p>
              </w:tc>
              <w:tc>
                <w:tcPr>
                  <w:tcW w:w="592" w:type="pct"/>
                  <w:shd w:val="clear" w:color="auto" w:fill="auto"/>
                  <w:vAlign w:val="center"/>
                </w:tcPr>
                <w:p w14:paraId="74842409">
                  <w:pPr>
                    <w:pStyle w:val="25"/>
                    <w:widowControl w:val="0"/>
                    <w:tabs>
                      <w:tab w:val="left" w:pos="870"/>
                    </w:tabs>
                    <w:adjustRightInd w:val="0"/>
                    <w:snapToGrid w:val="0"/>
                    <w:spacing w:before="60" w:beforeAutospacing="0" w:after="6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SO</w:t>
                  </w:r>
                  <w:r>
                    <w:rPr>
                      <w:rFonts w:hint="eastAsia" w:ascii="Times New Roman" w:hAnsi="Times New Roman"/>
                      <w:color w:val="auto"/>
                      <w:sz w:val="21"/>
                      <w:szCs w:val="21"/>
                      <w:vertAlign w:val="subscript"/>
                      <w:lang w:val="en-US" w:eastAsia="zh-CN"/>
                    </w:rPr>
                    <w:t>2</w:t>
                  </w:r>
                </w:p>
              </w:tc>
              <w:tc>
                <w:tcPr>
                  <w:tcW w:w="471" w:type="pct"/>
                  <w:shd w:val="clear" w:color="auto" w:fill="auto"/>
                  <w:vAlign w:val="center"/>
                </w:tcPr>
                <w:p w14:paraId="2DB0ED86">
                  <w:pPr>
                    <w:pStyle w:val="25"/>
                    <w:widowControl w:val="0"/>
                    <w:tabs>
                      <w:tab w:val="left" w:pos="870"/>
                    </w:tabs>
                    <w:adjustRightInd w:val="0"/>
                    <w:snapToGrid w:val="0"/>
                    <w:spacing w:before="60" w:beforeAutospacing="0" w:after="60" w:afterAutospacing="0"/>
                    <w:jc w:val="center"/>
                    <w:rPr>
                      <w:rFonts w:hint="default" w:ascii="Times New Roman" w:hAnsi="Times New Roman"/>
                      <w:color w:val="auto"/>
                      <w:sz w:val="21"/>
                      <w:szCs w:val="21"/>
                      <w:lang w:val="en-US"/>
                    </w:rPr>
                  </w:pPr>
                  <w:r>
                    <w:rPr>
                      <w:rFonts w:hint="eastAsia" w:ascii="Times New Roman" w:hAnsi="Times New Roman"/>
                      <w:color w:val="auto"/>
                      <w:sz w:val="21"/>
                      <w:szCs w:val="21"/>
                      <w:lang w:val="en-US" w:eastAsia="zh-CN"/>
                    </w:rPr>
                    <w:t>0.0634</w:t>
                  </w:r>
                </w:p>
              </w:tc>
              <w:tc>
                <w:tcPr>
                  <w:tcW w:w="560" w:type="pct"/>
                  <w:vAlign w:val="center"/>
                </w:tcPr>
                <w:p w14:paraId="2E9A2137">
                  <w:pPr>
                    <w:pStyle w:val="25"/>
                    <w:widowControl w:val="0"/>
                    <w:tabs>
                      <w:tab w:val="left" w:pos="870"/>
                    </w:tabs>
                    <w:adjustRightInd w:val="0"/>
                    <w:snapToGrid w:val="0"/>
                    <w:spacing w:before="60" w:beforeAutospacing="0" w:after="60" w:afterAutospacing="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9.29</w:t>
                  </w:r>
                </w:p>
              </w:tc>
              <w:tc>
                <w:tcPr>
                  <w:tcW w:w="396" w:type="pct"/>
                  <w:vMerge w:val="restart"/>
                  <w:shd w:val="clear" w:color="auto" w:fill="auto"/>
                  <w:vAlign w:val="center"/>
                </w:tcPr>
                <w:p w14:paraId="662C32DF">
                  <w:pPr>
                    <w:adjustRightInd w:val="0"/>
                    <w:snapToGrid w:val="0"/>
                    <w:spacing w:before="60" w:after="60"/>
                    <w:jc w:val="center"/>
                    <w:rPr>
                      <w:rFonts w:hint="eastAsia" w:eastAsia="宋体"/>
                      <w:color w:val="auto"/>
                      <w:sz w:val="21"/>
                      <w:szCs w:val="21"/>
                      <w:lang w:val="en-US" w:eastAsia="zh-CN"/>
                    </w:rPr>
                  </w:pPr>
                  <w:r>
                    <w:rPr>
                      <w:rFonts w:hint="eastAsia"/>
                      <w:color w:val="auto"/>
                      <w:sz w:val="21"/>
                      <w:szCs w:val="21"/>
                      <w:lang w:val="en-US" w:eastAsia="zh-CN"/>
                    </w:rPr>
                    <w:t>低氮燃烧器</w:t>
                  </w:r>
                </w:p>
              </w:tc>
              <w:tc>
                <w:tcPr>
                  <w:tcW w:w="373" w:type="pct"/>
                  <w:vMerge w:val="restart"/>
                  <w:shd w:val="clear" w:color="auto" w:fill="auto"/>
                  <w:vAlign w:val="center"/>
                </w:tcPr>
                <w:p w14:paraId="762F2A4C">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lang w:val="en-US" w:eastAsia="zh-CN"/>
                    </w:rPr>
                    <w:t>100</w:t>
                  </w:r>
                  <w:r>
                    <w:rPr>
                      <w:rFonts w:ascii="Times New Roman" w:hAnsi="Times New Roman"/>
                      <w:color w:val="auto"/>
                      <w:sz w:val="21"/>
                      <w:szCs w:val="21"/>
                    </w:rPr>
                    <w:t>%</w:t>
                  </w:r>
                </w:p>
              </w:tc>
              <w:tc>
                <w:tcPr>
                  <w:tcW w:w="315" w:type="pct"/>
                  <w:shd w:val="clear" w:color="auto" w:fill="auto"/>
                  <w:vAlign w:val="center"/>
                </w:tcPr>
                <w:p w14:paraId="1A37DB24">
                  <w:pPr>
                    <w:pStyle w:val="25"/>
                    <w:widowControl w:val="0"/>
                    <w:tabs>
                      <w:tab w:val="left" w:pos="870"/>
                    </w:tabs>
                    <w:adjustRightInd w:val="0"/>
                    <w:snapToGrid w:val="0"/>
                    <w:spacing w:before="60" w:beforeAutospacing="0" w:after="60" w:afterAutospacing="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w:t>
                  </w:r>
                </w:p>
              </w:tc>
              <w:tc>
                <w:tcPr>
                  <w:tcW w:w="440" w:type="pct"/>
                  <w:shd w:val="clear" w:color="auto" w:fill="auto"/>
                  <w:vAlign w:val="center"/>
                </w:tcPr>
                <w:p w14:paraId="5CFD3892">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lang w:val="en-US" w:eastAsia="zh-CN"/>
                    </w:rPr>
                    <w:t>0.0634</w:t>
                  </w:r>
                </w:p>
              </w:tc>
              <w:tc>
                <w:tcPr>
                  <w:tcW w:w="570" w:type="pct"/>
                  <w:shd w:val="clear" w:color="auto" w:fill="auto"/>
                  <w:vAlign w:val="center"/>
                </w:tcPr>
                <w:p w14:paraId="2BFAC7A1">
                  <w:pPr>
                    <w:pStyle w:val="25"/>
                    <w:widowControl w:val="0"/>
                    <w:tabs>
                      <w:tab w:val="left" w:pos="870"/>
                    </w:tabs>
                    <w:adjustRightInd w:val="0"/>
                    <w:snapToGrid w:val="0"/>
                    <w:spacing w:before="60" w:beforeAutospacing="0" w:after="60" w:afterAutospacing="0"/>
                    <w:jc w:val="center"/>
                    <w:rPr>
                      <w:color w:val="auto"/>
                      <w:kern w:val="0"/>
                      <w:sz w:val="21"/>
                      <w:szCs w:val="21"/>
                    </w:rPr>
                  </w:pPr>
                  <w:r>
                    <w:rPr>
                      <w:rFonts w:hint="eastAsia" w:ascii="Times New Roman" w:hAnsi="Times New Roman"/>
                      <w:color w:val="auto"/>
                      <w:sz w:val="21"/>
                      <w:szCs w:val="21"/>
                      <w:lang w:val="en-US" w:eastAsia="zh-CN"/>
                    </w:rPr>
                    <w:t>9.29</w:t>
                  </w:r>
                </w:p>
              </w:tc>
              <w:tc>
                <w:tcPr>
                  <w:tcW w:w="309" w:type="pct"/>
                  <w:shd w:val="clear" w:color="auto" w:fill="auto"/>
                  <w:vAlign w:val="center"/>
                </w:tcPr>
                <w:p w14:paraId="51C858E8">
                  <w:pPr>
                    <w:adjustRightInd w:val="0"/>
                    <w:snapToGrid w:val="0"/>
                    <w:spacing w:before="60" w:after="60"/>
                    <w:jc w:val="center"/>
                    <w:rPr>
                      <w:color w:val="auto"/>
                      <w:sz w:val="21"/>
                      <w:szCs w:val="21"/>
                    </w:rPr>
                  </w:pPr>
                  <w:r>
                    <w:rPr>
                      <w:color w:val="auto"/>
                      <w:sz w:val="21"/>
                      <w:szCs w:val="21"/>
                    </w:rPr>
                    <w:t>是</w:t>
                  </w:r>
                </w:p>
              </w:tc>
            </w:tr>
            <w:tr w14:paraId="285C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51" w:type="pct"/>
                  <w:vMerge w:val="continue"/>
                  <w:vAlign w:val="center"/>
                </w:tcPr>
                <w:p w14:paraId="7111E5FB">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618" w:type="pct"/>
                  <w:vMerge w:val="continue"/>
                  <w:vAlign w:val="center"/>
                </w:tcPr>
                <w:p w14:paraId="5375355B">
                  <w:pPr>
                    <w:adjustRightInd w:val="0"/>
                    <w:snapToGrid w:val="0"/>
                    <w:spacing w:before="60" w:after="60"/>
                    <w:jc w:val="center"/>
                    <w:rPr>
                      <w:rFonts w:hint="eastAsia"/>
                      <w:color w:val="auto"/>
                      <w:sz w:val="21"/>
                      <w:szCs w:val="21"/>
                      <w:lang w:eastAsia="zh-CN"/>
                    </w:rPr>
                  </w:pPr>
                </w:p>
              </w:tc>
              <w:tc>
                <w:tcPr>
                  <w:tcW w:w="592" w:type="pct"/>
                  <w:shd w:val="clear" w:color="auto" w:fill="auto"/>
                  <w:vAlign w:val="center"/>
                </w:tcPr>
                <w:p w14:paraId="1667D83A">
                  <w:pPr>
                    <w:pStyle w:val="25"/>
                    <w:widowControl w:val="0"/>
                    <w:tabs>
                      <w:tab w:val="left" w:pos="870"/>
                    </w:tabs>
                    <w:adjustRightInd w:val="0"/>
                    <w:snapToGrid w:val="0"/>
                    <w:spacing w:before="60" w:beforeAutospacing="0" w:after="6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NOx</w:t>
                  </w:r>
                </w:p>
              </w:tc>
              <w:tc>
                <w:tcPr>
                  <w:tcW w:w="471" w:type="pct"/>
                  <w:shd w:val="clear" w:color="auto" w:fill="auto"/>
                  <w:vAlign w:val="center"/>
                </w:tcPr>
                <w:p w14:paraId="7298A64A">
                  <w:pPr>
                    <w:pStyle w:val="25"/>
                    <w:widowControl w:val="0"/>
                    <w:tabs>
                      <w:tab w:val="left" w:pos="870"/>
                    </w:tabs>
                    <w:adjustRightInd w:val="0"/>
                    <w:snapToGrid w:val="0"/>
                    <w:spacing w:before="60" w:beforeAutospacing="0" w:after="60" w:afterAutospacing="0"/>
                    <w:jc w:val="center"/>
                    <w:rPr>
                      <w:rFonts w:hint="default" w:ascii="Times New Roman" w:hAnsi="Times New Roman"/>
                      <w:color w:val="auto"/>
                      <w:sz w:val="21"/>
                      <w:szCs w:val="21"/>
                      <w:lang w:val="en-US"/>
                    </w:rPr>
                  </w:pPr>
                  <w:r>
                    <w:rPr>
                      <w:rFonts w:hint="eastAsia" w:ascii="Times New Roman" w:hAnsi="Times New Roman"/>
                      <w:color w:val="auto"/>
                      <w:sz w:val="21"/>
                      <w:szCs w:val="21"/>
                      <w:lang w:val="en-US" w:eastAsia="zh-CN"/>
                    </w:rPr>
                    <w:t>0.1920</w:t>
                  </w:r>
                </w:p>
              </w:tc>
              <w:tc>
                <w:tcPr>
                  <w:tcW w:w="560" w:type="pct"/>
                  <w:vAlign w:val="center"/>
                </w:tcPr>
                <w:p w14:paraId="6D86DFA0">
                  <w:pPr>
                    <w:pStyle w:val="25"/>
                    <w:widowControl w:val="0"/>
                    <w:tabs>
                      <w:tab w:val="left" w:pos="870"/>
                    </w:tabs>
                    <w:adjustRightInd w:val="0"/>
                    <w:snapToGrid w:val="0"/>
                    <w:spacing w:before="60" w:beforeAutospacing="0" w:after="60" w:afterAutospacing="0"/>
                    <w:jc w:val="center"/>
                    <w:rPr>
                      <w:rFonts w:hint="default" w:ascii="Times New Roman" w:hAnsi="Times New Roman"/>
                      <w:color w:val="auto"/>
                      <w:sz w:val="21"/>
                      <w:szCs w:val="21"/>
                      <w:lang w:val="en-US" w:eastAsia="zh-CN"/>
                    </w:rPr>
                  </w:pPr>
                  <w:r>
                    <w:rPr>
                      <w:rFonts w:hint="eastAsia" w:ascii="Times New Roman" w:hAnsi="Times New Roman"/>
                      <w:color w:val="auto"/>
                      <w:sz w:val="21"/>
                      <w:szCs w:val="21"/>
                      <w:lang w:val="en-US" w:eastAsia="zh-CN"/>
                    </w:rPr>
                    <w:t>28.42</w:t>
                  </w:r>
                </w:p>
              </w:tc>
              <w:tc>
                <w:tcPr>
                  <w:tcW w:w="396" w:type="pct"/>
                  <w:vMerge w:val="continue"/>
                  <w:shd w:val="clear" w:color="auto" w:fill="auto"/>
                  <w:vAlign w:val="center"/>
                </w:tcPr>
                <w:p w14:paraId="210F5109">
                  <w:pPr>
                    <w:adjustRightInd w:val="0"/>
                    <w:snapToGrid w:val="0"/>
                    <w:spacing w:before="60" w:after="60"/>
                    <w:jc w:val="center"/>
                    <w:rPr>
                      <w:color w:val="auto"/>
                      <w:sz w:val="21"/>
                      <w:szCs w:val="21"/>
                    </w:rPr>
                  </w:pPr>
                </w:p>
              </w:tc>
              <w:tc>
                <w:tcPr>
                  <w:tcW w:w="373" w:type="pct"/>
                  <w:vMerge w:val="continue"/>
                  <w:shd w:val="clear" w:color="auto" w:fill="auto"/>
                  <w:vAlign w:val="center"/>
                </w:tcPr>
                <w:p w14:paraId="2522E826">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315" w:type="pct"/>
                  <w:shd w:val="clear" w:color="auto" w:fill="auto"/>
                  <w:vAlign w:val="center"/>
                </w:tcPr>
                <w:p w14:paraId="6EFA3091">
                  <w:pPr>
                    <w:pStyle w:val="25"/>
                    <w:widowControl w:val="0"/>
                    <w:tabs>
                      <w:tab w:val="left" w:pos="870"/>
                    </w:tabs>
                    <w:adjustRightInd w:val="0"/>
                    <w:snapToGrid w:val="0"/>
                    <w:spacing w:before="60" w:beforeAutospacing="0" w:after="60" w:afterAutospacing="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440" w:type="pct"/>
                  <w:shd w:val="clear" w:color="auto" w:fill="auto"/>
                  <w:vAlign w:val="center"/>
                </w:tcPr>
                <w:p w14:paraId="3FF628DD">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0.1920</w:t>
                  </w:r>
                </w:p>
              </w:tc>
              <w:tc>
                <w:tcPr>
                  <w:tcW w:w="570" w:type="pct"/>
                  <w:shd w:val="clear" w:color="auto" w:fill="auto"/>
                  <w:vAlign w:val="center"/>
                </w:tcPr>
                <w:p w14:paraId="4B738205">
                  <w:pPr>
                    <w:pStyle w:val="25"/>
                    <w:widowControl w:val="0"/>
                    <w:tabs>
                      <w:tab w:val="left" w:pos="870"/>
                    </w:tabs>
                    <w:adjustRightInd w:val="0"/>
                    <w:snapToGrid w:val="0"/>
                    <w:spacing w:before="60" w:beforeAutospacing="0" w:after="60" w:afterAutospacing="0"/>
                    <w:jc w:val="center"/>
                    <w:rPr>
                      <w:rFonts w:hint="eastAsia"/>
                      <w:color w:val="auto"/>
                      <w:kern w:val="0"/>
                      <w:sz w:val="21"/>
                      <w:szCs w:val="21"/>
                    </w:rPr>
                  </w:pPr>
                  <w:r>
                    <w:rPr>
                      <w:rFonts w:hint="eastAsia" w:ascii="Times New Roman" w:hAnsi="Times New Roman"/>
                      <w:color w:val="auto"/>
                      <w:sz w:val="21"/>
                      <w:szCs w:val="21"/>
                      <w:lang w:val="en-US" w:eastAsia="zh-CN"/>
                    </w:rPr>
                    <w:t>28.42</w:t>
                  </w:r>
                </w:p>
              </w:tc>
              <w:tc>
                <w:tcPr>
                  <w:tcW w:w="309" w:type="pct"/>
                  <w:shd w:val="clear" w:color="auto" w:fill="auto"/>
                  <w:vAlign w:val="center"/>
                </w:tcPr>
                <w:p w14:paraId="6F5F9F6A">
                  <w:pPr>
                    <w:adjustRightInd w:val="0"/>
                    <w:snapToGrid w:val="0"/>
                    <w:spacing w:before="60" w:after="60"/>
                    <w:jc w:val="center"/>
                    <w:rPr>
                      <w:color w:val="auto"/>
                      <w:sz w:val="21"/>
                      <w:szCs w:val="21"/>
                    </w:rPr>
                  </w:pPr>
                  <w:r>
                    <w:rPr>
                      <w:color w:val="auto"/>
                      <w:sz w:val="21"/>
                      <w:szCs w:val="21"/>
                    </w:rPr>
                    <w:t>是</w:t>
                  </w:r>
                </w:p>
              </w:tc>
            </w:tr>
            <w:tr w14:paraId="57A9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51" w:type="pct"/>
                  <w:vMerge w:val="continue"/>
                  <w:vAlign w:val="center"/>
                </w:tcPr>
                <w:p w14:paraId="577B659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618" w:type="pct"/>
                  <w:vMerge w:val="continue"/>
                  <w:vAlign w:val="center"/>
                </w:tcPr>
                <w:p w14:paraId="28954B9A">
                  <w:pPr>
                    <w:adjustRightInd w:val="0"/>
                    <w:snapToGrid w:val="0"/>
                    <w:spacing w:before="60" w:after="60"/>
                    <w:jc w:val="center"/>
                    <w:rPr>
                      <w:rFonts w:hint="eastAsia"/>
                      <w:color w:val="auto"/>
                      <w:sz w:val="21"/>
                      <w:szCs w:val="21"/>
                      <w:lang w:eastAsia="zh-CN"/>
                    </w:rPr>
                  </w:pPr>
                </w:p>
              </w:tc>
              <w:tc>
                <w:tcPr>
                  <w:tcW w:w="592" w:type="pct"/>
                  <w:shd w:val="clear" w:color="auto" w:fill="auto"/>
                  <w:vAlign w:val="center"/>
                </w:tcPr>
                <w:p w14:paraId="09D12E48">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颗粒物</w:t>
                  </w:r>
                </w:p>
              </w:tc>
              <w:tc>
                <w:tcPr>
                  <w:tcW w:w="471" w:type="pct"/>
                  <w:shd w:val="clear" w:color="auto" w:fill="auto"/>
                  <w:vAlign w:val="center"/>
                </w:tcPr>
                <w:p w14:paraId="77E55325">
                  <w:pPr>
                    <w:pStyle w:val="25"/>
                    <w:widowControl w:val="0"/>
                    <w:tabs>
                      <w:tab w:val="left" w:pos="870"/>
                    </w:tabs>
                    <w:adjustRightInd w:val="0"/>
                    <w:snapToGrid w:val="0"/>
                    <w:spacing w:before="60" w:beforeAutospacing="0" w:after="60" w:afterAutospacing="0"/>
                    <w:jc w:val="center"/>
                    <w:rPr>
                      <w:rFonts w:hint="default" w:ascii="Times New Roman" w:hAnsi="Times New Roman"/>
                      <w:color w:val="auto"/>
                      <w:sz w:val="21"/>
                      <w:szCs w:val="21"/>
                      <w:lang w:val="en-US"/>
                    </w:rPr>
                  </w:pPr>
                  <w:r>
                    <w:rPr>
                      <w:rFonts w:hint="eastAsia" w:ascii="Times New Roman" w:hAnsi="Times New Roman"/>
                      <w:color w:val="auto"/>
                      <w:sz w:val="21"/>
                      <w:szCs w:val="21"/>
                      <w:lang w:val="en-US" w:eastAsia="zh-CN"/>
                    </w:rPr>
                    <w:t>0.0887</w:t>
                  </w:r>
                </w:p>
              </w:tc>
              <w:tc>
                <w:tcPr>
                  <w:tcW w:w="560" w:type="pct"/>
                  <w:vAlign w:val="center"/>
                </w:tcPr>
                <w:p w14:paraId="64A2E8B8">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 xml:space="preserve">13.12 </w:t>
                  </w:r>
                </w:p>
              </w:tc>
              <w:tc>
                <w:tcPr>
                  <w:tcW w:w="396" w:type="pct"/>
                  <w:vMerge w:val="continue"/>
                  <w:shd w:val="clear" w:color="auto" w:fill="auto"/>
                  <w:vAlign w:val="center"/>
                </w:tcPr>
                <w:p w14:paraId="0AF7BA9D">
                  <w:pPr>
                    <w:adjustRightInd w:val="0"/>
                    <w:snapToGrid w:val="0"/>
                    <w:spacing w:before="60" w:after="60"/>
                    <w:jc w:val="center"/>
                    <w:rPr>
                      <w:color w:val="auto"/>
                      <w:sz w:val="21"/>
                      <w:szCs w:val="21"/>
                    </w:rPr>
                  </w:pPr>
                </w:p>
              </w:tc>
              <w:tc>
                <w:tcPr>
                  <w:tcW w:w="373" w:type="pct"/>
                  <w:vMerge w:val="continue"/>
                  <w:shd w:val="clear" w:color="auto" w:fill="auto"/>
                  <w:vAlign w:val="center"/>
                </w:tcPr>
                <w:p w14:paraId="3C278EB6">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315" w:type="pct"/>
                  <w:shd w:val="clear" w:color="auto" w:fill="auto"/>
                  <w:vAlign w:val="center"/>
                </w:tcPr>
                <w:p w14:paraId="7BE2DC59">
                  <w:pPr>
                    <w:pStyle w:val="25"/>
                    <w:widowControl w:val="0"/>
                    <w:tabs>
                      <w:tab w:val="left" w:pos="870"/>
                    </w:tabs>
                    <w:adjustRightInd w:val="0"/>
                    <w:snapToGrid w:val="0"/>
                    <w:spacing w:before="60" w:beforeAutospacing="0" w:after="60" w:afterAutospacing="0"/>
                    <w:jc w:val="center"/>
                    <w:rPr>
                      <w:rFonts w:hint="eastAsia"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w:t>
                  </w:r>
                </w:p>
              </w:tc>
              <w:tc>
                <w:tcPr>
                  <w:tcW w:w="440" w:type="pct"/>
                  <w:shd w:val="clear" w:color="auto" w:fill="auto"/>
                  <w:vAlign w:val="center"/>
                </w:tcPr>
                <w:p w14:paraId="382E54AE">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r>
                    <w:rPr>
                      <w:rFonts w:hint="eastAsia" w:ascii="Times New Roman" w:hAnsi="Times New Roman"/>
                      <w:color w:val="auto"/>
                      <w:sz w:val="21"/>
                      <w:szCs w:val="21"/>
                      <w:lang w:val="en-US" w:eastAsia="zh-CN"/>
                    </w:rPr>
                    <w:t>0.0887</w:t>
                  </w:r>
                </w:p>
              </w:tc>
              <w:tc>
                <w:tcPr>
                  <w:tcW w:w="570" w:type="pct"/>
                  <w:shd w:val="clear" w:color="auto" w:fill="auto"/>
                  <w:vAlign w:val="center"/>
                </w:tcPr>
                <w:p w14:paraId="430B7F7A">
                  <w:pPr>
                    <w:pStyle w:val="25"/>
                    <w:widowControl w:val="0"/>
                    <w:tabs>
                      <w:tab w:val="left" w:pos="870"/>
                    </w:tabs>
                    <w:adjustRightInd w:val="0"/>
                    <w:snapToGrid w:val="0"/>
                    <w:spacing w:before="60" w:beforeAutospacing="0" w:after="60" w:afterAutospacing="0"/>
                    <w:jc w:val="center"/>
                    <w:rPr>
                      <w:rFonts w:hint="eastAsia"/>
                      <w:color w:val="auto"/>
                      <w:kern w:val="0"/>
                      <w:sz w:val="21"/>
                      <w:szCs w:val="21"/>
                    </w:rPr>
                  </w:pPr>
                  <w:r>
                    <w:rPr>
                      <w:rFonts w:hint="eastAsia" w:ascii="Times New Roman" w:hAnsi="Times New Roman"/>
                      <w:color w:val="auto"/>
                      <w:sz w:val="21"/>
                      <w:szCs w:val="21"/>
                      <w:lang w:val="en-US" w:eastAsia="zh-CN"/>
                    </w:rPr>
                    <w:t xml:space="preserve">13.12 </w:t>
                  </w:r>
                </w:p>
              </w:tc>
              <w:tc>
                <w:tcPr>
                  <w:tcW w:w="309" w:type="pct"/>
                  <w:shd w:val="clear" w:color="auto" w:fill="auto"/>
                  <w:vAlign w:val="center"/>
                </w:tcPr>
                <w:p w14:paraId="2131993F">
                  <w:pPr>
                    <w:adjustRightInd w:val="0"/>
                    <w:snapToGrid w:val="0"/>
                    <w:spacing w:before="60" w:after="60"/>
                    <w:jc w:val="center"/>
                    <w:rPr>
                      <w:color w:val="auto"/>
                      <w:sz w:val="21"/>
                      <w:szCs w:val="21"/>
                    </w:rPr>
                  </w:pPr>
                  <w:r>
                    <w:rPr>
                      <w:color w:val="auto"/>
                      <w:sz w:val="21"/>
                      <w:szCs w:val="21"/>
                    </w:rPr>
                    <w:t>是</w:t>
                  </w:r>
                </w:p>
              </w:tc>
            </w:tr>
            <w:tr w14:paraId="09BA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51" w:type="pct"/>
                  <w:vMerge w:val="restart"/>
                  <w:vAlign w:val="center"/>
                </w:tcPr>
                <w:p w14:paraId="06AAB33A">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无组织</w:t>
                  </w:r>
                </w:p>
              </w:tc>
              <w:tc>
                <w:tcPr>
                  <w:tcW w:w="618" w:type="pct"/>
                  <w:shd w:val="clear" w:color="auto" w:fill="auto"/>
                  <w:vAlign w:val="center"/>
                </w:tcPr>
                <w:p w14:paraId="32ADC221">
                  <w:pPr>
                    <w:pStyle w:val="25"/>
                    <w:widowControl w:val="0"/>
                    <w:tabs>
                      <w:tab w:val="left" w:pos="870"/>
                    </w:tabs>
                    <w:adjustRightInd w:val="0"/>
                    <w:snapToGrid w:val="0"/>
                    <w:spacing w:before="60" w:beforeAutospacing="0" w:after="60" w:afterAutospacing="0"/>
                    <w:jc w:val="center"/>
                    <w:rPr>
                      <w:rFonts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投料粉尘</w:t>
                  </w:r>
                </w:p>
              </w:tc>
              <w:tc>
                <w:tcPr>
                  <w:tcW w:w="592" w:type="pct"/>
                  <w:shd w:val="clear" w:color="auto" w:fill="auto"/>
                  <w:vAlign w:val="center"/>
                </w:tcPr>
                <w:p w14:paraId="16CE1EFD">
                  <w:pPr>
                    <w:pStyle w:val="25"/>
                    <w:widowControl w:val="0"/>
                    <w:tabs>
                      <w:tab w:val="left" w:pos="870"/>
                    </w:tabs>
                    <w:adjustRightInd w:val="0"/>
                    <w:snapToGrid w:val="0"/>
                    <w:spacing w:before="60" w:beforeAutospacing="0" w:after="60" w:afterAutospacing="0"/>
                    <w:jc w:val="center"/>
                    <w:rPr>
                      <w:rFonts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颗粒物</w:t>
                  </w:r>
                </w:p>
              </w:tc>
              <w:tc>
                <w:tcPr>
                  <w:tcW w:w="471" w:type="pct"/>
                  <w:shd w:val="clear" w:color="auto" w:fill="auto"/>
                  <w:vAlign w:val="center"/>
                </w:tcPr>
                <w:p w14:paraId="72E2539F">
                  <w:pPr>
                    <w:pStyle w:val="25"/>
                    <w:widowControl w:val="0"/>
                    <w:tabs>
                      <w:tab w:val="left" w:pos="870"/>
                    </w:tabs>
                    <w:adjustRightInd w:val="0"/>
                    <w:snapToGrid w:val="0"/>
                    <w:spacing w:before="60" w:beforeAutospacing="0" w:after="60" w:afterAutospacing="0"/>
                    <w:jc w:val="center"/>
                    <w:rPr>
                      <w:rFonts w:hint="default"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0.0030</w:t>
                  </w:r>
                </w:p>
              </w:tc>
              <w:tc>
                <w:tcPr>
                  <w:tcW w:w="560" w:type="pct"/>
                  <w:shd w:val="clear" w:color="auto" w:fill="auto"/>
                  <w:vAlign w:val="center"/>
                </w:tcPr>
                <w:p w14:paraId="6074829A">
                  <w:pPr>
                    <w:pStyle w:val="25"/>
                    <w:widowControl w:val="0"/>
                    <w:tabs>
                      <w:tab w:val="left" w:pos="870"/>
                    </w:tabs>
                    <w:adjustRightInd w:val="0"/>
                    <w:snapToGrid w:val="0"/>
                    <w:spacing w:before="60" w:beforeAutospacing="0" w:after="60" w:afterAutospacing="0"/>
                    <w:jc w:val="center"/>
                    <w:rPr>
                      <w:rFonts w:ascii="Times New Roman" w:hAnsi="Times New Roman" w:eastAsia="宋体" w:cs="Times New Roman"/>
                      <w:color w:val="auto"/>
                      <w:kern w:val="0"/>
                      <w:sz w:val="21"/>
                      <w:szCs w:val="21"/>
                      <w:lang w:val="en-US" w:eastAsia="zh-CN" w:bidi="ar-SA"/>
                    </w:rPr>
                  </w:pPr>
                  <w:r>
                    <w:rPr>
                      <w:rFonts w:ascii="Times New Roman" w:hAnsi="Times New Roman"/>
                      <w:color w:val="auto"/>
                      <w:sz w:val="21"/>
                      <w:szCs w:val="21"/>
                    </w:rPr>
                    <w:t>/</w:t>
                  </w:r>
                </w:p>
              </w:tc>
              <w:tc>
                <w:tcPr>
                  <w:tcW w:w="396" w:type="pct"/>
                  <w:vMerge w:val="restart"/>
                  <w:shd w:val="clear" w:color="auto" w:fill="auto"/>
                  <w:vAlign w:val="center"/>
                </w:tcPr>
                <w:p w14:paraId="35512AF7">
                  <w:pPr>
                    <w:adjustRightInd w:val="0"/>
                    <w:snapToGrid w:val="0"/>
                    <w:spacing w:before="60" w:after="60"/>
                    <w:jc w:val="center"/>
                    <w:rPr>
                      <w:color w:val="auto"/>
                      <w:sz w:val="21"/>
                      <w:szCs w:val="21"/>
                    </w:rPr>
                  </w:pPr>
                  <w:r>
                    <w:rPr>
                      <w:rFonts w:hint="eastAsia"/>
                      <w:color w:val="auto"/>
                      <w:sz w:val="21"/>
                      <w:szCs w:val="21"/>
                    </w:rPr>
                    <w:t>车间安装排风扇加强通风</w:t>
                  </w:r>
                </w:p>
              </w:tc>
              <w:tc>
                <w:tcPr>
                  <w:tcW w:w="373" w:type="pct"/>
                  <w:shd w:val="clear" w:color="auto" w:fill="auto"/>
                  <w:vAlign w:val="center"/>
                </w:tcPr>
                <w:p w14:paraId="181B324C">
                  <w:pPr>
                    <w:widowControl w:val="0"/>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rPr>
                    <w:t>/</w:t>
                  </w:r>
                </w:p>
              </w:tc>
              <w:tc>
                <w:tcPr>
                  <w:tcW w:w="315" w:type="pct"/>
                  <w:shd w:val="clear" w:color="auto" w:fill="auto"/>
                  <w:vAlign w:val="center"/>
                </w:tcPr>
                <w:p w14:paraId="1BBFEC8A">
                  <w:pPr>
                    <w:widowControl w:val="0"/>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rPr>
                    <w:t>/</w:t>
                  </w:r>
                </w:p>
              </w:tc>
              <w:tc>
                <w:tcPr>
                  <w:tcW w:w="440" w:type="pct"/>
                  <w:shd w:val="clear" w:color="auto" w:fill="auto"/>
                  <w:vAlign w:val="center"/>
                </w:tcPr>
                <w:p w14:paraId="0DCC8919">
                  <w:pPr>
                    <w:pStyle w:val="25"/>
                    <w:widowControl w:val="0"/>
                    <w:tabs>
                      <w:tab w:val="left" w:pos="870"/>
                    </w:tabs>
                    <w:adjustRightInd w:val="0"/>
                    <w:snapToGrid w:val="0"/>
                    <w:spacing w:before="60" w:beforeAutospacing="0" w:after="60" w:afterAutospacing="0"/>
                    <w:jc w:val="center"/>
                    <w:rPr>
                      <w:rFonts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0.0030</w:t>
                  </w:r>
                </w:p>
              </w:tc>
              <w:tc>
                <w:tcPr>
                  <w:tcW w:w="570" w:type="pct"/>
                  <w:shd w:val="clear" w:color="auto" w:fill="auto"/>
                  <w:vAlign w:val="center"/>
                </w:tcPr>
                <w:p w14:paraId="41E1CFBD">
                  <w:pPr>
                    <w:pStyle w:val="25"/>
                    <w:widowControl w:val="0"/>
                    <w:tabs>
                      <w:tab w:val="left" w:pos="870"/>
                    </w:tabs>
                    <w:adjustRightInd w:val="0"/>
                    <w:snapToGrid w:val="0"/>
                    <w:spacing w:before="60" w:beforeAutospacing="0" w:after="60" w:afterAutospacing="0"/>
                    <w:jc w:val="center"/>
                    <w:rPr>
                      <w:rFonts w:ascii="Times New Roman" w:hAnsi="Times New Roman" w:eastAsia="宋体" w:cs="Times New Roman"/>
                      <w:color w:val="auto"/>
                      <w:kern w:val="0"/>
                      <w:sz w:val="21"/>
                      <w:szCs w:val="21"/>
                      <w:lang w:val="en-US" w:eastAsia="zh-CN" w:bidi="ar-SA"/>
                    </w:rPr>
                  </w:pPr>
                  <w:r>
                    <w:rPr>
                      <w:rFonts w:ascii="Times New Roman" w:hAnsi="Times New Roman"/>
                      <w:color w:val="auto"/>
                      <w:sz w:val="21"/>
                      <w:szCs w:val="21"/>
                    </w:rPr>
                    <w:t>/</w:t>
                  </w:r>
                </w:p>
              </w:tc>
              <w:tc>
                <w:tcPr>
                  <w:tcW w:w="309" w:type="pct"/>
                  <w:shd w:val="clear" w:color="auto" w:fill="auto"/>
                  <w:vAlign w:val="center"/>
                </w:tcPr>
                <w:p w14:paraId="6BB70834">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color w:val="auto"/>
                      <w:sz w:val="21"/>
                      <w:szCs w:val="21"/>
                    </w:rPr>
                    <w:t>是</w:t>
                  </w:r>
                </w:p>
              </w:tc>
            </w:tr>
            <w:tr w14:paraId="57A6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351" w:type="pct"/>
                  <w:vMerge w:val="continue"/>
                  <w:vAlign w:val="center"/>
                </w:tcPr>
                <w:p w14:paraId="7FB03248">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618" w:type="pct"/>
                  <w:shd w:val="clear" w:color="auto" w:fill="auto"/>
                  <w:vAlign w:val="center"/>
                </w:tcPr>
                <w:p w14:paraId="417106B6">
                  <w:pPr>
                    <w:pStyle w:val="25"/>
                    <w:widowControl w:val="0"/>
                    <w:tabs>
                      <w:tab w:val="left" w:pos="870"/>
                    </w:tabs>
                    <w:adjustRightInd w:val="0"/>
                    <w:snapToGrid w:val="0"/>
                    <w:spacing w:before="60" w:beforeAutospacing="0" w:after="60" w:afterAutospacing="0"/>
                    <w:jc w:val="center"/>
                    <w:rPr>
                      <w:rFonts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rPr>
                    <w:t>豆渣暂存间异味</w:t>
                  </w:r>
                </w:p>
              </w:tc>
              <w:tc>
                <w:tcPr>
                  <w:tcW w:w="592" w:type="pct"/>
                  <w:shd w:val="clear" w:color="auto" w:fill="auto"/>
                  <w:vAlign w:val="center"/>
                </w:tcPr>
                <w:p w14:paraId="618CE50F">
                  <w:pPr>
                    <w:pStyle w:val="25"/>
                    <w:widowControl w:val="0"/>
                    <w:tabs>
                      <w:tab w:val="left" w:pos="870"/>
                    </w:tabs>
                    <w:adjustRightInd w:val="0"/>
                    <w:snapToGrid w:val="0"/>
                    <w:spacing w:before="60" w:beforeAutospacing="0" w:after="60" w:afterAutospacing="0"/>
                    <w:jc w:val="center"/>
                    <w:rPr>
                      <w:rFonts w:hint="eastAsia" w:ascii="Times New Roman" w:hAnsi="Times New Roman" w:eastAsia="宋体" w:cs="Times New Roman"/>
                      <w:color w:val="auto"/>
                      <w:kern w:val="0"/>
                      <w:sz w:val="21"/>
                      <w:szCs w:val="21"/>
                      <w:lang w:val="en-US" w:eastAsia="zh-CN" w:bidi="ar-SA"/>
                    </w:rPr>
                  </w:pPr>
                  <w:r>
                    <w:rPr>
                      <w:rFonts w:hint="eastAsia" w:ascii="Times New Roman" w:hAnsi="Times New Roman"/>
                      <w:color w:val="auto"/>
                      <w:sz w:val="21"/>
                      <w:szCs w:val="21"/>
                      <w:lang w:val="en-US" w:eastAsia="zh-CN"/>
                    </w:rPr>
                    <w:t>氨气、硫化氢和恶臭气体</w:t>
                  </w:r>
                </w:p>
              </w:tc>
              <w:tc>
                <w:tcPr>
                  <w:tcW w:w="471" w:type="pct"/>
                  <w:shd w:val="clear" w:color="auto" w:fill="auto"/>
                  <w:vAlign w:val="center"/>
                </w:tcPr>
                <w:p w14:paraId="3D742536">
                  <w:pPr>
                    <w:widowControl w:val="0"/>
                    <w:adjustRightInd w:val="0"/>
                    <w:snapToGrid w:val="0"/>
                    <w:spacing w:before="60" w:beforeAutospacing="0" w:after="60" w:afterAutospacing="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w:t>
                  </w:r>
                </w:p>
              </w:tc>
              <w:tc>
                <w:tcPr>
                  <w:tcW w:w="560" w:type="pct"/>
                  <w:shd w:val="clear" w:color="auto" w:fill="auto"/>
                  <w:vAlign w:val="center"/>
                </w:tcPr>
                <w:p w14:paraId="6B0736AC">
                  <w:pPr>
                    <w:widowControl w:val="0"/>
                    <w:adjustRightInd w:val="0"/>
                    <w:snapToGrid w:val="0"/>
                    <w:spacing w:before="60" w:beforeAutospacing="0" w:after="60" w:afterAutospacing="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w:t>
                  </w:r>
                </w:p>
              </w:tc>
              <w:tc>
                <w:tcPr>
                  <w:tcW w:w="396" w:type="pct"/>
                  <w:vMerge w:val="continue"/>
                  <w:shd w:val="clear" w:color="auto" w:fill="auto"/>
                  <w:vAlign w:val="center"/>
                </w:tcPr>
                <w:p w14:paraId="66DD772E">
                  <w:pPr>
                    <w:adjustRightInd w:val="0"/>
                    <w:snapToGrid w:val="0"/>
                    <w:spacing w:before="60" w:after="60"/>
                    <w:jc w:val="center"/>
                    <w:rPr>
                      <w:color w:val="auto"/>
                      <w:sz w:val="21"/>
                      <w:szCs w:val="21"/>
                    </w:rPr>
                  </w:pPr>
                </w:p>
              </w:tc>
              <w:tc>
                <w:tcPr>
                  <w:tcW w:w="373" w:type="pct"/>
                  <w:shd w:val="clear" w:color="auto" w:fill="auto"/>
                  <w:vAlign w:val="center"/>
                </w:tcPr>
                <w:p w14:paraId="2C42492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w:t>
                  </w:r>
                </w:p>
              </w:tc>
              <w:tc>
                <w:tcPr>
                  <w:tcW w:w="315" w:type="pct"/>
                  <w:shd w:val="clear" w:color="auto" w:fill="auto"/>
                  <w:vAlign w:val="center"/>
                </w:tcPr>
                <w:p w14:paraId="3D7E97EA">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w:t>
                  </w:r>
                </w:p>
              </w:tc>
              <w:tc>
                <w:tcPr>
                  <w:tcW w:w="440" w:type="pct"/>
                  <w:shd w:val="clear" w:color="auto" w:fill="auto"/>
                  <w:vAlign w:val="center"/>
                </w:tcPr>
                <w:p w14:paraId="1949DC68">
                  <w:pPr>
                    <w:widowControl w:val="0"/>
                    <w:adjustRightInd w:val="0"/>
                    <w:snapToGrid w:val="0"/>
                    <w:spacing w:before="60" w:beforeAutospacing="0" w:after="60" w:afterAutospacing="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w:t>
                  </w:r>
                </w:p>
              </w:tc>
              <w:tc>
                <w:tcPr>
                  <w:tcW w:w="570" w:type="pct"/>
                  <w:shd w:val="clear" w:color="auto" w:fill="auto"/>
                  <w:vAlign w:val="center"/>
                </w:tcPr>
                <w:p w14:paraId="158FA707">
                  <w:pPr>
                    <w:widowControl w:val="0"/>
                    <w:adjustRightInd w:val="0"/>
                    <w:snapToGrid w:val="0"/>
                    <w:spacing w:before="60" w:beforeAutospacing="0" w:after="60" w:afterAutospacing="0"/>
                    <w:jc w:val="center"/>
                    <w:rPr>
                      <w:rFonts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rPr>
                    <w:t>/</w:t>
                  </w:r>
                </w:p>
              </w:tc>
              <w:tc>
                <w:tcPr>
                  <w:tcW w:w="309" w:type="pct"/>
                  <w:shd w:val="clear" w:color="auto" w:fill="auto"/>
                  <w:vAlign w:val="center"/>
                </w:tcPr>
                <w:p w14:paraId="3E98227D">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color w:val="auto"/>
                      <w:sz w:val="21"/>
                      <w:szCs w:val="21"/>
                    </w:rPr>
                    <w:t>是</w:t>
                  </w:r>
                </w:p>
              </w:tc>
            </w:tr>
          </w:tbl>
          <w:p w14:paraId="0E7D9D72">
            <w:pPr>
              <w:widowControl/>
              <w:ind w:firstLine="482" w:firstLineChars="200"/>
              <w:jc w:val="center"/>
              <w:rPr>
                <w:b/>
                <w:bCs/>
                <w:color w:val="auto"/>
                <w:kern w:val="0"/>
                <w:sz w:val="24"/>
              </w:rPr>
            </w:pPr>
          </w:p>
          <w:p w14:paraId="16BD5F26">
            <w:pPr>
              <w:widowControl/>
              <w:jc w:val="center"/>
              <w:rPr>
                <w:b/>
                <w:bCs/>
                <w:color w:val="auto"/>
                <w:szCs w:val="21"/>
              </w:rPr>
            </w:pPr>
            <w:r>
              <w:rPr>
                <w:rFonts w:hint="eastAsia"/>
                <w:b/>
                <w:bCs/>
                <w:color w:val="auto"/>
                <w:kern w:val="0"/>
                <w:szCs w:val="21"/>
              </w:rPr>
              <w:t>表4-3 废气污染物排放源、排放标准及监测要求</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22"/>
              <w:gridCol w:w="567"/>
              <w:gridCol w:w="740"/>
              <w:gridCol w:w="548"/>
              <w:gridCol w:w="693"/>
              <w:gridCol w:w="687"/>
              <w:gridCol w:w="555"/>
              <w:gridCol w:w="1152"/>
              <w:gridCol w:w="768"/>
              <w:gridCol w:w="722"/>
              <w:gridCol w:w="702"/>
              <w:gridCol w:w="400"/>
            </w:tblGrid>
            <w:tr w14:paraId="5D92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7" w:type="pct"/>
                  <w:vMerge w:val="restart"/>
                  <w:vAlign w:val="center"/>
                </w:tcPr>
                <w:p w14:paraId="70366523">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排放口名称</w:t>
                  </w:r>
                </w:p>
              </w:tc>
              <w:tc>
                <w:tcPr>
                  <w:tcW w:w="2294" w:type="pct"/>
                  <w:gridSpan w:val="6"/>
                  <w:vAlign w:val="center"/>
                </w:tcPr>
                <w:p w14:paraId="6DEB6945">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排放口参数</w:t>
                  </w:r>
                </w:p>
              </w:tc>
              <w:tc>
                <w:tcPr>
                  <w:tcW w:w="1600" w:type="pct"/>
                  <w:gridSpan w:val="3"/>
                  <w:vAlign w:val="center"/>
                </w:tcPr>
                <w:p w14:paraId="4588498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污染物排放标准</w:t>
                  </w:r>
                </w:p>
              </w:tc>
              <w:tc>
                <w:tcPr>
                  <w:tcW w:w="667" w:type="pct"/>
                  <w:gridSpan w:val="2"/>
                  <w:vAlign w:val="center"/>
                </w:tcPr>
                <w:p w14:paraId="07BC2A8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监测要求</w:t>
                  </w:r>
                </w:p>
              </w:tc>
            </w:tr>
            <w:tr w14:paraId="485C9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7" w:type="pct"/>
                  <w:vMerge w:val="continue"/>
                  <w:vAlign w:val="center"/>
                </w:tcPr>
                <w:p w14:paraId="62413E3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343" w:type="pct"/>
                  <w:vAlign w:val="center"/>
                </w:tcPr>
                <w:p w14:paraId="62170EA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高度（m）</w:t>
                  </w:r>
                </w:p>
              </w:tc>
              <w:tc>
                <w:tcPr>
                  <w:tcW w:w="448" w:type="pct"/>
                  <w:vAlign w:val="center"/>
                </w:tcPr>
                <w:p w14:paraId="58170154">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排气筒内径</w:t>
                  </w:r>
                  <w:r>
                    <w:rPr>
                      <w:rFonts w:hint="eastAsia" w:ascii="Times New Roman" w:hAnsi="Times New Roman"/>
                      <w:color w:val="auto"/>
                      <w:sz w:val="21"/>
                      <w:szCs w:val="21"/>
                    </w:rPr>
                    <w:t>（</w:t>
                  </w:r>
                  <w:r>
                    <w:rPr>
                      <w:rFonts w:ascii="Times New Roman" w:hAnsi="Times New Roman"/>
                      <w:color w:val="auto"/>
                      <w:sz w:val="21"/>
                      <w:szCs w:val="21"/>
                    </w:rPr>
                    <w:t>m</w:t>
                  </w:r>
                  <w:r>
                    <w:rPr>
                      <w:rFonts w:hint="eastAsia" w:ascii="Times New Roman" w:hAnsi="Times New Roman"/>
                      <w:color w:val="auto"/>
                      <w:sz w:val="21"/>
                      <w:szCs w:val="21"/>
                    </w:rPr>
                    <w:t>）</w:t>
                  </w:r>
                </w:p>
              </w:tc>
              <w:tc>
                <w:tcPr>
                  <w:tcW w:w="332" w:type="pct"/>
                  <w:vAlign w:val="center"/>
                </w:tcPr>
                <w:p w14:paraId="51D044E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温度（℃）</w:t>
                  </w:r>
                </w:p>
              </w:tc>
              <w:tc>
                <w:tcPr>
                  <w:tcW w:w="836" w:type="pct"/>
                  <w:gridSpan w:val="2"/>
                  <w:vAlign w:val="center"/>
                </w:tcPr>
                <w:p w14:paraId="06155C04">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坐标</w:t>
                  </w:r>
                </w:p>
              </w:tc>
              <w:tc>
                <w:tcPr>
                  <w:tcW w:w="335" w:type="pct"/>
                  <w:vAlign w:val="center"/>
                </w:tcPr>
                <w:p w14:paraId="6CB6F43B">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类型</w:t>
                  </w:r>
                </w:p>
              </w:tc>
              <w:tc>
                <w:tcPr>
                  <w:tcW w:w="698" w:type="pct"/>
                  <w:vAlign w:val="center"/>
                </w:tcPr>
                <w:p w14:paraId="53E93459">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标准名称</w:t>
                  </w:r>
                </w:p>
              </w:tc>
              <w:tc>
                <w:tcPr>
                  <w:tcW w:w="465" w:type="pct"/>
                  <w:vAlign w:val="center"/>
                </w:tcPr>
                <w:p w14:paraId="66562F6F">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浓度限值mg/m</w:t>
                  </w:r>
                  <w:r>
                    <w:rPr>
                      <w:rFonts w:ascii="Times New Roman" w:hAnsi="Times New Roman"/>
                      <w:color w:val="auto"/>
                      <w:sz w:val="21"/>
                      <w:szCs w:val="21"/>
                      <w:vertAlign w:val="superscript"/>
                    </w:rPr>
                    <w:t>3</w:t>
                  </w:r>
                </w:p>
              </w:tc>
              <w:tc>
                <w:tcPr>
                  <w:tcW w:w="437" w:type="pct"/>
                  <w:vAlign w:val="center"/>
                </w:tcPr>
                <w:p w14:paraId="6F144B67">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速率限值kg/h</w:t>
                  </w:r>
                </w:p>
              </w:tc>
              <w:tc>
                <w:tcPr>
                  <w:tcW w:w="425" w:type="pct"/>
                  <w:vAlign w:val="center"/>
                </w:tcPr>
                <w:p w14:paraId="5CF5E15A">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监测因子</w:t>
                  </w:r>
                </w:p>
              </w:tc>
              <w:tc>
                <w:tcPr>
                  <w:tcW w:w="241" w:type="pct"/>
                  <w:vAlign w:val="center"/>
                </w:tcPr>
                <w:p w14:paraId="270E914B">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频次</w:t>
                  </w:r>
                </w:p>
              </w:tc>
            </w:tr>
            <w:tr w14:paraId="3500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1" w:hRule="atLeast"/>
              </w:trPr>
              <w:tc>
                <w:tcPr>
                  <w:tcW w:w="437" w:type="pct"/>
                  <w:vMerge w:val="restart"/>
                  <w:vAlign w:val="center"/>
                </w:tcPr>
                <w:p w14:paraId="17482052">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rPr>
                    <w:t>沼气燃烧锅炉排气筒DA001</w:t>
                  </w:r>
                </w:p>
              </w:tc>
              <w:tc>
                <w:tcPr>
                  <w:tcW w:w="343" w:type="pct"/>
                  <w:vMerge w:val="restart"/>
                  <w:vAlign w:val="center"/>
                </w:tcPr>
                <w:p w14:paraId="04DEF9E8">
                  <w:pPr>
                    <w:pStyle w:val="25"/>
                    <w:widowControl w:val="0"/>
                    <w:tabs>
                      <w:tab w:val="left" w:pos="870"/>
                    </w:tabs>
                    <w:adjustRightInd w:val="0"/>
                    <w:snapToGrid w:val="0"/>
                    <w:spacing w:before="60" w:beforeAutospacing="0" w:after="60" w:afterAutospacing="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val="en-US" w:eastAsia="zh-CN"/>
                    </w:rPr>
                    <w:t>8</w:t>
                  </w:r>
                </w:p>
              </w:tc>
              <w:tc>
                <w:tcPr>
                  <w:tcW w:w="448" w:type="pct"/>
                  <w:vMerge w:val="restart"/>
                  <w:vAlign w:val="center"/>
                </w:tcPr>
                <w:p w14:paraId="03BF956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rPr>
                    <w:t>0.3</w:t>
                  </w:r>
                </w:p>
              </w:tc>
              <w:tc>
                <w:tcPr>
                  <w:tcW w:w="332" w:type="pct"/>
                  <w:vMerge w:val="restart"/>
                  <w:vAlign w:val="center"/>
                </w:tcPr>
                <w:p w14:paraId="69251232">
                  <w:pPr>
                    <w:pStyle w:val="25"/>
                    <w:widowControl w:val="0"/>
                    <w:tabs>
                      <w:tab w:val="left" w:pos="870"/>
                    </w:tabs>
                    <w:adjustRightInd w:val="0"/>
                    <w:snapToGrid w:val="0"/>
                    <w:spacing w:before="60" w:beforeAutospacing="0" w:after="6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120</w:t>
                  </w:r>
                </w:p>
              </w:tc>
              <w:tc>
                <w:tcPr>
                  <w:tcW w:w="420" w:type="pct"/>
                  <w:vMerge w:val="restart"/>
                  <w:vAlign w:val="center"/>
                </w:tcPr>
                <w:p w14:paraId="1E2E23F5">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lang w:val="en-US" w:eastAsia="zh-CN"/>
                    </w:rPr>
                    <w:t>E</w:t>
                  </w:r>
                  <w:r>
                    <w:rPr>
                      <w:rFonts w:hint="eastAsia" w:ascii="Times New Roman" w:hAnsi="Times New Roman"/>
                      <w:color w:val="auto"/>
                      <w:sz w:val="21"/>
                      <w:szCs w:val="21"/>
                    </w:rPr>
                    <w:t>116.818847</w:t>
                  </w:r>
                </w:p>
              </w:tc>
              <w:tc>
                <w:tcPr>
                  <w:tcW w:w="415" w:type="pct"/>
                  <w:vMerge w:val="restart"/>
                  <w:vAlign w:val="center"/>
                </w:tcPr>
                <w:p w14:paraId="1EBEC87F">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hint="eastAsia" w:ascii="Times New Roman" w:hAnsi="Times New Roman"/>
                      <w:color w:val="auto"/>
                      <w:sz w:val="21"/>
                      <w:szCs w:val="21"/>
                      <w:lang w:val="en-US" w:eastAsia="zh-CN"/>
                    </w:rPr>
                    <w:t>N</w:t>
                  </w:r>
                  <w:r>
                    <w:rPr>
                      <w:rFonts w:hint="eastAsia" w:ascii="Times New Roman" w:hAnsi="Times New Roman"/>
                      <w:color w:val="auto"/>
                      <w:sz w:val="21"/>
                      <w:szCs w:val="21"/>
                    </w:rPr>
                    <w:t>32.737776</w:t>
                  </w:r>
                </w:p>
              </w:tc>
              <w:tc>
                <w:tcPr>
                  <w:tcW w:w="335" w:type="pct"/>
                  <w:vMerge w:val="restart"/>
                  <w:vAlign w:val="center"/>
                </w:tcPr>
                <w:p w14:paraId="3A7517C2">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一般排放口</w:t>
                  </w:r>
                </w:p>
              </w:tc>
              <w:tc>
                <w:tcPr>
                  <w:tcW w:w="698" w:type="pct"/>
                  <w:vMerge w:val="restart"/>
                  <w:vAlign w:val="center"/>
                </w:tcPr>
                <w:p w14:paraId="665ED9A5">
                  <w:pPr>
                    <w:pStyle w:val="25"/>
                    <w:widowControl w:val="0"/>
                    <w:tabs>
                      <w:tab w:val="left" w:pos="870"/>
                    </w:tabs>
                    <w:adjustRightInd w:val="0"/>
                    <w:snapToGrid w:val="0"/>
                    <w:spacing w:before="60" w:beforeAutospacing="0" w:after="60" w:afterAutospacing="0"/>
                    <w:jc w:val="center"/>
                    <w:rPr>
                      <w:rFonts w:hint="eastAsia" w:ascii="Times New Roman" w:hAnsi="Times New Roman" w:eastAsia="宋体"/>
                      <w:color w:val="auto"/>
                      <w:sz w:val="21"/>
                      <w:szCs w:val="21"/>
                      <w:lang w:val="en-US" w:eastAsia="zh-CN"/>
                    </w:rPr>
                  </w:pPr>
                  <w:r>
                    <w:rPr>
                      <w:rFonts w:ascii="Times New Roman" w:hAnsi="Times New Roman"/>
                      <w:color w:val="auto"/>
                      <w:sz w:val="21"/>
                      <w:szCs w:val="21"/>
                    </w:rPr>
                    <w:t>《锅炉大气污染物排放标准》（GB13271-2014）表3</w:t>
                  </w:r>
                  <w:r>
                    <w:rPr>
                      <w:rFonts w:hint="eastAsia" w:ascii="Times New Roman" w:hAnsi="Times New Roman"/>
                      <w:color w:val="auto"/>
                      <w:sz w:val="21"/>
                      <w:szCs w:val="21"/>
                      <w:lang w:val="en-US" w:eastAsia="zh-CN"/>
                    </w:rPr>
                    <w:t>以及《淮南市大气环境质量限期达标规划》</w:t>
                  </w:r>
                </w:p>
              </w:tc>
              <w:tc>
                <w:tcPr>
                  <w:tcW w:w="748" w:type="dxa"/>
                  <w:vAlign w:val="center"/>
                </w:tcPr>
                <w:p w14:paraId="62F9D8D9">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50</w:t>
                  </w:r>
                </w:p>
              </w:tc>
              <w:tc>
                <w:tcPr>
                  <w:tcW w:w="704" w:type="dxa"/>
                  <w:vAlign w:val="center"/>
                </w:tcPr>
                <w:p w14:paraId="6775B2B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w:t>
                  </w:r>
                </w:p>
              </w:tc>
              <w:tc>
                <w:tcPr>
                  <w:tcW w:w="685" w:type="dxa"/>
                  <w:vAlign w:val="center"/>
                </w:tcPr>
                <w:p w14:paraId="59438B09">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SO</w:t>
                  </w:r>
                  <w:r>
                    <w:rPr>
                      <w:rFonts w:ascii="Times New Roman" w:hAnsi="Times New Roman"/>
                      <w:color w:val="auto"/>
                      <w:sz w:val="21"/>
                      <w:szCs w:val="21"/>
                      <w:vertAlign w:val="subscript"/>
                    </w:rPr>
                    <w:t>2</w:t>
                  </w:r>
                </w:p>
              </w:tc>
              <w:tc>
                <w:tcPr>
                  <w:tcW w:w="241" w:type="pct"/>
                  <w:vMerge w:val="restart"/>
                  <w:vAlign w:val="center"/>
                </w:tcPr>
                <w:p w14:paraId="340FDDC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r>
                    <w:rPr>
                      <w:rFonts w:ascii="Times New Roman" w:hAnsi="Times New Roman"/>
                      <w:color w:val="auto"/>
                      <w:sz w:val="21"/>
                      <w:szCs w:val="21"/>
                    </w:rPr>
                    <w:t>1次/半年</w:t>
                  </w:r>
                </w:p>
              </w:tc>
            </w:tr>
            <w:tr w14:paraId="606B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7" w:hRule="atLeast"/>
              </w:trPr>
              <w:tc>
                <w:tcPr>
                  <w:tcW w:w="437" w:type="pct"/>
                  <w:vMerge w:val="continue"/>
                  <w:vAlign w:val="center"/>
                </w:tcPr>
                <w:p w14:paraId="5BC27FB9">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p>
              </w:tc>
              <w:tc>
                <w:tcPr>
                  <w:tcW w:w="343" w:type="pct"/>
                  <w:vMerge w:val="continue"/>
                  <w:vAlign w:val="center"/>
                </w:tcPr>
                <w:p w14:paraId="1B294992">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p>
              </w:tc>
              <w:tc>
                <w:tcPr>
                  <w:tcW w:w="448" w:type="pct"/>
                  <w:vMerge w:val="continue"/>
                  <w:vAlign w:val="center"/>
                </w:tcPr>
                <w:p w14:paraId="252232E4">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p>
              </w:tc>
              <w:tc>
                <w:tcPr>
                  <w:tcW w:w="332" w:type="pct"/>
                  <w:vMerge w:val="continue"/>
                  <w:vAlign w:val="center"/>
                </w:tcPr>
                <w:p w14:paraId="55F07E51">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lang w:val="en-US" w:eastAsia="zh-CN"/>
                    </w:rPr>
                  </w:pPr>
                </w:p>
              </w:tc>
              <w:tc>
                <w:tcPr>
                  <w:tcW w:w="420" w:type="pct"/>
                  <w:vMerge w:val="continue"/>
                  <w:vAlign w:val="center"/>
                </w:tcPr>
                <w:p w14:paraId="00B646B9">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415" w:type="pct"/>
                  <w:vMerge w:val="continue"/>
                  <w:vAlign w:val="center"/>
                </w:tcPr>
                <w:p w14:paraId="652BA22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335" w:type="pct"/>
                  <w:vMerge w:val="continue"/>
                  <w:vAlign w:val="center"/>
                </w:tcPr>
                <w:p w14:paraId="44084D97">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698" w:type="pct"/>
                  <w:vMerge w:val="continue"/>
                  <w:vAlign w:val="center"/>
                </w:tcPr>
                <w:p w14:paraId="449B8BA4">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748" w:type="dxa"/>
                  <w:vAlign w:val="center"/>
                </w:tcPr>
                <w:p w14:paraId="00E67AD6">
                  <w:pPr>
                    <w:pStyle w:val="25"/>
                    <w:widowControl w:val="0"/>
                    <w:tabs>
                      <w:tab w:val="left" w:pos="870"/>
                    </w:tabs>
                    <w:adjustRightInd w:val="0"/>
                    <w:snapToGrid w:val="0"/>
                    <w:spacing w:before="60" w:beforeAutospacing="0" w:after="6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50</w:t>
                  </w:r>
                </w:p>
              </w:tc>
              <w:tc>
                <w:tcPr>
                  <w:tcW w:w="704" w:type="dxa"/>
                  <w:vAlign w:val="center"/>
                </w:tcPr>
                <w:p w14:paraId="69017D62">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r>
                    <w:rPr>
                      <w:rFonts w:ascii="Times New Roman" w:hAnsi="Times New Roman"/>
                      <w:color w:val="auto"/>
                      <w:sz w:val="21"/>
                      <w:szCs w:val="21"/>
                    </w:rPr>
                    <w:t>/</w:t>
                  </w:r>
                </w:p>
              </w:tc>
              <w:tc>
                <w:tcPr>
                  <w:tcW w:w="685" w:type="dxa"/>
                  <w:vAlign w:val="center"/>
                </w:tcPr>
                <w:p w14:paraId="2143D418">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r>
                    <w:rPr>
                      <w:rFonts w:ascii="Times New Roman" w:hAnsi="Times New Roman"/>
                      <w:color w:val="auto"/>
                      <w:sz w:val="21"/>
                      <w:szCs w:val="21"/>
                    </w:rPr>
                    <w:t>NO</w:t>
                  </w:r>
                  <w:r>
                    <w:rPr>
                      <w:rFonts w:ascii="Times New Roman" w:hAnsi="Times New Roman"/>
                      <w:color w:val="auto"/>
                      <w:sz w:val="21"/>
                      <w:szCs w:val="21"/>
                      <w:vertAlign w:val="subscript"/>
                    </w:rPr>
                    <w:t>X</w:t>
                  </w:r>
                </w:p>
              </w:tc>
              <w:tc>
                <w:tcPr>
                  <w:tcW w:w="241" w:type="pct"/>
                  <w:vMerge w:val="continue"/>
                  <w:vAlign w:val="center"/>
                </w:tcPr>
                <w:p w14:paraId="6FDBB3BA">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r>
            <w:tr w14:paraId="73F0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7" w:type="pct"/>
                  <w:vMerge w:val="continue"/>
                  <w:vAlign w:val="center"/>
                </w:tcPr>
                <w:p w14:paraId="5E8EACB7">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p>
              </w:tc>
              <w:tc>
                <w:tcPr>
                  <w:tcW w:w="343" w:type="pct"/>
                  <w:vMerge w:val="continue"/>
                  <w:vAlign w:val="center"/>
                </w:tcPr>
                <w:p w14:paraId="79FCB484">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p>
              </w:tc>
              <w:tc>
                <w:tcPr>
                  <w:tcW w:w="448" w:type="pct"/>
                  <w:vMerge w:val="continue"/>
                  <w:vAlign w:val="center"/>
                </w:tcPr>
                <w:p w14:paraId="2E7CE2BD">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p>
              </w:tc>
              <w:tc>
                <w:tcPr>
                  <w:tcW w:w="332" w:type="pct"/>
                  <w:vMerge w:val="continue"/>
                  <w:vAlign w:val="center"/>
                </w:tcPr>
                <w:p w14:paraId="4CF835A3">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lang w:val="en-US" w:eastAsia="zh-CN"/>
                    </w:rPr>
                  </w:pPr>
                </w:p>
              </w:tc>
              <w:tc>
                <w:tcPr>
                  <w:tcW w:w="420" w:type="pct"/>
                  <w:vMerge w:val="continue"/>
                  <w:vAlign w:val="center"/>
                </w:tcPr>
                <w:p w14:paraId="1DE66064">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415" w:type="pct"/>
                  <w:vMerge w:val="continue"/>
                  <w:vAlign w:val="center"/>
                </w:tcPr>
                <w:p w14:paraId="75A6B713">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335" w:type="pct"/>
                  <w:vMerge w:val="continue"/>
                  <w:vAlign w:val="center"/>
                </w:tcPr>
                <w:p w14:paraId="56D4FDC1">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698" w:type="pct"/>
                  <w:vMerge w:val="continue"/>
                  <w:vAlign w:val="center"/>
                </w:tcPr>
                <w:p w14:paraId="63148BFE">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c>
                <w:tcPr>
                  <w:tcW w:w="748" w:type="dxa"/>
                  <w:vAlign w:val="center"/>
                </w:tcPr>
                <w:p w14:paraId="05DF98C8">
                  <w:pPr>
                    <w:pStyle w:val="25"/>
                    <w:widowControl w:val="0"/>
                    <w:tabs>
                      <w:tab w:val="left" w:pos="870"/>
                    </w:tabs>
                    <w:adjustRightInd w:val="0"/>
                    <w:snapToGrid w:val="0"/>
                    <w:spacing w:before="60" w:beforeAutospacing="0" w:after="60" w:afterAutospacing="0"/>
                    <w:jc w:val="center"/>
                    <w:rPr>
                      <w:rFonts w:hint="default" w:ascii="Times New Roman" w:hAnsi="Times New Roman" w:eastAsia="宋体"/>
                      <w:color w:val="auto"/>
                      <w:sz w:val="21"/>
                      <w:szCs w:val="21"/>
                      <w:lang w:val="en-US" w:eastAsia="zh-CN"/>
                    </w:rPr>
                  </w:pPr>
                  <w:r>
                    <w:rPr>
                      <w:rFonts w:hint="eastAsia" w:ascii="Times New Roman" w:hAnsi="Times New Roman"/>
                      <w:color w:val="auto"/>
                      <w:sz w:val="21"/>
                      <w:szCs w:val="21"/>
                      <w:lang w:val="en-US" w:eastAsia="zh-CN"/>
                    </w:rPr>
                    <w:t>20</w:t>
                  </w:r>
                </w:p>
              </w:tc>
              <w:tc>
                <w:tcPr>
                  <w:tcW w:w="704" w:type="dxa"/>
                  <w:vAlign w:val="center"/>
                </w:tcPr>
                <w:p w14:paraId="133CB025">
                  <w:pPr>
                    <w:pStyle w:val="25"/>
                    <w:widowControl w:val="0"/>
                    <w:tabs>
                      <w:tab w:val="left" w:pos="870"/>
                    </w:tabs>
                    <w:adjustRightInd w:val="0"/>
                    <w:snapToGrid w:val="0"/>
                    <w:spacing w:before="60" w:beforeAutospacing="0" w:after="60" w:afterAutospacing="0"/>
                    <w:jc w:val="center"/>
                    <w:rPr>
                      <w:rFonts w:hint="eastAsia" w:ascii="Times New Roman" w:hAnsi="Times New Roman"/>
                      <w:color w:val="auto"/>
                      <w:sz w:val="21"/>
                      <w:szCs w:val="21"/>
                    </w:rPr>
                  </w:pPr>
                  <w:r>
                    <w:rPr>
                      <w:rFonts w:ascii="Times New Roman" w:hAnsi="Times New Roman"/>
                      <w:color w:val="auto"/>
                      <w:sz w:val="21"/>
                      <w:szCs w:val="21"/>
                    </w:rPr>
                    <w:t>/</w:t>
                  </w:r>
                </w:p>
              </w:tc>
              <w:tc>
                <w:tcPr>
                  <w:tcW w:w="685" w:type="dxa"/>
                  <w:vAlign w:val="center"/>
                </w:tcPr>
                <w:p w14:paraId="1FB962A4">
                  <w:pPr>
                    <w:pStyle w:val="25"/>
                    <w:widowControl w:val="0"/>
                    <w:tabs>
                      <w:tab w:val="left" w:pos="870"/>
                    </w:tabs>
                    <w:adjustRightInd w:val="0"/>
                    <w:snapToGrid w:val="0"/>
                    <w:spacing w:before="60" w:beforeAutospacing="0" w:after="60" w:afterAutospacing="0"/>
                    <w:jc w:val="center"/>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颗粒物</w:t>
                  </w:r>
                </w:p>
              </w:tc>
              <w:tc>
                <w:tcPr>
                  <w:tcW w:w="241" w:type="pct"/>
                  <w:vMerge w:val="continue"/>
                  <w:vAlign w:val="center"/>
                </w:tcPr>
                <w:p w14:paraId="11FF7BD0">
                  <w:pPr>
                    <w:pStyle w:val="25"/>
                    <w:widowControl w:val="0"/>
                    <w:tabs>
                      <w:tab w:val="left" w:pos="870"/>
                    </w:tabs>
                    <w:adjustRightInd w:val="0"/>
                    <w:snapToGrid w:val="0"/>
                    <w:spacing w:before="60" w:beforeAutospacing="0" w:after="60" w:afterAutospacing="0"/>
                    <w:jc w:val="center"/>
                    <w:rPr>
                      <w:rFonts w:ascii="Times New Roman" w:hAnsi="Times New Roman"/>
                      <w:color w:val="auto"/>
                      <w:sz w:val="21"/>
                      <w:szCs w:val="21"/>
                    </w:rPr>
                  </w:pPr>
                </w:p>
              </w:tc>
            </w:tr>
          </w:tbl>
          <w:p w14:paraId="28985DE2">
            <w:pPr>
              <w:widowControl/>
              <w:adjustRightInd w:val="0"/>
              <w:snapToGrid w:val="0"/>
              <w:spacing w:beforeLines="50" w:line="360" w:lineRule="auto"/>
              <w:ind w:firstLine="482" w:firstLineChars="200"/>
              <w:jc w:val="left"/>
              <w:rPr>
                <w:color w:val="auto"/>
                <w:kern w:val="0"/>
                <w:sz w:val="24"/>
              </w:rPr>
            </w:pPr>
            <w:r>
              <w:rPr>
                <w:rFonts w:hint="eastAsia"/>
                <w:b/>
                <w:bCs/>
                <w:color w:val="auto"/>
                <w:kern w:val="0"/>
                <w:sz w:val="24"/>
              </w:rPr>
              <w:t>3、废气治理措施可行性</w:t>
            </w:r>
          </w:p>
          <w:p w14:paraId="14B5CA2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color w:val="auto"/>
                <w:sz w:val="24"/>
              </w:rPr>
            </w:pPr>
            <w:r>
              <w:rPr>
                <w:rFonts w:hint="eastAsia"/>
                <w:color w:val="auto"/>
                <w:sz w:val="24"/>
              </w:rPr>
              <w:t>（1）有组织废气治理设施</w:t>
            </w:r>
          </w:p>
          <w:p w14:paraId="521FF3E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z w:val="24"/>
                <w:lang w:eastAsia="zh-CN"/>
              </w:rPr>
            </w:pPr>
            <w:r>
              <w:rPr>
                <w:rFonts w:hint="eastAsia"/>
                <w:color w:val="auto"/>
                <w:sz w:val="24"/>
              </w:rPr>
              <w:t>根据《排污许可证申请与核发技术规范 锅炉》（HJ 953-2018）表3燃气锅炉废气污染防治可行技术，本项目</w:t>
            </w:r>
            <w:r>
              <w:rPr>
                <w:rFonts w:hint="eastAsia"/>
                <w:color w:val="auto"/>
                <w:sz w:val="24"/>
                <w:lang w:eastAsia="zh-CN"/>
              </w:rPr>
              <w:t>沼气</w:t>
            </w:r>
            <w:r>
              <w:rPr>
                <w:rFonts w:hint="eastAsia"/>
                <w:color w:val="auto"/>
                <w:sz w:val="24"/>
              </w:rPr>
              <w:t>锅炉</w:t>
            </w:r>
            <w:r>
              <w:rPr>
                <w:rFonts w:hint="eastAsia"/>
                <w:color w:val="auto"/>
                <w:sz w:val="24"/>
                <w:lang w:eastAsia="zh-CN"/>
              </w:rPr>
              <w:t>（燃气锅炉）</w:t>
            </w:r>
            <w:r>
              <w:rPr>
                <w:rFonts w:hint="eastAsia"/>
                <w:color w:val="auto"/>
                <w:sz w:val="24"/>
              </w:rPr>
              <w:t>配套低氮燃烧装置为所列可行性技术</w:t>
            </w:r>
            <w:r>
              <w:rPr>
                <w:rFonts w:hint="eastAsia"/>
                <w:color w:val="auto"/>
                <w:sz w:val="24"/>
                <w:lang w:eastAsia="zh-CN"/>
              </w:rPr>
              <w:t>。</w:t>
            </w:r>
          </w:p>
          <w:p w14:paraId="44B8670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color w:val="auto"/>
                <w:sz w:val="24"/>
                <w:szCs w:val="32"/>
              </w:rPr>
            </w:pPr>
            <w:r>
              <w:rPr>
                <w:rFonts w:hint="eastAsia"/>
                <w:color w:val="auto"/>
                <w:sz w:val="24"/>
                <w:szCs w:val="32"/>
              </w:rPr>
              <w:t>（</w:t>
            </w:r>
            <w:r>
              <w:rPr>
                <w:color w:val="auto"/>
                <w:sz w:val="24"/>
                <w:szCs w:val="32"/>
              </w:rPr>
              <w:t>2）无组织废气防治措施</w:t>
            </w:r>
          </w:p>
          <w:p w14:paraId="5BD943C7">
            <w:pPr>
              <w:spacing w:line="360" w:lineRule="auto"/>
              <w:ind w:firstLine="480" w:firstLineChars="200"/>
              <w:rPr>
                <w:color w:val="auto"/>
                <w:sz w:val="24"/>
              </w:rPr>
            </w:pPr>
            <w:r>
              <w:rPr>
                <w:rFonts w:hint="eastAsia"/>
                <w:color w:val="auto"/>
                <w:sz w:val="24"/>
              </w:rPr>
              <w:t>项目排放的无组织废气主要为未被有效收集的</w:t>
            </w:r>
            <w:r>
              <w:rPr>
                <w:rFonts w:hint="eastAsia"/>
                <w:color w:val="auto"/>
                <w:sz w:val="24"/>
                <w:lang w:eastAsia="zh-CN"/>
              </w:rPr>
              <w:t>异味气体、</w:t>
            </w:r>
            <w:r>
              <w:rPr>
                <w:rFonts w:hint="eastAsia"/>
                <w:color w:val="auto"/>
                <w:sz w:val="24"/>
              </w:rPr>
              <w:t>恶臭气体</w:t>
            </w:r>
            <w:r>
              <w:rPr>
                <w:rFonts w:hint="eastAsia"/>
                <w:color w:val="auto"/>
                <w:sz w:val="24"/>
                <w:lang w:eastAsia="zh-CN"/>
              </w:rPr>
              <w:t>以及</w:t>
            </w:r>
            <w:r>
              <w:rPr>
                <w:rFonts w:hint="eastAsia"/>
                <w:color w:val="auto"/>
                <w:sz w:val="24"/>
              </w:rPr>
              <w:t>粉尘废气。未被有效收集的恶臭气体</w:t>
            </w:r>
            <w:r>
              <w:rPr>
                <w:rFonts w:hint="eastAsia"/>
                <w:color w:val="auto"/>
                <w:sz w:val="24"/>
                <w:lang w:eastAsia="zh-CN"/>
              </w:rPr>
              <w:t>和异味</w:t>
            </w:r>
            <w:r>
              <w:rPr>
                <w:rFonts w:hint="eastAsia"/>
                <w:color w:val="auto"/>
                <w:sz w:val="24"/>
              </w:rPr>
              <w:t>主要通过每日喷洒生物除臭剂，加强废气治理设施的日常维护工作；未被有效收集的粉尘废气，通过车间安装排风扇加强通风；未收集的沼气燃烧废气，通过加强发电机房的通风，加快沼气燃烧废气的散发。</w:t>
            </w:r>
          </w:p>
          <w:p w14:paraId="4E436D63">
            <w:pPr>
              <w:widowControl/>
              <w:spacing w:line="360" w:lineRule="auto"/>
              <w:ind w:firstLine="482" w:firstLineChars="200"/>
              <w:jc w:val="left"/>
              <w:rPr>
                <w:b/>
                <w:bCs/>
                <w:color w:val="auto"/>
                <w:kern w:val="0"/>
                <w:sz w:val="24"/>
              </w:rPr>
            </w:pPr>
            <w:r>
              <w:rPr>
                <w:rFonts w:hint="eastAsia"/>
                <w:b/>
                <w:bCs/>
                <w:color w:val="auto"/>
                <w:kern w:val="0"/>
                <w:sz w:val="24"/>
                <w:lang w:val="en-US" w:eastAsia="zh-CN"/>
              </w:rPr>
              <w:t>4、</w:t>
            </w:r>
            <w:r>
              <w:rPr>
                <w:rFonts w:hint="eastAsia"/>
                <w:b/>
                <w:bCs/>
                <w:color w:val="auto"/>
                <w:kern w:val="0"/>
                <w:sz w:val="24"/>
              </w:rPr>
              <w:t>大气环境影响分析</w:t>
            </w:r>
          </w:p>
          <w:p w14:paraId="41DE23E2">
            <w:pPr>
              <w:widowControl/>
              <w:spacing w:line="360" w:lineRule="auto"/>
              <w:ind w:firstLine="480" w:firstLineChars="200"/>
              <w:rPr>
                <w:color w:val="auto"/>
                <w:kern w:val="0"/>
                <w:sz w:val="24"/>
              </w:rPr>
            </w:pPr>
            <w:r>
              <w:rPr>
                <w:rFonts w:hint="eastAsia"/>
                <w:color w:val="auto"/>
                <w:kern w:val="0"/>
                <w:sz w:val="24"/>
              </w:rPr>
              <w:t>综上可知，本项目</w:t>
            </w:r>
            <w:r>
              <w:rPr>
                <w:rFonts w:hint="eastAsia"/>
                <w:color w:val="auto"/>
                <w:kern w:val="0"/>
                <w:sz w:val="24"/>
                <w:lang w:eastAsia="zh-CN"/>
              </w:rPr>
              <w:t>沼气燃烧锅炉废气通过</w:t>
            </w:r>
            <w:r>
              <w:rPr>
                <w:rFonts w:hint="eastAsia"/>
                <w:color w:val="auto"/>
                <w:sz w:val="24"/>
              </w:rPr>
              <w:t>配套</w:t>
            </w:r>
            <w:r>
              <w:rPr>
                <w:rFonts w:hint="eastAsia"/>
                <w:color w:val="auto"/>
                <w:sz w:val="24"/>
                <w:lang w:eastAsia="zh-CN"/>
              </w:rPr>
              <w:t>的</w:t>
            </w:r>
            <w:r>
              <w:rPr>
                <w:rFonts w:hint="eastAsia"/>
                <w:color w:val="auto"/>
                <w:sz w:val="24"/>
              </w:rPr>
              <w:t>低氮燃烧装置</w:t>
            </w:r>
            <w:r>
              <w:rPr>
                <w:rFonts w:hint="eastAsia"/>
                <w:color w:val="auto"/>
                <w:sz w:val="24"/>
                <w:lang w:eastAsia="zh-CN"/>
              </w:rPr>
              <w:t>处理后</w:t>
            </w:r>
            <w:r>
              <w:rPr>
                <w:rFonts w:hint="eastAsia"/>
                <w:color w:val="auto"/>
                <w:kern w:val="0"/>
                <w:sz w:val="24"/>
              </w:rPr>
              <w:t>经15m高排气筒（DA001）排放，废气排放执行《锅炉大气污染物排放标准》（GB13271-2014）表3</w:t>
            </w:r>
            <w:r>
              <w:rPr>
                <w:rFonts w:hint="eastAsia"/>
                <w:color w:val="auto"/>
                <w:sz w:val="24"/>
              </w:rPr>
              <w:t>限值要求</w:t>
            </w:r>
            <w:r>
              <w:rPr>
                <w:rFonts w:hint="eastAsia"/>
                <w:color w:val="auto"/>
                <w:sz w:val="24"/>
                <w:lang w:eastAsia="zh-CN"/>
              </w:rPr>
              <w:t>，氮氧化物执行《淮南市大气环境质量限期达标规划》（淮府办秘〔2022〕10号）中规定的50mg/m</w:t>
            </w:r>
            <w:r>
              <w:rPr>
                <w:rFonts w:hint="eastAsia"/>
                <w:color w:val="auto"/>
                <w:sz w:val="24"/>
                <w:vertAlign w:val="superscript"/>
                <w:lang w:val="en-US" w:eastAsia="zh-CN"/>
              </w:rPr>
              <w:t>3</w:t>
            </w:r>
            <w:r>
              <w:rPr>
                <w:rFonts w:hint="eastAsia"/>
                <w:color w:val="auto"/>
                <w:sz w:val="24"/>
                <w:lang w:eastAsia="zh-CN"/>
              </w:rPr>
              <w:t>排放限值要求</w:t>
            </w:r>
            <w:r>
              <w:rPr>
                <w:rFonts w:hint="eastAsia"/>
                <w:color w:val="auto"/>
                <w:sz w:val="24"/>
              </w:rPr>
              <w:t>；</w:t>
            </w:r>
            <w:r>
              <w:rPr>
                <w:rFonts w:hint="eastAsia"/>
                <w:color w:val="auto"/>
                <w:sz w:val="24"/>
                <w:lang w:eastAsia="zh-CN"/>
              </w:rPr>
              <w:t>车间无组织</w:t>
            </w:r>
            <w:r>
              <w:rPr>
                <w:rFonts w:hint="eastAsia"/>
                <w:color w:val="auto"/>
                <w:kern w:val="0"/>
                <w:sz w:val="24"/>
              </w:rPr>
              <w:t>恶臭气体</w:t>
            </w:r>
            <w:r>
              <w:rPr>
                <w:rFonts w:hint="eastAsia"/>
                <w:color w:val="auto"/>
                <w:kern w:val="0"/>
                <w:sz w:val="24"/>
                <w:lang w:eastAsia="zh-CN"/>
              </w:rPr>
              <w:t>和粉尘车间通过安装排风扇加强通风</w:t>
            </w:r>
            <w:r>
              <w:rPr>
                <w:rFonts w:hint="eastAsia"/>
                <w:color w:val="auto"/>
                <w:kern w:val="0"/>
                <w:sz w:val="24"/>
              </w:rPr>
              <w:t>，</w:t>
            </w:r>
            <w:r>
              <w:rPr>
                <w:rFonts w:hint="eastAsia"/>
                <w:color w:val="auto"/>
                <w:kern w:val="0"/>
                <w:sz w:val="24"/>
                <w:lang w:eastAsia="zh-CN"/>
              </w:rPr>
              <w:t>恶臭气体（含硫化氢和氨气）</w:t>
            </w:r>
            <w:r>
              <w:rPr>
                <w:rFonts w:hint="eastAsia"/>
                <w:color w:val="auto"/>
                <w:kern w:val="0"/>
                <w:sz w:val="24"/>
              </w:rPr>
              <w:t>废气排放可满足《恶臭污染物排放标准》（GB14554—93）</w:t>
            </w:r>
            <w:r>
              <w:rPr>
                <w:rFonts w:hint="eastAsia"/>
                <w:color w:val="auto"/>
                <w:kern w:val="0"/>
                <w:sz w:val="24"/>
                <w:lang w:eastAsia="zh-CN"/>
              </w:rPr>
              <w:t>，颗粒物</w:t>
            </w:r>
            <w:r>
              <w:rPr>
                <w:rFonts w:hint="eastAsia"/>
                <w:color w:val="auto"/>
                <w:kern w:val="0"/>
                <w:sz w:val="24"/>
              </w:rPr>
              <w:t>废气排放可满足</w:t>
            </w:r>
            <w:r>
              <w:rPr>
                <w:rFonts w:hint="eastAsia"/>
                <w:color w:val="auto"/>
                <w:sz w:val="24"/>
              </w:rPr>
              <w:t>《大气污染物综合排放标准》（GB16297-1996）表2中</w:t>
            </w:r>
            <w:r>
              <w:rPr>
                <w:rFonts w:hint="eastAsia"/>
                <w:color w:val="auto"/>
                <w:sz w:val="24"/>
                <w:lang w:val="en-US" w:eastAsia="zh-CN"/>
              </w:rPr>
              <w:t>无组织</w:t>
            </w:r>
            <w:r>
              <w:rPr>
                <w:rFonts w:hint="eastAsia"/>
                <w:color w:val="auto"/>
                <w:sz w:val="24"/>
              </w:rPr>
              <w:t>标准限值，项目废气均</w:t>
            </w:r>
            <w:r>
              <w:rPr>
                <w:rFonts w:hint="eastAsia"/>
                <w:color w:val="auto"/>
                <w:kern w:val="0"/>
                <w:sz w:val="24"/>
              </w:rPr>
              <w:t>可做到达标排放，对大气影响较小。</w:t>
            </w:r>
          </w:p>
          <w:p w14:paraId="2CE5C98D">
            <w:pPr>
              <w:widowControl/>
              <w:spacing w:line="360" w:lineRule="auto"/>
              <w:ind w:firstLine="480" w:firstLineChars="200"/>
              <w:jc w:val="left"/>
              <w:rPr>
                <w:color w:val="auto"/>
                <w:kern w:val="0"/>
                <w:sz w:val="24"/>
              </w:rPr>
            </w:pPr>
            <w:r>
              <w:rPr>
                <w:rFonts w:hint="eastAsia"/>
                <w:color w:val="auto"/>
                <w:kern w:val="0"/>
                <w:sz w:val="24"/>
              </w:rPr>
              <w:t>因此，本项目在采取上述废气环保措施后，污染物可以达标排放，对大气影响较小。</w:t>
            </w:r>
          </w:p>
          <w:p w14:paraId="6F80F15B">
            <w:pPr>
              <w:widowControl/>
              <w:spacing w:line="360" w:lineRule="auto"/>
              <w:jc w:val="left"/>
              <w:rPr>
                <w:b/>
                <w:bCs/>
                <w:color w:val="auto"/>
                <w:kern w:val="0"/>
                <w:sz w:val="24"/>
              </w:rPr>
            </w:pPr>
            <w:r>
              <w:rPr>
                <w:rFonts w:hint="eastAsia"/>
                <w:b/>
                <w:bCs/>
                <w:color w:val="auto"/>
                <w:kern w:val="0"/>
                <w:sz w:val="24"/>
              </w:rPr>
              <w:t>二、废水环境影响和治理措施</w:t>
            </w:r>
          </w:p>
          <w:p w14:paraId="70CA9762">
            <w:pPr>
              <w:widowControl/>
              <w:spacing w:line="360" w:lineRule="auto"/>
              <w:ind w:firstLine="482" w:firstLineChars="200"/>
              <w:jc w:val="left"/>
              <w:rPr>
                <w:b/>
                <w:bCs/>
                <w:color w:val="auto"/>
                <w:kern w:val="0"/>
                <w:sz w:val="24"/>
              </w:rPr>
            </w:pPr>
            <w:r>
              <w:rPr>
                <w:rFonts w:hint="eastAsia"/>
                <w:b/>
                <w:bCs/>
                <w:color w:val="auto"/>
                <w:kern w:val="0"/>
                <w:sz w:val="24"/>
              </w:rPr>
              <w:t>1、废水污染源强分析</w:t>
            </w:r>
          </w:p>
          <w:p w14:paraId="1F07DD44">
            <w:pPr>
              <w:spacing w:line="360" w:lineRule="auto"/>
              <w:ind w:firstLine="480" w:firstLineChars="200"/>
              <w:rPr>
                <w:rFonts w:hint="eastAsia"/>
                <w:color w:val="auto"/>
                <w:sz w:val="24"/>
              </w:rPr>
            </w:pPr>
            <w:r>
              <w:rPr>
                <w:rFonts w:hint="eastAsia"/>
                <w:color w:val="auto"/>
                <w:sz w:val="24"/>
              </w:rPr>
              <w:t>建设项目用水主要为生产用水和生活用水，生产用水具体包括：洗豆用水、泡豆用水、磨浆用水、调配用水、设备清洗用水、软水制备用水和地坪保洁用水。</w:t>
            </w:r>
          </w:p>
          <w:p w14:paraId="3DE41380">
            <w:pPr>
              <w:spacing w:line="360" w:lineRule="auto"/>
              <w:ind w:firstLine="480" w:firstLineChars="200"/>
              <w:rPr>
                <w:color w:val="auto"/>
                <w:sz w:val="24"/>
              </w:rPr>
            </w:pPr>
            <w:r>
              <w:rPr>
                <w:rFonts w:hint="eastAsia"/>
                <w:color w:val="auto"/>
                <w:sz w:val="24"/>
              </w:rPr>
              <w:t>产生的废水有生产废水和生活污水，生产废水具体包括：洗豆废水、泡豆废水、压制废水（黄浆水）、设备清洗废水、软水制备废水、锅炉排污水和地坪保洁废水</w:t>
            </w:r>
            <w:r>
              <w:rPr>
                <w:color w:val="auto"/>
                <w:sz w:val="24"/>
              </w:rPr>
              <w:t>。</w:t>
            </w:r>
          </w:p>
          <w:p w14:paraId="19D82ADB">
            <w:pPr>
              <w:widowControl/>
              <w:adjustRightInd w:val="0"/>
              <w:snapToGrid w:val="0"/>
              <w:spacing w:line="360" w:lineRule="auto"/>
              <w:ind w:firstLine="480" w:firstLineChars="200"/>
              <w:jc w:val="left"/>
              <w:rPr>
                <w:color w:val="auto"/>
                <w:sz w:val="24"/>
              </w:rPr>
            </w:pPr>
            <w:r>
              <w:rPr>
                <w:rFonts w:hint="eastAsia"/>
                <w:color w:val="auto"/>
                <w:sz w:val="24"/>
              </w:rPr>
              <w:t>1）生活用水</w:t>
            </w:r>
          </w:p>
          <w:p w14:paraId="2CEED91A">
            <w:pPr>
              <w:widowControl/>
              <w:adjustRightInd w:val="0"/>
              <w:snapToGrid w:val="0"/>
              <w:spacing w:line="360" w:lineRule="auto"/>
              <w:ind w:firstLine="480" w:firstLineChars="200"/>
              <w:jc w:val="left"/>
              <w:rPr>
                <w:color w:val="auto"/>
                <w:sz w:val="24"/>
              </w:rPr>
            </w:pPr>
            <w:r>
              <w:rPr>
                <w:rFonts w:hint="eastAsia"/>
                <w:color w:val="auto"/>
                <w:sz w:val="24"/>
              </w:rPr>
              <w:t>本项目劳动定员4</w:t>
            </w:r>
            <w:r>
              <w:rPr>
                <w:rFonts w:hint="eastAsia"/>
                <w:color w:val="auto"/>
                <w:sz w:val="24"/>
                <w:lang w:val="en-US" w:eastAsia="zh-CN"/>
              </w:rPr>
              <w:t>0</w:t>
            </w:r>
            <w:r>
              <w:rPr>
                <w:rFonts w:hint="eastAsia"/>
                <w:color w:val="auto"/>
                <w:sz w:val="24"/>
              </w:rPr>
              <w:t>人，年工作3</w:t>
            </w:r>
            <w:r>
              <w:rPr>
                <w:rFonts w:hint="eastAsia"/>
                <w:color w:val="auto"/>
                <w:sz w:val="24"/>
                <w:lang w:val="en-US" w:eastAsia="zh-CN"/>
              </w:rPr>
              <w:t>00</w:t>
            </w:r>
            <w:r>
              <w:rPr>
                <w:rFonts w:hint="eastAsia"/>
                <w:color w:val="auto"/>
                <w:sz w:val="24"/>
              </w:rPr>
              <w:t>天，员工均不在厂区内食宿，每人每天生活用水按50L计，则生活用水量为</w:t>
            </w:r>
            <w:r>
              <w:rPr>
                <w:rFonts w:hint="eastAsia"/>
                <w:color w:val="auto"/>
                <w:sz w:val="24"/>
                <w:lang w:val="en-US" w:eastAsia="zh-CN"/>
              </w:rPr>
              <w:t>2.0</w:t>
            </w:r>
            <w:r>
              <w:rPr>
                <w:rFonts w:hint="eastAsia"/>
                <w:color w:val="auto"/>
                <w:sz w:val="24"/>
              </w:rPr>
              <w:t>00</w:t>
            </w:r>
            <w:r>
              <w:rPr>
                <w:color w:val="auto"/>
                <w:sz w:val="24"/>
              </w:rPr>
              <w:t>m³</w:t>
            </w:r>
            <w:r>
              <w:rPr>
                <w:rFonts w:hint="eastAsia"/>
                <w:color w:val="auto"/>
                <w:sz w:val="24"/>
              </w:rPr>
              <w:t>/d（</w:t>
            </w:r>
            <w:r>
              <w:rPr>
                <w:rFonts w:hint="eastAsia"/>
                <w:color w:val="auto"/>
                <w:sz w:val="24"/>
                <w:lang w:val="en-US" w:eastAsia="zh-CN"/>
              </w:rPr>
              <w:t>600</w:t>
            </w:r>
            <w:r>
              <w:rPr>
                <w:color w:val="auto"/>
                <w:sz w:val="24"/>
              </w:rPr>
              <w:t>m³</w:t>
            </w:r>
            <w:r>
              <w:rPr>
                <w:rFonts w:hint="eastAsia"/>
                <w:color w:val="auto"/>
                <w:sz w:val="24"/>
              </w:rPr>
              <w:t>/a），生活污水按用水量80%，则项目生活污水量为</w:t>
            </w:r>
            <w:r>
              <w:rPr>
                <w:rFonts w:hint="eastAsia"/>
                <w:color w:val="auto"/>
                <w:sz w:val="24"/>
                <w:lang w:val="en-US" w:eastAsia="zh-CN"/>
              </w:rPr>
              <w:t>1.</w:t>
            </w:r>
            <w:r>
              <w:rPr>
                <w:rFonts w:hint="eastAsia"/>
                <w:color w:val="auto"/>
                <w:sz w:val="24"/>
              </w:rPr>
              <w:t>6</w:t>
            </w:r>
            <w:r>
              <w:rPr>
                <w:rFonts w:hint="eastAsia"/>
                <w:color w:val="auto"/>
                <w:sz w:val="24"/>
                <w:lang w:val="en-US" w:eastAsia="zh-CN"/>
              </w:rPr>
              <w:t>0</w:t>
            </w:r>
            <w:r>
              <w:rPr>
                <w:rFonts w:hint="eastAsia"/>
                <w:color w:val="auto"/>
                <w:sz w:val="24"/>
              </w:rPr>
              <w:t>0</w:t>
            </w:r>
            <w:r>
              <w:rPr>
                <w:color w:val="auto"/>
                <w:sz w:val="24"/>
              </w:rPr>
              <w:t>m³</w:t>
            </w:r>
            <w:r>
              <w:rPr>
                <w:rFonts w:hint="eastAsia"/>
                <w:color w:val="auto"/>
                <w:sz w:val="24"/>
              </w:rPr>
              <w:t>/d（</w:t>
            </w:r>
            <w:r>
              <w:rPr>
                <w:rFonts w:hint="eastAsia"/>
                <w:color w:val="auto"/>
                <w:sz w:val="24"/>
                <w:lang w:val="en-US" w:eastAsia="zh-CN"/>
              </w:rPr>
              <w:t>480</w:t>
            </w:r>
            <w:r>
              <w:rPr>
                <w:color w:val="auto"/>
                <w:sz w:val="24"/>
              </w:rPr>
              <w:t>m³</w:t>
            </w:r>
            <w:r>
              <w:rPr>
                <w:rFonts w:hint="eastAsia"/>
                <w:color w:val="auto"/>
                <w:sz w:val="24"/>
              </w:rPr>
              <w:t>/a）。生活污水</w:t>
            </w:r>
            <w:r>
              <w:rPr>
                <w:rFonts w:hint="eastAsia"/>
                <w:color w:val="auto"/>
                <w:sz w:val="24"/>
                <w:lang w:eastAsia="zh-CN"/>
              </w:rPr>
              <w:t>经化粪池处理后</w:t>
            </w:r>
            <w:r>
              <w:rPr>
                <w:rFonts w:hint="eastAsia"/>
                <w:color w:val="auto"/>
                <w:sz w:val="24"/>
              </w:rPr>
              <w:t>泵送至秸秆粪便资源化利用（一期）项目</w:t>
            </w:r>
            <w:r>
              <w:rPr>
                <w:rFonts w:hint="eastAsia"/>
                <w:color w:val="auto"/>
                <w:sz w:val="24"/>
                <w:lang w:val="en-US" w:eastAsia="zh-CN"/>
              </w:rPr>
              <w:t>沼气发电系统作为原料</w:t>
            </w:r>
            <w:r>
              <w:rPr>
                <w:rFonts w:hint="eastAsia"/>
                <w:color w:val="auto"/>
                <w:sz w:val="24"/>
              </w:rPr>
              <w:t>。</w:t>
            </w:r>
          </w:p>
          <w:p w14:paraId="5105D7DC">
            <w:pPr>
              <w:widowControl/>
              <w:adjustRightInd w:val="0"/>
              <w:snapToGrid w:val="0"/>
              <w:spacing w:line="360" w:lineRule="auto"/>
              <w:ind w:firstLine="480" w:firstLineChars="200"/>
              <w:rPr>
                <w:rFonts w:hint="eastAsia"/>
                <w:color w:val="auto"/>
                <w:sz w:val="24"/>
              </w:rPr>
            </w:pPr>
            <w:r>
              <w:rPr>
                <w:color w:val="auto"/>
                <w:sz w:val="24"/>
              </w:rPr>
              <w:t>2</w:t>
            </w:r>
            <w:r>
              <w:rPr>
                <w:rFonts w:hint="eastAsia"/>
                <w:color w:val="auto"/>
                <w:sz w:val="24"/>
              </w:rPr>
              <w:t>）洗豆用水</w:t>
            </w:r>
          </w:p>
          <w:p w14:paraId="79B4317B">
            <w:pPr>
              <w:widowControl/>
              <w:adjustRightInd w:val="0"/>
              <w:snapToGrid w:val="0"/>
              <w:spacing w:line="360" w:lineRule="auto"/>
              <w:ind w:firstLine="480" w:firstLineChars="200"/>
              <w:rPr>
                <w:color w:val="auto"/>
                <w:sz w:val="24"/>
              </w:rPr>
            </w:pPr>
            <w:r>
              <w:rPr>
                <w:rFonts w:hint="eastAsia"/>
                <w:color w:val="auto"/>
                <w:sz w:val="24"/>
              </w:rPr>
              <w:t>在磨浆前需对黄豆清洗三次，每次洗豆时，豆与水的比例为1：</w:t>
            </w:r>
            <w:r>
              <w:rPr>
                <w:rFonts w:hint="eastAsia"/>
                <w:color w:val="auto"/>
                <w:sz w:val="24"/>
                <w:lang w:val="en-US" w:eastAsia="zh-CN"/>
              </w:rPr>
              <w:t>1</w:t>
            </w:r>
            <w:r>
              <w:rPr>
                <w:rFonts w:hint="eastAsia"/>
                <w:color w:val="auto"/>
                <w:sz w:val="24"/>
              </w:rPr>
              <w:t>，黄豆原料年用量为</w:t>
            </w:r>
            <w:r>
              <w:rPr>
                <w:rFonts w:hint="eastAsia"/>
                <w:color w:val="auto"/>
                <w:sz w:val="24"/>
                <w:lang w:val="en-US" w:eastAsia="zh-CN"/>
              </w:rPr>
              <w:t>2</w:t>
            </w:r>
            <w:r>
              <w:rPr>
                <w:rFonts w:hint="eastAsia"/>
                <w:color w:val="auto"/>
                <w:sz w:val="24"/>
              </w:rPr>
              <w:t>000t/a（</w:t>
            </w:r>
            <w:r>
              <w:rPr>
                <w:rFonts w:hint="eastAsia"/>
                <w:color w:val="auto"/>
                <w:sz w:val="24"/>
                <w:lang w:val="en-US" w:eastAsia="zh-CN"/>
              </w:rPr>
              <w:t>6.667</w:t>
            </w:r>
            <w:r>
              <w:rPr>
                <w:rFonts w:hint="eastAsia"/>
                <w:color w:val="auto"/>
                <w:sz w:val="24"/>
              </w:rPr>
              <w:t>t/</w:t>
            </w:r>
            <w:r>
              <w:rPr>
                <w:rFonts w:hint="eastAsia"/>
                <w:color w:val="auto"/>
                <w:sz w:val="24"/>
                <w:lang w:val="en-US" w:eastAsia="zh-CN"/>
              </w:rPr>
              <w:t>d</w:t>
            </w:r>
            <w:r>
              <w:rPr>
                <w:rFonts w:hint="eastAsia"/>
                <w:color w:val="auto"/>
                <w:sz w:val="24"/>
              </w:rPr>
              <w:t>），洗豆用水量为</w:t>
            </w:r>
            <w:r>
              <w:rPr>
                <w:rFonts w:hint="eastAsia"/>
                <w:color w:val="auto"/>
                <w:sz w:val="24"/>
                <w:lang w:val="en-US" w:eastAsia="zh-CN"/>
              </w:rPr>
              <w:t>6000</w:t>
            </w:r>
            <w:r>
              <w:rPr>
                <w:rFonts w:hint="eastAsia"/>
                <w:color w:val="auto"/>
                <w:sz w:val="24"/>
              </w:rPr>
              <w:t>t/a（</w:t>
            </w:r>
            <w:r>
              <w:rPr>
                <w:rFonts w:hint="eastAsia"/>
                <w:color w:val="auto"/>
                <w:sz w:val="24"/>
                <w:lang w:val="en-US" w:eastAsia="zh-CN"/>
              </w:rPr>
              <w:t>20</w:t>
            </w:r>
            <w:r>
              <w:rPr>
                <w:rFonts w:hint="eastAsia"/>
                <w:color w:val="auto"/>
                <w:sz w:val="24"/>
              </w:rPr>
              <w:t>t/d），洗豆用水损耗按10%计，洗豆废水产生量为</w:t>
            </w:r>
            <w:r>
              <w:rPr>
                <w:rFonts w:hint="eastAsia"/>
                <w:color w:val="auto"/>
                <w:sz w:val="24"/>
                <w:lang w:val="en-US" w:eastAsia="zh-CN"/>
              </w:rPr>
              <w:t>5400</w:t>
            </w:r>
            <w:r>
              <w:rPr>
                <w:rFonts w:hint="eastAsia"/>
                <w:color w:val="auto"/>
                <w:sz w:val="24"/>
                <w:lang w:eastAsia="zh-CN"/>
              </w:rPr>
              <w:t>t</w:t>
            </w:r>
            <w:r>
              <w:rPr>
                <w:rFonts w:hint="eastAsia"/>
                <w:color w:val="auto"/>
                <w:sz w:val="24"/>
              </w:rPr>
              <w:t>/a（</w:t>
            </w:r>
            <w:r>
              <w:rPr>
                <w:rFonts w:hint="eastAsia"/>
                <w:color w:val="auto"/>
                <w:sz w:val="24"/>
                <w:lang w:val="en-US" w:eastAsia="zh-CN"/>
              </w:rPr>
              <w:t>18</w:t>
            </w:r>
            <w:r>
              <w:rPr>
                <w:rFonts w:hint="eastAsia"/>
                <w:color w:val="auto"/>
                <w:sz w:val="24"/>
              </w:rPr>
              <w:t>t/d）。</w:t>
            </w:r>
          </w:p>
          <w:p w14:paraId="24804158">
            <w:pPr>
              <w:pStyle w:val="12"/>
              <w:numPr>
                <w:ilvl w:val="0"/>
                <w:numId w:val="6"/>
              </w:numPr>
              <w:adjustRightInd w:val="0"/>
              <w:snapToGrid w:val="0"/>
              <w:spacing w:after="0" w:line="360" w:lineRule="auto"/>
              <w:ind w:left="0" w:leftChars="0" w:firstLine="480" w:firstLineChars="200"/>
              <w:rPr>
                <w:rFonts w:hint="eastAsia"/>
                <w:color w:val="auto"/>
                <w:szCs w:val="24"/>
              </w:rPr>
            </w:pPr>
            <w:r>
              <w:rPr>
                <w:rFonts w:hint="eastAsia"/>
                <w:color w:val="auto"/>
                <w:szCs w:val="24"/>
              </w:rPr>
              <w:t>泡豆用水</w:t>
            </w:r>
          </w:p>
          <w:p w14:paraId="5F5FF34E">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浸泡黄豆时加水量一般为黄豆质量的3倍，黄豆原料年用量为</w:t>
            </w:r>
            <w:r>
              <w:rPr>
                <w:rFonts w:hint="eastAsia"/>
                <w:color w:val="auto"/>
                <w:szCs w:val="24"/>
                <w:lang w:val="en-US" w:eastAsia="zh-CN"/>
              </w:rPr>
              <w:t>2</w:t>
            </w:r>
            <w:r>
              <w:rPr>
                <w:rFonts w:hint="eastAsia"/>
                <w:color w:val="auto"/>
                <w:szCs w:val="24"/>
              </w:rPr>
              <w:t>000t/a，则泡豆需水量为</w:t>
            </w:r>
            <w:r>
              <w:rPr>
                <w:rFonts w:hint="eastAsia"/>
                <w:color w:val="auto"/>
                <w:szCs w:val="24"/>
                <w:lang w:val="en-US" w:eastAsia="zh-CN"/>
              </w:rPr>
              <w:t>6</w:t>
            </w:r>
            <w:r>
              <w:rPr>
                <w:rFonts w:hint="eastAsia"/>
                <w:color w:val="auto"/>
                <w:szCs w:val="24"/>
              </w:rPr>
              <w:t>000t/a（</w:t>
            </w:r>
            <w:r>
              <w:rPr>
                <w:rFonts w:hint="eastAsia"/>
                <w:color w:val="auto"/>
                <w:szCs w:val="24"/>
                <w:lang w:val="en-US" w:eastAsia="zh-CN"/>
              </w:rPr>
              <w:t>20</w:t>
            </w:r>
            <w:r>
              <w:rPr>
                <w:rFonts w:hint="eastAsia"/>
                <w:color w:val="auto"/>
                <w:szCs w:val="24"/>
              </w:rPr>
              <w:t>t/d）。泡豆时黄豆吸收水量与自身重量之比为1：1，即</w:t>
            </w:r>
            <w:r>
              <w:rPr>
                <w:rFonts w:hint="eastAsia"/>
                <w:color w:val="auto"/>
                <w:szCs w:val="24"/>
                <w:lang w:val="en-US" w:eastAsia="zh-CN"/>
              </w:rPr>
              <w:t>2</w:t>
            </w:r>
            <w:r>
              <w:rPr>
                <w:rFonts w:hint="eastAsia"/>
                <w:color w:val="auto"/>
                <w:szCs w:val="24"/>
              </w:rPr>
              <w:t>000t/a（</w:t>
            </w:r>
            <w:r>
              <w:rPr>
                <w:rFonts w:hint="eastAsia"/>
                <w:color w:val="auto"/>
                <w:szCs w:val="24"/>
                <w:lang w:val="en-US" w:eastAsia="zh-CN"/>
              </w:rPr>
              <w:t>6.667</w:t>
            </w:r>
            <w:r>
              <w:rPr>
                <w:rFonts w:hint="eastAsia"/>
                <w:color w:val="auto"/>
                <w:szCs w:val="24"/>
              </w:rPr>
              <w:t>t/d）进入黄豆，泡豆废水产生量为</w:t>
            </w:r>
            <w:r>
              <w:rPr>
                <w:rFonts w:hint="eastAsia"/>
                <w:color w:val="auto"/>
                <w:szCs w:val="24"/>
                <w:lang w:val="en-US" w:eastAsia="zh-CN"/>
              </w:rPr>
              <w:t>4000</w:t>
            </w:r>
            <w:r>
              <w:rPr>
                <w:rFonts w:hint="eastAsia"/>
                <w:color w:val="auto"/>
                <w:szCs w:val="24"/>
              </w:rPr>
              <w:t>t/a（</w:t>
            </w:r>
            <w:r>
              <w:rPr>
                <w:rFonts w:hint="eastAsia"/>
                <w:color w:val="auto"/>
                <w:szCs w:val="24"/>
                <w:lang w:val="en-US" w:eastAsia="zh-CN"/>
              </w:rPr>
              <w:t>13.333</w:t>
            </w:r>
            <w:r>
              <w:rPr>
                <w:rFonts w:hint="eastAsia"/>
                <w:color w:val="auto"/>
                <w:szCs w:val="24"/>
              </w:rPr>
              <w:t>t/d）。</w:t>
            </w:r>
          </w:p>
          <w:p w14:paraId="546F021C">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4）</w:t>
            </w:r>
            <w:r>
              <w:rPr>
                <w:rFonts w:hint="eastAsia"/>
                <w:color w:val="auto"/>
                <w:szCs w:val="24"/>
              </w:rPr>
              <w:t>磨浆用水</w:t>
            </w:r>
          </w:p>
          <w:p w14:paraId="315F7EBA">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磨浆工序需配合加入黄豆</w:t>
            </w:r>
            <w:r>
              <w:rPr>
                <w:rFonts w:hint="eastAsia"/>
                <w:color w:val="auto"/>
                <w:szCs w:val="24"/>
                <w:lang w:val="en-US" w:eastAsia="zh-CN"/>
              </w:rPr>
              <w:t>6</w:t>
            </w:r>
            <w:r>
              <w:rPr>
                <w:rFonts w:hint="eastAsia"/>
                <w:color w:val="auto"/>
                <w:szCs w:val="24"/>
              </w:rPr>
              <w:t>倍量的冷水，则磨浆用水量为</w:t>
            </w:r>
            <w:r>
              <w:rPr>
                <w:rFonts w:hint="eastAsia"/>
                <w:color w:val="auto"/>
                <w:szCs w:val="24"/>
                <w:lang w:val="en-US" w:eastAsia="zh-CN"/>
              </w:rPr>
              <w:t>12000</w:t>
            </w:r>
            <w:r>
              <w:rPr>
                <w:rFonts w:hint="eastAsia"/>
                <w:color w:val="auto"/>
                <w:szCs w:val="24"/>
              </w:rPr>
              <w:t>t/a（</w:t>
            </w:r>
            <w:r>
              <w:rPr>
                <w:rFonts w:hint="eastAsia"/>
                <w:color w:val="auto"/>
                <w:szCs w:val="24"/>
                <w:lang w:val="en-US" w:eastAsia="zh-CN"/>
              </w:rPr>
              <w:t>40</w:t>
            </w:r>
            <w:r>
              <w:rPr>
                <w:rFonts w:hint="eastAsia"/>
                <w:color w:val="auto"/>
                <w:szCs w:val="24"/>
              </w:rPr>
              <w:t>t/d）。磨浆时干豆渣产生量约为黄豆使用量的20%（</w:t>
            </w:r>
            <w:r>
              <w:rPr>
                <w:rFonts w:hint="eastAsia"/>
                <w:color w:val="auto"/>
                <w:szCs w:val="24"/>
                <w:lang w:val="en-US" w:eastAsia="zh-CN"/>
              </w:rPr>
              <w:t>4</w:t>
            </w:r>
            <w:r>
              <w:rPr>
                <w:rFonts w:hint="eastAsia"/>
                <w:color w:val="auto"/>
                <w:szCs w:val="24"/>
              </w:rPr>
              <w:t>00t/a，</w:t>
            </w:r>
            <w:r>
              <w:rPr>
                <w:rFonts w:hint="eastAsia"/>
                <w:color w:val="auto"/>
                <w:szCs w:val="24"/>
                <w:lang w:val="en-US" w:eastAsia="zh-CN"/>
              </w:rPr>
              <w:t>1.333</w:t>
            </w:r>
            <w:r>
              <w:rPr>
                <w:rFonts w:hint="eastAsia"/>
                <w:color w:val="auto"/>
                <w:szCs w:val="24"/>
              </w:rPr>
              <w:t>t/d），湿豆渣含水约为80%，则有</w:t>
            </w:r>
            <w:r>
              <w:rPr>
                <w:rFonts w:hint="eastAsia"/>
                <w:color w:val="auto"/>
                <w:szCs w:val="24"/>
                <w:lang w:val="en-US" w:eastAsia="zh-CN"/>
              </w:rPr>
              <w:t>100</w:t>
            </w:r>
            <w:r>
              <w:rPr>
                <w:rFonts w:hint="eastAsia"/>
                <w:color w:val="auto"/>
                <w:szCs w:val="24"/>
              </w:rPr>
              <w:t>t/a（</w:t>
            </w:r>
            <w:r>
              <w:rPr>
                <w:rFonts w:hint="eastAsia"/>
                <w:color w:val="auto"/>
                <w:szCs w:val="24"/>
                <w:lang w:val="en-US" w:eastAsia="zh-CN"/>
              </w:rPr>
              <w:t>0.333</w:t>
            </w:r>
            <w:r>
              <w:rPr>
                <w:rFonts w:hint="eastAsia"/>
                <w:color w:val="auto"/>
                <w:szCs w:val="24"/>
              </w:rPr>
              <w:t>t/d）磨浆用水随豆渣带出，其余</w:t>
            </w:r>
            <w:r>
              <w:rPr>
                <w:rFonts w:hint="eastAsia"/>
                <w:color w:val="auto"/>
                <w:szCs w:val="24"/>
                <w:lang w:val="en-US" w:eastAsia="zh-CN"/>
              </w:rPr>
              <w:t>11900</w:t>
            </w:r>
            <w:r>
              <w:rPr>
                <w:rFonts w:hint="eastAsia"/>
                <w:color w:val="auto"/>
                <w:szCs w:val="24"/>
              </w:rPr>
              <w:t>t/a（</w:t>
            </w:r>
            <w:r>
              <w:rPr>
                <w:rFonts w:hint="eastAsia"/>
                <w:color w:val="auto"/>
                <w:szCs w:val="24"/>
                <w:lang w:val="en-US" w:eastAsia="zh-CN"/>
              </w:rPr>
              <w:t>39.667</w:t>
            </w:r>
            <w:r>
              <w:rPr>
                <w:rFonts w:hint="eastAsia"/>
                <w:color w:val="auto"/>
                <w:szCs w:val="24"/>
              </w:rPr>
              <w:t>t/d）磨浆用水与</w:t>
            </w:r>
            <w:r>
              <w:rPr>
                <w:rFonts w:hint="eastAsia"/>
                <w:color w:val="auto"/>
                <w:szCs w:val="24"/>
                <w:lang w:val="en-US" w:eastAsia="zh-CN"/>
              </w:rPr>
              <w:t>1600</w:t>
            </w:r>
            <w:r>
              <w:rPr>
                <w:rFonts w:hint="eastAsia"/>
                <w:color w:val="auto"/>
                <w:szCs w:val="24"/>
              </w:rPr>
              <w:t>t/a（</w:t>
            </w:r>
            <w:r>
              <w:rPr>
                <w:rFonts w:hint="eastAsia"/>
                <w:color w:val="auto"/>
                <w:szCs w:val="24"/>
                <w:lang w:val="en-US" w:eastAsia="zh-CN"/>
              </w:rPr>
              <w:t>5.333</w:t>
            </w:r>
            <w:r>
              <w:rPr>
                <w:rFonts w:hint="eastAsia"/>
                <w:color w:val="auto"/>
                <w:szCs w:val="24"/>
              </w:rPr>
              <w:t>t/d）发泡大豆碾磨后进入煮浆工序。煮浆过程中，损耗约为总量的5%，则制得熟浆</w:t>
            </w:r>
            <w:r>
              <w:rPr>
                <w:rFonts w:hint="eastAsia"/>
                <w:color w:val="auto"/>
                <w:szCs w:val="24"/>
                <w:lang w:val="en-US" w:eastAsia="zh-CN"/>
              </w:rPr>
              <w:t>12825</w:t>
            </w:r>
            <w:r>
              <w:rPr>
                <w:rFonts w:hint="eastAsia"/>
                <w:color w:val="auto"/>
                <w:szCs w:val="24"/>
              </w:rPr>
              <w:t>t/a（</w:t>
            </w:r>
            <w:r>
              <w:rPr>
                <w:rFonts w:hint="eastAsia"/>
                <w:color w:val="auto"/>
                <w:szCs w:val="24"/>
                <w:lang w:val="en-US" w:eastAsia="zh-CN"/>
              </w:rPr>
              <w:t>42.75</w:t>
            </w:r>
            <w:r>
              <w:rPr>
                <w:rFonts w:hint="eastAsia"/>
                <w:color w:val="auto"/>
                <w:szCs w:val="24"/>
              </w:rPr>
              <w:t>t/d）（其中含水量为</w:t>
            </w:r>
            <w:r>
              <w:rPr>
                <w:rFonts w:hint="eastAsia"/>
                <w:color w:val="auto"/>
                <w:szCs w:val="24"/>
                <w:lang w:val="en-US" w:eastAsia="zh-CN"/>
              </w:rPr>
              <w:t>11225</w:t>
            </w:r>
            <w:r>
              <w:rPr>
                <w:rFonts w:hint="eastAsia"/>
                <w:color w:val="auto"/>
                <w:szCs w:val="24"/>
              </w:rPr>
              <w:t>t/a（</w:t>
            </w:r>
            <w:r>
              <w:rPr>
                <w:rFonts w:hint="eastAsia"/>
                <w:color w:val="auto"/>
                <w:szCs w:val="24"/>
                <w:lang w:val="en-US" w:eastAsia="zh-CN"/>
              </w:rPr>
              <w:t>37.417</w:t>
            </w:r>
            <w:r>
              <w:rPr>
                <w:rFonts w:hint="eastAsia"/>
                <w:color w:val="auto"/>
                <w:szCs w:val="24"/>
              </w:rPr>
              <w:t>t/d））。</w:t>
            </w:r>
          </w:p>
          <w:p w14:paraId="32C5DA9C">
            <w:pPr>
              <w:pStyle w:val="12"/>
              <w:numPr>
                <w:ilvl w:val="0"/>
                <w:numId w:val="0"/>
              </w:numPr>
              <w:adjustRightInd w:val="0"/>
              <w:snapToGrid w:val="0"/>
              <w:spacing w:after="0" w:line="360" w:lineRule="auto"/>
              <w:ind w:firstLine="480" w:firstLineChars="200"/>
              <w:rPr>
                <w:rFonts w:hint="eastAsia"/>
                <w:color w:val="auto"/>
                <w:szCs w:val="24"/>
                <w:lang w:val="en-US" w:eastAsia="zh-CN"/>
              </w:rPr>
            </w:pPr>
            <w:r>
              <w:rPr>
                <w:rFonts w:hint="eastAsia"/>
                <w:color w:val="auto"/>
                <w:szCs w:val="24"/>
                <w:lang w:val="en-US" w:eastAsia="zh-CN"/>
              </w:rPr>
              <w:t>5）调配用水</w:t>
            </w:r>
          </w:p>
          <w:p w14:paraId="213CEAD2">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点浆工序需加入调配好的凝固剂，凝固剂是由石膏粉、内酯（10:1）和水按照一定比例调配而成，调配比例均为1：5，两种凝固剂的年用量分别为16t/a、1.6t/a，计算可得凝固剂调配需用水量为88t/a（0.293t/d），不外排。点浆凝固后制得豆腐脑12930.6t/a（43.102t/d）（其中含水11313t/a（37.710t/d），固体份为1617.60t/a（5.392t/d）），在压制成型工序后豆制品平均含水率约为60%，则所得豆制品含水量约为2426.4t/a（8.088t/d），则黄浆水产生量为8886.6t/a（29.622t/d）</w:t>
            </w:r>
            <w:r>
              <w:rPr>
                <w:rFonts w:hint="eastAsia"/>
                <w:color w:val="auto"/>
                <w:szCs w:val="24"/>
              </w:rPr>
              <w:t>。</w:t>
            </w:r>
          </w:p>
          <w:p w14:paraId="0ACD6E94">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6）</w:t>
            </w:r>
            <w:r>
              <w:rPr>
                <w:rFonts w:hint="eastAsia"/>
                <w:color w:val="auto"/>
                <w:szCs w:val="24"/>
              </w:rPr>
              <w:t>设备清洗用水</w:t>
            </w:r>
          </w:p>
          <w:p w14:paraId="0C0A091F">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企业需每日对部分生产设备进行清洗，包括离心机、磨浆机和磨</w:t>
            </w:r>
            <w:r>
              <w:rPr>
                <w:rFonts w:hint="eastAsia"/>
                <w:color w:val="auto"/>
                <w:szCs w:val="24"/>
                <w:lang w:val="en-US" w:eastAsia="zh-CN"/>
              </w:rPr>
              <w:t>糊</w:t>
            </w:r>
            <w:r>
              <w:rPr>
                <w:rFonts w:hint="eastAsia"/>
                <w:color w:val="auto"/>
                <w:szCs w:val="24"/>
              </w:rPr>
              <w:t>器，每次设备清洗用水量约为1</w:t>
            </w:r>
            <w:r>
              <w:rPr>
                <w:rFonts w:hint="eastAsia"/>
                <w:color w:val="auto"/>
                <w:szCs w:val="24"/>
                <w:lang w:val="en-US" w:eastAsia="zh-CN"/>
              </w:rPr>
              <w:t>0</w:t>
            </w:r>
            <w:r>
              <w:rPr>
                <w:rFonts w:hint="eastAsia"/>
                <w:color w:val="auto"/>
                <w:szCs w:val="24"/>
                <w:lang w:eastAsia="zh-CN"/>
              </w:rPr>
              <w:t>t</w:t>
            </w:r>
            <w:r>
              <w:rPr>
                <w:rFonts w:hint="eastAsia"/>
                <w:color w:val="auto"/>
                <w:szCs w:val="24"/>
              </w:rPr>
              <w:t>/次，每日需清洗一次，排水量按90%计，经计算得，设备清洗总</w:t>
            </w:r>
            <w:r>
              <w:rPr>
                <w:rFonts w:hint="eastAsia"/>
                <w:color w:val="auto"/>
                <w:szCs w:val="24"/>
                <w:lang w:eastAsia="zh-CN"/>
              </w:rPr>
              <w:t>排水</w:t>
            </w:r>
            <w:r>
              <w:rPr>
                <w:rFonts w:hint="eastAsia"/>
                <w:color w:val="auto"/>
                <w:szCs w:val="24"/>
              </w:rPr>
              <w:t>量为9.</w:t>
            </w:r>
            <w:r>
              <w:rPr>
                <w:rFonts w:hint="eastAsia"/>
                <w:color w:val="auto"/>
                <w:szCs w:val="24"/>
                <w:lang w:val="en-US" w:eastAsia="zh-CN"/>
              </w:rPr>
              <w:t>0</w:t>
            </w:r>
            <w:r>
              <w:rPr>
                <w:rFonts w:hint="eastAsia"/>
                <w:color w:val="auto"/>
                <w:szCs w:val="24"/>
                <w:lang w:eastAsia="zh-CN"/>
              </w:rPr>
              <w:t>t</w:t>
            </w:r>
            <w:r>
              <w:rPr>
                <w:rFonts w:hint="eastAsia"/>
                <w:color w:val="auto"/>
                <w:szCs w:val="24"/>
              </w:rPr>
              <w:t>/d。</w:t>
            </w:r>
          </w:p>
          <w:p w14:paraId="5844EBF1">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8）</w:t>
            </w:r>
            <w:r>
              <w:rPr>
                <w:rFonts w:hint="eastAsia"/>
                <w:color w:val="auto"/>
                <w:szCs w:val="24"/>
              </w:rPr>
              <w:t>地坪保洁用水</w:t>
            </w:r>
          </w:p>
          <w:p w14:paraId="0FD97E8C">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项目</w:t>
            </w:r>
            <w:r>
              <w:rPr>
                <w:rFonts w:hint="eastAsia"/>
                <w:color w:val="auto"/>
                <w:szCs w:val="24"/>
                <w:lang w:val="en-US" w:eastAsia="zh-CN"/>
              </w:rPr>
              <w:t>1#生产厂房和2#生产厂房</w:t>
            </w:r>
            <w:r>
              <w:rPr>
                <w:rFonts w:hint="eastAsia"/>
                <w:color w:val="auto"/>
                <w:szCs w:val="24"/>
              </w:rPr>
              <w:t>作为</w:t>
            </w:r>
            <w:r>
              <w:rPr>
                <w:rFonts w:hint="eastAsia"/>
                <w:color w:val="auto"/>
                <w:szCs w:val="24"/>
                <w:lang w:val="en-US" w:eastAsia="zh-CN"/>
              </w:rPr>
              <w:t>主要</w:t>
            </w:r>
            <w:r>
              <w:rPr>
                <w:rFonts w:hint="eastAsia"/>
                <w:color w:val="auto"/>
                <w:szCs w:val="24"/>
              </w:rPr>
              <w:t>生产车间使用，生产车间地坪需定期保洁，总建筑面积约为</w:t>
            </w:r>
            <w:r>
              <w:rPr>
                <w:rFonts w:hint="eastAsia"/>
                <w:color w:val="auto"/>
                <w:szCs w:val="24"/>
                <w:lang w:val="en-US" w:eastAsia="zh-CN"/>
              </w:rPr>
              <w:t>3600</w:t>
            </w:r>
            <w:r>
              <w:rPr>
                <w:rFonts w:hint="eastAsia"/>
                <w:color w:val="auto"/>
                <w:szCs w:val="24"/>
              </w:rPr>
              <w:t>m</w:t>
            </w:r>
            <w:r>
              <w:rPr>
                <w:rFonts w:hint="eastAsia"/>
                <w:color w:val="auto"/>
                <w:szCs w:val="24"/>
                <w:vertAlign w:val="superscript"/>
              </w:rPr>
              <w:t>2</w:t>
            </w:r>
            <w:r>
              <w:rPr>
                <w:rFonts w:hint="eastAsia"/>
                <w:color w:val="auto"/>
                <w:szCs w:val="24"/>
              </w:rPr>
              <w:t>，地坪保洁用水使用量标准为0.2L/m</w:t>
            </w:r>
            <w:r>
              <w:rPr>
                <w:rFonts w:hint="eastAsia"/>
                <w:color w:val="auto"/>
                <w:szCs w:val="24"/>
                <w:vertAlign w:val="superscript"/>
              </w:rPr>
              <w:t>2</w:t>
            </w:r>
            <w:r>
              <w:rPr>
                <w:rFonts w:hint="eastAsia"/>
                <w:color w:val="auto"/>
                <w:szCs w:val="24"/>
              </w:rPr>
              <w:t>·d，年工作日以300d计算，则保洁用水量为</w:t>
            </w:r>
            <w:r>
              <w:rPr>
                <w:rFonts w:hint="eastAsia"/>
                <w:color w:val="auto"/>
                <w:szCs w:val="24"/>
                <w:lang w:val="en-US" w:eastAsia="zh-CN"/>
              </w:rPr>
              <w:t>0.720</w:t>
            </w:r>
            <w:r>
              <w:rPr>
                <w:rFonts w:hint="eastAsia"/>
                <w:color w:val="auto"/>
                <w:szCs w:val="24"/>
                <w:lang w:eastAsia="zh-CN"/>
              </w:rPr>
              <w:t>t</w:t>
            </w:r>
            <w:r>
              <w:rPr>
                <w:rFonts w:hint="eastAsia"/>
                <w:color w:val="auto"/>
                <w:szCs w:val="24"/>
              </w:rPr>
              <w:t>/d。保洁废水排放系数以0.8计，则保洁废水产生量为</w:t>
            </w:r>
            <w:r>
              <w:rPr>
                <w:rFonts w:hint="eastAsia"/>
                <w:color w:val="auto"/>
                <w:szCs w:val="24"/>
                <w:lang w:val="en-US" w:eastAsia="zh-CN"/>
              </w:rPr>
              <w:t>0.576</w:t>
            </w:r>
            <w:r>
              <w:rPr>
                <w:rFonts w:hint="eastAsia"/>
                <w:color w:val="auto"/>
                <w:szCs w:val="24"/>
                <w:lang w:eastAsia="zh-CN"/>
              </w:rPr>
              <w:t>t</w:t>
            </w:r>
            <w:r>
              <w:rPr>
                <w:rFonts w:hint="eastAsia"/>
                <w:color w:val="auto"/>
                <w:szCs w:val="24"/>
              </w:rPr>
              <w:t>/d。</w:t>
            </w:r>
          </w:p>
          <w:p w14:paraId="4E11F87E">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lang w:val="en-US" w:eastAsia="zh-CN"/>
              </w:rPr>
              <w:t>9）</w:t>
            </w:r>
            <w:r>
              <w:rPr>
                <w:rFonts w:hint="eastAsia"/>
                <w:color w:val="auto"/>
                <w:szCs w:val="24"/>
              </w:rPr>
              <w:t>软水制备用水</w:t>
            </w:r>
          </w:p>
          <w:p w14:paraId="69054265">
            <w:pPr>
              <w:pStyle w:val="12"/>
              <w:numPr>
                <w:ilvl w:val="0"/>
                <w:numId w:val="0"/>
              </w:numPr>
              <w:adjustRightInd w:val="0"/>
              <w:snapToGrid w:val="0"/>
              <w:spacing w:after="0" w:line="360" w:lineRule="auto"/>
              <w:ind w:firstLine="480" w:firstLineChars="200"/>
              <w:rPr>
                <w:rFonts w:hint="eastAsia"/>
                <w:color w:val="auto"/>
                <w:szCs w:val="24"/>
              </w:rPr>
            </w:pPr>
            <w:r>
              <w:rPr>
                <w:rFonts w:hint="eastAsia"/>
                <w:color w:val="auto"/>
                <w:szCs w:val="24"/>
              </w:rPr>
              <w:t>本项目设置</w:t>
            </w:r>
            <w:r>
              <w:rPr>
                <w:rFonts w:hint="eastAsia"/>
                <w:color w:val="auto"/>
                <w:szCs w:val="24"/>
                <w:lang w:val="en-US" w:eastAsia="zh-CN"/>
              </w:rPr>
              <w:t>1</w:t>
            </w:r>
            <w:r>
              <w:rPr>
                <w:rFonts w:hint="eastAsia"/>
                <w:color w:val="auto"/>
                <w:szCs w:val="24"/>
              </w:rPr>
              <w:t>台2t/h的锅炉，用水为</w:t>
            </w:r>
            <w:r>
              <w:rPr>
                <w:rFonts w:hint="eastAsia"/>
                <w:color w:val="auto"/>
                <w:szCs w:val="24"/>
                <w:lang w:val="en-US" w:eastAsia="zh-CN"/>
              </w:rPr>
              <w:t>软水</w:t>
            </w:r>
            <w:r>
              <w:rPr>
                <w:rFonts w:hint="eastAsia"/>
                <w:color w:val="auto"/>
                <w:szCs w:val="24"/>
              </w:rPr>
              <w:t>；</w:t>
            </w:r>
            <w:r>
              <w:rPr>
                <w:rFonts w:hint="eastAsia"/>
                <w:color w:val="auto"/>
                <w:szCs w:val="24"/>
                <w:lang w:val="en-US" w:eastAsia="zh-CN"/>
              </w:rPr>
              <w:t>2</w:t>
            </w:r>
            <w:r>
              <w:rPr>
                <w:rFonts w:hint="eastAsia"/>
                <w:color w:val="auto"/>
                <w:szCs w:val="24"/>
              </w:rPr>
              <w:t>t/h锅炉年运行时间</w:t>
            </w:r>
            <w:r>
              <w:rPr>
                <w:rFonts w:hint="eastAsia"/>
                <w:color w:val="auto"/>
                <w:szCs w:val="24"/>
                <w:lang w:val="en-US" w:eastAsia="zh-CN"/>
              </w:rPr>
              <w:t>约30</w:t>
            </w:r>
            <w:r>
              <w:rPr>
                <w:rFonts w:hint="eastAsia"/>
                <w:color w:val="auto"/>
                <w:szCs w:val="24"/>
              </w:rPr>
              <w:t>00h</w:t>
            </w:r>
            <w:r>
              <w:rPr>
                <w:rFonts w:hint="eastAsia"/>
                <w:color w:val="auto"/>
                <w:szCs w:val="24"/>
                <w:lang w:eastAsia="zh-CN"/>
              </w:rPr>
              <w:t>（</w:t>
            </w:r>
            <w:r>
              <w:rPr>
                <w:rFonts w:hint="eastAsia"/>
                <w:color w:val="auto"/>
                <w:szCs w:val="24"/>
                <w:lang w:val="en-US" w:eastAsia="zh-CN"/>
              </w:rPr>
              <w:t>锅炉热源来源于项目区沼气发电系统产生的沼气</w:t>
            </w:r>
            <w:r>
              <w:rPr>
                <w:rFonts w:hint="eastAsia"/>
                <w:color w:val="auto"/>
                <w:szCs w:val="24"/>
                <w:lang w:eastAsia="zh-CN"/>
              </w:rPr>
              <w:t>）</w:t>
            </w:r>
            <w:r>
              <w:rPr>
                <w:rFonts w:hint="eastAsia"/>
                <w:color w:val="auto"/>
                <w:szCs w:val="24"/>
              </w:rPr>
              <w:t>，蒸汽锅炉的综合热负荷为60%；则产生蒸汽量为</w:t>
            </w:r>
            <w:r>
              <w:rPr>
                <w:rFonts w:hint="eastAsia"/>
                <w:color w:val="auto"/>
                <w:szCs w:val="24"/>
                <w:lang w:val="en-US" w:eastAsia="zh-CN"/>
              </w:rPr>
              <w:t>3600</w:t>
            </w:r>
            <w:r>
              <w:rPr>
                <w:rFonts w:hint="eastAsia"/>
                <w:color w:val="auto"/>
                <w:szCs w:val="24"/>
              </w:rPr>
              <w:t>t/a（1</w:t>
            </w:r>
            <w:r>
              <w:rPr>
                <w:rFonts w:hint="eastAsia"/>
                <w:color w:val="auto"/>
                <w:szCs w:val="24"/>
                <w:lang w:val="en-US" w:eastAsia="zh-CN"/>
              </w:rPr>
              <w:t>2</w:t>
            </w:r>
            <w:r>
              <w:rPr>
                <w:rFonts w:hint="eastAsia"/>
                <w:color w:val="auto"/>
                <w:szCs w:val="24"/>
              </w:rPr>
              <w:t>t/d）。蒸汽锅炉需定期排污，根据《锅炉房设计规范》中规定“当蒸汽压力小于等于2.5Mpa蒸汽锅炉的排污率不大于10%，蒸汽压力大于2.5Mpa蒸汽锅炉的排污率不大于5%”。本次排污率按10%考虑，则锅炉定期排污水约为3</w:t>
            </w:r>
            <w:r>
              <w:rPr>
                <w:rFonts w:hint="eastAsia"/>
                <w:color w:val="auto"/>
                <w:szCs w:val="24"/>
                <w:lang w:val="en-US" w:eastAsia="zh-CN"/>
              </w:rPr>
              <w:t>6</w:t>
            </w:r>
            <w:r>
              <w:rPr>
                <w:rFonts w:hint="eastAsia"/>
                <w:color w:val="auto"/>
                <w:szCs w:val="24"/>
              </w:rPr>
              <w:t>0t/a（1.</w:t>
            </w:r>
            <w:r>
              <w:rPr>
                <w:rFonts w:hint="eastAsia"/>
                <w:color w:val="auto"/>
                <w:szCs w:val="24"/>
                <w:lang w:val="en-US" w:eastAsia="zh-CN"/>
              </w:rPr>
              <w:t>20</w:t>
            </w:r>
            <w:r>
              <w:rPr>
                <w:rFonts w:hint="eastAsia"/>
                <w:color w:val="auto"/>
                <w:szCs w:val="24"/>
              </w:rPr>
              <w:t>t/d），软水用量为</w:t>
            </w:r>
            <w:r>
              <w:rPr>
                <w:rFonts w:hint="eastAsia"/>
                <w:color w:val="auto"/>
                <w:szCs w:val="24"/>
                <w:lang w:val="en-US" w:eastAsia="zh-CN"/>
              </w:rPr>
              <w:t>3240</w:t>
            </w:r>
            <w:r>
              <w:rPr>
                <w:rFonts w:hint="eastAsia"/>
                <w:color w:val="auto"/>
                <w:szCs w:val="24"/>
              </w:rPr>
              <w:t>t/a（</w:t>
            </w:r>
            <w:r>
              <w:rPr>
                <w:rFonts w:hint="eastAsia"/>
                <w:color w:val="auto"/>
                <w:szCs w:val="24"/>
                <w:lang w:val="en-US" w:eastAsia="zh-CN"/>
              </w:rPr>
              <w:t>10.80</w:t>
            </w:r>
            <w:r>
              <w:rPr>
                <w:rFonts w:hint="eastAsia"/>
                <w:color w:val="auto"/>
                <w:szCs w:val="24"/>
              </w:rPr>
              <w:t>t/d）。</w:t>
            </w:r>
          </w:p>
          <w:p w14:paraId="673782AF">
            <w:pPr>
              <w:pStyle w:val="12"/>
              <w:numPr>
                <w:ilvl w:val="0"/>
                <w:numId w:val="0"/>
              </w:numPr>
              <w:adjustRightInd w:val="0"/>
              <w:snapToGrid w:val="0"/>
              <w:spacing w:after="0" w:line="360" w:lineRule="auto"/>
              <w:ind w:firstLine="480" w:firstLineChars="200"/>
              <w:rPr>
                <w:color w:val="auto"/>
                <w:sz w:val="24"/>
              </w:rPr>
            </w:pPr>
            <w:r>
              <w:rPr>
                <w:rFonts w:hint="eastAsia"/>
                <w:color w:val="auto"/>
                <w:szCs w:val="24"/>
              </w:rPr>
              <w:t>项目设置</w:t>
            </w:r>
            <w:r>
              <w:rPr>
                <w:rFonts w:hint="eastAsia"/>
                <w:color w:val="auto"/>
                <w:szCs w:val="24"/>
                <w:lang w:val="en-US" w:eastAsia="zh-CN"/>
              </w:rPr>
              <w:t>1</w:t>
            </w:r>
            <w:r>
              <w:rPr>
                <w:rFonts w:hint="eastAsia"/>
                <w:color w:val="auto"/>
                <w:szCs w:val="24"/>
              </w:rPr>
              <w:t>台2t/h的软水制备装置用于锅炉用软水，排水系数按照25%计算，则软水制备用水量约为</w:t>
            </w:r>
            <w:r>
              <w:rPr>
                <w:rFonts w:hint="eastAsia"/>
                <w:color w:val="auto"/>
                <w:szCs w:val="24"/>
                <w:lang w:val="en-US" w:eastAsia="zh-CN"/>
              </w:rPr>
              <w:t>4320</w:t>
            </w:r>
            <w:r>
              <w:rPr>
                <w:rFonts w:hint="eastAsia"/>
                <w:color w:val="auto"/>
                <w:szCs w:val="24"/>
              </w:rPr>
              <w:t>t/a（</w:t>
            </w:r>
            <w:r>
              <w:rPr>
                <w:rFonts w:hint="eastAsia"/>
                <w:color w:val="auto"/>
                <w:szCs w:val="24"/>
                <w:lang w:val="en-US" w:eastAsia="zh-CN"/>
              </w:rPr>
              <w:t>14.4t</w:t>
            </w:r>
            <w:r>
              <w:rPr>
                <w:rFonts w:hint="eastAsia"/>
                <w:color w:val="auto"/>
                <w:szCs w:val="24"/>
              </w:rPr>
              <w:t>/d），软水制备浓水产生量约为</w:t>
            </w:r>
            <w:r>
              <w:rPr>
                <w:rFonts w:hint="eastAsia"/>
                <w:color w:val="auto"/>
                <w:szCs w:val="24"/>
                <w:lang w:val="en-US" w:eastAsia="zh-CN"/>
              </w:rPr>
              <w:t>1080</w:t>
            </w:r>
            <w:r>
              <w:rPr>
                <w:rFonts w:hint="eastAsia"/>
                <w:color w:val="auto"/>
                <w:szCs w:val="24"/>
              </w:rPr>
              <w:t>t/a（</w:t>
            </w:r>
            <w:r>
              <w:rPr>
                <w:rFonts w:hint="eastAsia"/>
                <w:color w:val="auto"/>
                <w:szCs w:val="24"/>
                <w:lang w:val="en-US" w:eastAsia="zh-CN"/>
              </w:rPr>
              <w:t>3.6</w:t>
            </w:r>
            <w:r>
              <w:rPr>
                <w:rFonts w:hint="eastAsia"/>
                <w:color w:val="auto"/>
                <w:szCs w:val="24"/>
              </w:rPr>
              <w:t>t/d）</w:t>
            </w:r>
            <w:r>
              <w:rPr>
                <w:color w:val="auto"/>
                <w:sz w:val="24"/>
              </w:rPr>
              <w:t>。</w:t>
            </w:r>
          </w:p>
          <w:p w14:paraId="1D4B85B0">
            <w:pPr>
              <w:pStyle w:val="7"/>
              <w:spacing w:line="360" w:lineRule="auto"/>
              <w:ind w:firstLine="482"/>
              <w:rPr>
                <w:b/>
                <w:bCs/>
                <w:color w:val="auto"/>
                <w:kern w:val="0"/>
                <w:sz w:val="24"/>
                <w:szCs w:val="24"/>
              </w:rPr>
            </w:pPr>
            <w:r>
              <w:rPr>
                <w:rFonts w:hint="eastAsia"/>
                <w:b/>
                <w:bCs/>
                <w:color w:val="auto"/>
                <w:kern w:val="0"/>
                <w:sz w:val="24"/>
                <w:szCs w:val="24"/>
              </w:rPr>
              <w:t>2、废水治理措施可行性分析</w:t>
            </w:r>
          </w:p>
          <w:p w14:paraId="07DB17FC">
            <w:pPr>
              <w:widowControl/>
              <w:spacing w:line="360" w:lineRule="auto"/>
              <w:ind w:firstLine="480" w:firstLineChars="200"/>
              <w:jc w:val="both"/>
              <w:rPr>
                <w:rFonts w:hint="eastAsia"/>
                <w:color w:val="auto"/>
                <w:kern w:val="0"/>
                <w:sz w:val="24"/>
                <w:lang w:eastAsia="zh-CN"/>
              </w:rPr>
            </w:pPr>
            <w:r>
              <w:rPr>
                <w:rFonts w:hint="eastAsia"/>
                <w:color w:val="auto"/>
                <w:kern w:val="0"/>
                <w:sz w:val="24"/>
              </w:rPr>
              <w:t>本项目生活废水经化粪池处理后和生产废水一并排入</w:t>
            </w:r>
            <w:r>
              <w:rPr>
                <w:rFonts w:hint="eastAsia"/>
                <w:color w:val="auto"/>
                <w:kern w:val="0"/>
                <w:sz w:val="24"/>
                <w:lang w:eastAsia="zh-CN"/>
              </w:rPr>
              <w:t>项目区现有的沼气发电系统进行厌氧发酵，</w:t>
            </w:r>
            <w:r>
              <w:rPr>
                <w:rFonts w:hint="eastAsia"/>
                <w:color w:val="auto"/>
                <w:kern w:val="0"/>
                <w:sz w:val="24"/>
              </w:rPr>
              <w:t>本项目</w:t>
            </w:r>
            <w:r>
              <w:rPr>
                <w:rFonts w:hint="eastAsia"/>
                <w:color w:val="auto"/>
                <w:kern w:val="0"/>
                <w:sz w:val="24"/>
                <w:lang w:eastAsia="zh-CN"/>
              </w:rPr>
              <w:t>所有废水均不外排。</w:t>
            </w:r>
          </w:p>
          <w:p w14:paraId="6ADE2362">
            <w:pPr>
              <w:widowControl/>
              <w:spacing w:line="360" w:lineRule="auto"/>
              <w:ind w:firstLine="480" w:firstLineChars="200"/>
              <w:jc w:val="left"/>
              <w:rPr>
                <w:rFonts w:hint="eastAsia" w:eastAsia="宋体"/>
                <w:color w:val="auto"/>
                <w:kern w:val="0"/>
                <w:sz w:val="24"/>
                <w:lang w:eastAsia="zh-CN"/>
              </w:rPr>
            </w:pPr>
            <w:r>
              <w:rPr>
                <w:rFonts w:hint="eastAsia"/>
                <w:color w:val="auto"/>
                <w:kern w:val="0"/>
                <w:sz w:val="24"/>
                <w:lang w:eastAsia="zh-CN"/>
              </w:rPr>
              <w:t>现有沼气发电系统水平衡图如下：</w:t>
            </w:r>
          </w:p>
          <w:p w14:paraId="2B026578">
            <w:pPr>
              <w:widowControl/>
              <w:spacing w:line="360" w:lineRule="auto"/>
              <w:jc w:val="left"/>
              <w:rPr>
                <w:rFonts w:hint="eastAsia"/>
                <w:color w:val="auto"/>
                <w:kern w:val="0"/>
                <w:sz w:val="24"/>
              </w:rPr>
            </w:pPr>
            <w:r>
              <w:rPr>
                <w:color w:val="auto"/>
              </w:rPr>
              <w:drawing>
                <wp:inline distT="0" distB="0" distL="114300" distR="114300">
                  <wp:extent cx="5127625" cy="2306955"/>
                  <wp:effectExtent l="0" t="0" r="15875" b="171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5"/>
                          <a:stretch>
                            <a:fillRect/>
                          </a:stretch>
                        </pic:blipFill>
                        <pic:spPr>
                          <a:xfrm>
                            <a:off x="0" y="0"/>
                            <a:ext cx="5127625" cy="2306955"/>
                          </a:xfrm>
                          <a:prstGeom prst="rect">
                            <a:avLst/>
                          </a:prstGeom>
                          <a:noFill/>
                          <a:ln>
                            <a:noFill/>
                          </a:ln>
                        </pic:spPr>
                      </pic:pic>
                    </a:graphicData>
                  </a:graphic>
                </wp:inline>
              </w:drawing>
            </w:r>
          </w:p>
          <w:p w14:paraId="43FC2586">
            <w:pPr>
              <w:widowControl/>
              <w:spacing w:line="360" w:lineRule="auto"/>
              <w:jc w:val="center"/>
              <w:rPr>
                <w:rFonts w:hint="default" w:eastAsia="宋体"/>
                <w:b/>
                <w:bCs/>
                <w:color w:val="auto"/>
                <w:kern w:val="0"/>
                <w:sz w:val="21"/>
                <w:szCs w:val="21"/>
                <w:lang w:val="en-US" w:eastAsia="zh-CN"/>
              </w:rPr>
            </w:pPr>
            <w:r>
              <w:rPr>
                <w:rFonts w:hint="eastAsia"/>
                <w:b/>
                <w:bCs/>
                <w:color w:val="auto"/>
                <w:kern w:val="0"/>
                <w:sz w:val="21"/>
                <w:szCs w:val="21"/>
                <w:lang w:eastAsia="zh-CN"/>
              </w:rPr>
              <w:t>图</w:t>
            </w:r>
            <w:r>
              <w:rPr>
                <w:rFonts w:hint="eastAsia"/>
                <w:b/>
                <w:bCs/>
                <w:color w:val="auto"/>
                <w:kern w:val="0"/>
                <w:sz w:val="21"/>
                <w:szCs w:val="21"/>
                <w:lang w:val="en-US" w:eastAsia="zh-CN"/>
              </w:rPr>
              <w:t xml:space="preserve">4-1 </w:t>
            </w:r>
            <w:r>
              <w:rPr>
                <w:rFonts w:hint="eastAsia"/>
                <w:b/>
                <w:bCs/>
                <w:color w:val="auto"/>
                <w:kern w:val="0"/>
                <w:sz w:val="21"/>
                <w:szCs w:val="21"/>
                <w:lang w:eastAsia="zh-CN"/>
              </w:rPr>
              <w:t>现有沼气发电系统水平衡图</w:t>
            </w:r>
          </w:p>
          <w:p w14:paraId="54FABD27">
            <w:pPr>
              <w:pStyle w:val="7"/>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leftChars="200"/>
              <w:textAlignment w:val="auto"/>
              <w:rPr>
                <w:rFonts w:hint="eastAsia"/>
                <w:b/>
                <w:bCs/>
                <w:color w:val="auto"/>
                <w:kern w:val="0"/>
                <w:sz w:val="24"/>
                <w:szCs w:val="24"/>
                <w:lang w:eastAsia="zh-CN"/>
              </w:rPr>
            </w:pPr>
            <w:r>
              <w:rPr>
                <w:rFonts w:hint="eastAsia"/>
                <w:b/>
                <w:bCs/>
                <w:color w:val="auto"/>
                <w:kern w:val="0"/>
                <w:sz w:val="24"/>
                <w:szCs w:val="24"/>
                <w:lang w:val="en-US" w:eastAsia="zh-CN"/>
              </w:rPr>
              <w:t>3、</w:t>
            </w:r>
            <w:r>
              <w:rPr>
                <w:rFonts w:hint="eastAsia"/>
                <w:b/>
                <w:bCs/>
                <w:color w:val="auto"/>
                <w:kern w:val="0"/>
                <w:sz w:val="24"/>
                <w:szCs w:val="24"/>
                <w:lang w:eastAsia="zh-CN"/>
              </w:rPr>
              <w:t>废水</w:t>
            </w:r>
            <w:r>
              <w:rPr>
                <w:rFonts w:hint="eastAsia"/>
                <w:b/>
                <w:bCs/>
                <w:color w:val="auto"/>
                <w:kern w:val="0"/>
                <w:sz w:val="24"/>
                <w:szCs w:val="24"/>
                <w:lang w:val="en-US" w:eastAsia="zh-CN"/>
              </w:rPr>
              <w:t>依托处理</w:t>
            </w:r>
            <w:r>
              <w:rPr>
                <w:rFonts w:hint="eastAsia"/>
                <w:b/>
                <w:bCs/>
                <w:color w:val="auto"/>
                <w:kern w:val="0"/>
                <w:sz w:val="24"/>
                <w:szCs w:val="24"/>
                <w:lang w:eastAsia="zh-CN"/>
              </w:rPr>
              <w:t>可行性分析</w:t>
            </w:r>
          </w:p>
          <w:p w14:paraId="6C7B7CDF">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rPr>
              <w:t>安徽田福农业科技有限公司架河循环产业园秸秆粪便资源化利用（一期）项目</w:t>
            </w:r>
            <w:r>
              <w:rPr>
                <w:rFonts w:hint="eastAsia"/>
                <w:color w:val="auto"/>
                <w:sz w:val="24"/>
                <w:lang w:val="en-US" w:eastAsia="zh-CN"/>
              </w:rPr>
              <w:t>现有预处理池2座（建设容积为160m</w:t>
            </w:r>
            <w:r>
              <w:rPr>
                <w:rFonts w:hint="eastAsia"/>
                <w:color w:val="auto"/>
                <w:sz w:val="24"/>
                <w:vertAlign w:val="superscript"/>
                <w:lang w:val="en-US" w:eastAsia="zh-CN"/>
              </w:rPr>
              <w:t>3</w:t>
            </w:r>
            <w:r>
              <w:rPr>
                <w:rFonts w:hint="eastAsia"/>
                <w:color w:val="auto"/>
                <w:sz w:val="24"/>
                <w:lang w:val="en-US" w:eastAsia="zh-CN"/>
              </w:rPr>
              <w:t>）、2座厌氧发酵罐（容积为3000m</w:t>
            </w:r>
            <w:r>
              <w:rPr>
                <w:rFonts w:hint="eastAsia"/>
                <w:color w:val="auto"/>
                <w:sz w:val="24"/>
                <w:vertAlign w:val="superscript"/>
                <w:lang w:val="en-US" w:eastAsia="zh-CN"/>
              </w:rPr>
              <w:t>3</w:t>
            </w:r>
            <w:r>
              <w:rPr>
                <w:rFonts w:hint="eastAsia"/>
                <w:color w:val="auto"/>
                <w:sz w:val="24"/>
                <w:lang w:val="en-US" w:eastAsia="zh-CN"/>
              </w:rPr>
              <w:t>）、1座黑膜沼液池（容积为20000m</w:t>
            </w:r>
            <w:r>
              <w:rPr>
                <w:rFonts w:hint="eastAsia"/>
                <w:color w:val="auto"/>
                <w:sz w:val="24"/>
                <w:vertAlign w:val="superscript"/>
                <w:lang w:val="en-US" w:eastAsia="zh-CN"/>
              </w:rPr>
              <w:t>3</w:t>
            </w:r>
            <w:r>
              <w:rPr>
                <w:rFonts w:hint="eastAsia"/>
                <w:color w:val="auto"/>
                <w:sz w:val="24"/>
                <w:lang w:val="en-US" w:eastAsia="zh-CN"/>
              </w:rPr>
              <w:t>）以及1座沼液好氧塘（容积为10000m</w:t>
            </w:r>
            <w:r>
              <w:rPr>
                <w:rFonts w:hint="eastAsia" w:ascii="Times New Roman" w:hAnsi="Times New Roman" w:eastAsia="宋体" w:cs="Times New Roman"/>
                <w:color w:val="auto"/>
                <w:sz w:val="24"/>
                <w:vertAlign w:val="superscript"/>
                <w:lang w:val="en-US" w:eastAsia="zh-CN"/>
              </w:rPr>
              <w:t>3</w:t>
            </w:r>
            <w:r>
              <w:rPr>
                <w:rFonts w:hint="eastAsia"/>
                <w:color w:val="auto"/>
                <w:sz w:val="24"/>
                <w:lang w:val="en-US" w:eastAsia="zh-CN"/>
              </w:rPr>
              <w:t>）；该项目目前已投入生产，属于正产运营状态，该项目原料来源于周边的综合粪污混合物（主要为架河镇千亩无公害农业示范基地建设项目）以及农作物秸秆，处理能力为年处理项目周边的综合粪污混合物约2万吨，年处理秸秆2600吨。</w:t>
            </w:r>
          </w:p>
          <w:p w14:paraId="08DC32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该项目前期规划情况如下：</w:t>
            </w:r>
          </w:p>
          <w:p w14:paraId="17058A7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color w:val="auto"/>
                <w:sz w:val="24"/>
                <w:szCs w:val="24"/>
                <w:lang w:val="en-US" w:eastAsia="zh-CN"/>
              </w:rPr>
              <w:t>（1）</w:t>
            </w:r>
            <w:r>
              <w:rPr>
                <w:rFonts w:hint="default" w:ascii="Times New Roman" w:hAnsi="Times New Roman" w:eastAsia="宋体" w:cs="Times New Roman"/>
                <w:color w:val="auto"/>
                <w:sz w:val="24"/>
                <w:szCs w:val="24"/>
              </w:rPr>
              <w:t>厌氧发酵罐进调配成干物质含量约为10%的混合料液，采用两级厌氧发酵罐进行发酵，根据日粪污干物质产量（22.85t/d）和每级水力滞留期（10天），需要沼气池有效容积不低于2285m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（22.85t/d×10d÷10%=2285t），厌氧发酵罐单体容积为3000m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，满足要求。</w:t>
            </w:r>
          </w:p>
          <w:p w14:paraId="525B4D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用原料包括畜禽粪污20000t/a（平均含水量约为70%）和秸秆2600t/a（平均含水量约为10%），则干物质耗量为8340t/a；干物质在两级厌氧反应阶段被降解75%（6255t/a），经固液分离后进入沼液池的干物质为总量的10%（834t/a），转化为沼渣的干物质为总量的15%（1251t/a），新鲜沼渣含水率为60%（1251t/a÷40%=3127.5t/a）。日产沼渣量：3127.5t/a÷365d=8.57t/d；沼液日产量：8340t/a÷365d÷10%－8340t/a÷365d×75%－8.57t/d=202.79t/d，产生的沼液全部进入黑膜沼液池；</w:t>
            </w:r>
          </w:p>
          <w:p w14:paraId="428FE2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项目设置了一座20000m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的黑膜沼液池，可满足一年的外排沼液存放进行再次发酵，通过黑膜沼气池发酵产生的沼气继续用于发电，经黑膜沼气池发酵后的沼液进入好氧塘进行好氧处理，其中干物质在黑膜沼气池中被降解50%（417t/a），黑膜沼气池中约79%的回流去预处理池调节混合料液浓度，可减少清水用量并提高沼气产生量，在好氧塘中被降解30%（125.10t/a），考虑好氧塘中的水分自然挥发，挥发量约为含水量的20%，则通过好氧塘产生的沼液量约为11993.3t/a（含水80%）。</w:t>
            </w:r>
          </w:p>
          <w:p w14:paraId="5CB89BBE">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lang w:val="en-US" w:eastAsia="zh-CN"/>
              </w:rPr>
              <w:t>本项目建成后，废气依托拟规划项目（</w:t>
            </w:r>
            <w:r>
              <w:rPr>
                <w:rFonts w:hint="eastAsia"/>
                <w:color w:val="auto"/>
                <w:sz w:val="24"/>
              </w:rPr>
              <w:t>安徽田福农业科技有限公司架河循环产业园秸秆粪便资源化利用（一期）项目</w:t>
            </w:r>
            <w:r>
              <w:rPr>
                <w:rFonts w:hint="eastAsia"/>
                <w:color w:val="auto"/>
                <w:sz w:val="24"/>
                <w:lang w:val="en-US" w:eastAsia="zh-CN"/>
              </w:rPr>
              <w:t>）进行处理，因此拟规划将进行原料变动以及储存周期变动，变动后的拟规划建设项目调整情况如下：</w:t>
            </w:r>
          </w:p>
          <w:p w14:paraId="5CC6D4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color w:val="auto"/>
                <w:sz w:val="24"/>
                <w:szCs w:val="24"/>
                <w:lang w:val="en-US" w:eastAsia="zh-CN"/>
              </w:rPr>
              <w:t>（1）原料主要为本项目生产废水和生活废水、现有园区的</w:t>
            </w:r>
            <w:r>
              <w:rPr>
                <w:rFonts w:hint="eastAsia"/>
                <w:color w:val="auto"/>
                <w:sz w:val="24"/>
                <w:lang w:val="en-US" w:eastAsia="zh-CN"/>
              </w:rPr>
              <w:t>综合粪污混合物（主要为架河镇千亩无公害农业示范基地建设项目）以及农作物秸秆；处置能力分别为：</w:t>
            </w:r>
            <w:r>
              <w:rPr>
                <w:rFonts w:hint="eastAsia"/>
                <w:color w:val="auto"/>
                <w:sz w:val="24"/>
                <w:szCs w:val="24"/>
                <w:lang w:val="en-US" w:eastAsia="zh-CN"/>
              </w:rPr>
              <w:t>本项目生产废水和生活废水45.598t/d（13679.4t/a）、</w:t>
            </w:r>
            <w:r>
              <w:rPr>
                <w:rFonts w:hint="eastAsia"/>
                <w:color w:val="auto"/>
                <w:sz w:val="24"/>
                <w:lang w:val="en-US" w:eastAsia="zh-CN"/>
              </w:rPr>
              <w:t>综合粪污混合物1.5万t/a以及农作物秸秆2200t/a；</w:t>
            </w:r>
            <w:r>
              <w:rPr>
                <w:rFonts w:hint="default" w:ascii="Times New Roman" w:hAnsi="Times New Roman" w:eastAsia="宋体" w:cs="Times New Roman"/>
                <w:color w:val="auto"/>
                <w:sz w:val="24"/>
                <w:szCs w:val="24"/>
              </w:rPr>
              <w:t>厌氧发酵罐进</w:t>
            </w:r>
            <w:r>
              <w:rPr>
                <w:rFonts w:hint="eastAsia" w:ascii="Times New Roman" w:hAnsi="Times New Roman" w:eastAsia="宋体" w:cs="Times New Roman"/>
                <w:color w:val="auto"/>
                <w:sz w:val="24"/>
                <w:szCs w:val="24"/>
                <w:lang w:val="en-US" w:eastAsia="zh-CN"/>
              </w:rPr>
              <w:t>料</w:t>
            </w:r>
            <w:r>
              <w:rPr>
                <w:rFonts w:hint="default" w:ascii="Times New Roman" w:hAnsi="Times New Roman" w:eastAsia="宋体" w:cs="Times New Roman"/>
                <w:color w:val="auto"/>
                <w:sz w:val="24"/>
                <w:szCs w:val="24"/>
              </w:rPr>
              <w:t>配成干物质含量约为10%的混合料液，采用两级厌氧发酵罐进行发酵，根据干物质产量（</w:t>
            </w:r>
            <w:r>
              <w:rPr>
                <w:rFonts w:hint="eastAsia" w:cs="Times New Roman"/>
                <w:color w:val="auto"/>
                <w:sz w:val="24"/>
                <w:szCs w:val="24"/>
                <w:lang w:val="en-US" w:eastAsia="zh-CN"/>
              </w:rPr>
              <w:t>17.75</w:t>
            </w:r>
            <w:r>
              <w:rPr>
                <w:rFonts w:hint="default" w:ascii="Times New Roman" w:hAnsi="Times New Roman" w:eastAsia="宋体" w:cs="Times New Roman"/>
                <w:color w:val="auto"/>
                <w:sz w:val="24"/>
                <w:szCs w:val="24"/>
              </w:rPr>
              <w:t>t/d）和每级水力滞留期（10天），需要沼气池有效容积不低于</w:t>
            </w:r>
            <w:r>
              <w:rPr>
                <w:rFonts w:hint="eastAsia" w:cs="Times New Roman"/>
                <w:color w:val="auto"/>
                <w:sz w:val="24"/>
                <w:szCs w:val="24"/>
                <w:lang w:val="en-US" w:eastAsia="zh-CN"/>
              </w:rPr>
              <w:t>1775</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17.75</w:t>
            </w:r>
            <w:r>
              <w:rPr>
                <w:rFonts w:hint="default" w:ascii="Times New Roman" w:hAnsi="Times New Roman" w:eastAsia="宋体" w:cs="Times New Roman"/>
                <w:color w:val="auto"/>
                <w:sz w:val="24"/>
                <w:szCs w:val="24"/>
              </w:rPr>
              <w:t>t/d×10d÷10%=</w:t>
            </w:r>
            <w:r>
              <w:rPr>
                <w:rFonts w:hint="eastAsia" w:cs="Times New Roman"/>
                <w:color w:val="auto"/>
                <w:sz w:val="24"/>
                <w:szCs w:val="24"/>
                <w:lang w:val="en-US" w:eastAsia="zh-CN"/>
              </w:rPr>
              <w:t>1775</w:t>
            </w:r>
            <w:r>
              <w:rPr>
                <w:rFonts w:hint="default" w:ascii="Times New Roman" w:hAnsi="Times New Roman" w:eastAsia="宋体" w:cs="Times New Roman"/>
                <w:color w:val="auto"/>
                <w:sz w:val="24"/>
                <w:szCs w:val="24"/>
              </w:rPr>
              <w:t>t），厌氧发酵罐单体容积为3000m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，满足要求。</w:t>
            </w:r>
          </w:p>
          <w:p w14:paraId="28AB43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eastAsia" w:cs="Times New Roman"/>
                <w:color w:val="auto"/>
                <w:sz w:val="24"/>
                <w:szCs w:val="24"/>
                <w:lang w:eastAsia="zh-CN"/>
              </w:rPr>
              <w:t>（</w:t>
            </w:r>
            <w:r>
              <w:rPr>
                <w:rFonts w:hint="eastAsia" w:cs="Times New Roman"/>
                <w:color w:val="auto"/>
                <w:sz w:val="24"/>
                <w:szCs w:val="24"/>
                <w:lang w:val="en-US" w:eastAsia="zh-CN"/>
              </w:rPr>
              <w:t>2</w:t>
            </w:r>
            <w:r>
              <w:rPr>
                <w:rFonts w:hint="eastAsia" w:cs="Times New Roman"/>
                <w:color w:val="auto"/>
                <w:sz w:val="24"/>
                <w:szCs w:val="24"/>
                <w:lang w:eastAsia="zh-CN"/>
              </w:rPr>
              <w:t>）</w:t>
            </w:r>
            <w:r>
              <w:rPr>
                <w:rFonts w:hint="eastAsia" w:cs="Times New Roman"/>
                <w:color w:val="auto"/>
                <w:sz w:val="24"/>
                <w:szCs w:val="24"/>
                <w:lang w:val="en-US" w:eastAsia="zh-CN"/>
              </w:rPr>
              <w:t>拟建项目原料调整为：</w:t>
            </w:r>
            <w:r>
              <w:rPr>
                <w:rFonts w:hint="eastAsia"/>
                <w:color w:val="auto"/>
                <w:sz w:val="24"/>
                <w:szCs w:val="24"/>
                <w:lang w:val="en-US" w:eastAsia="zh-CN"/>
              </w:rPr>
              <w:t>本项目生产废水和生活废水13679.4t/a（含水率100%）、</w:t>
            </w:r>
            <w:r>
              <w:rPr>
                <w:rFonts w:hint="eastAsia"/>
                <w:color w:val="auto"/>
                <w:sz w:val="24"/>
                <w:lang w:val="en-US" w:eastAsia="zh-CN"/>
              </w:rPr>
              <w:t>综合粪污混合物1.5万t/a（</w:t>
            </w:r>
            <w:r>
              <w:rPr>
                <w:rFonts w:hint="default" w:ascii="Times New Roman" w:hAnsi="Times New Roman" w:eastAsia="宋体" w:cs="Times New Roman"/>
                <w:color w:val="auto"/>
                <w:sz w:val="24"/>
                <w:szCs w:val="24"/>
              </w:rPr>
              <w:t>平均含水量约为70%</w:t>
            </w:r>
            <w:r>
              <w:rPr>
                <w:rFonts w:hint="eastAsia"/>
                <w:color w:val="auto"/>
                <w:sz w:val="24"/>
                <w:lang w:val="en-US" w:eastAsia="zh-CN"/>
              </w:rPr>
              <w:t>）以及农作物秸秆2200t/a（</w:t>
            </w:r>
            <w:r>
              <w:rPr>
                <w:rFonts w:hint="default" w:ascii="Times New Roman" w:hAnsi="Times New Roman" w:eastAsia="宋体" w:cs="Times New Roman"/>
                <w:color w:val="auto"/>
                <w:sz w:val="24"/>
                <w:szCs w:val="24"/>
              </w:rPr>
              <w:t>平均含水量约为10%），则干物质</w:t>
            </w:r>
            <w:r>
              <w:rPr>
                <w:rFonts w:hint="eastAsia" w:cs="Times New Roman"/>
                <w:color w:val="auto"/>
                <w:sz w:val="24"/>
                <w:szCs w:val="24"/>
                <w:lang w:val="en-US" w:eastAsia="zh-CN"/>
              </w:rPr>
              <w:t>总</w:t>
            </w:r>
            <w:r>
              <w:rPr>
                <w:rFonts w:hint="default" w:ascii="Times New Roman" w:hAnsi="Times New Roman" w:eastAsia="宋体" w:cs="Times New Roman"/>
                <w:color w:val="auto"/>
                <w:sz w:val="24"/>
                <w:szCs w:val="24"/>
              </w:rPr>
              <w:t>量为</w:t>
            </w:r>
            <w:r>
              <w:rPr>
                <w:rFonts w:hint="eastAsia" w:ascii="Times New Roman" w:hAnsi="Times New Roman" w:eastAsia="宋体" w:cs="Times New Roman"/>
                <w:color w:val="auto"/>
                <w:sz w:val="24"/>
                <w:szCs w:val="24"/>
                <w:lang w:val="en-US" w:eastAsia="zh-CN"/>
              </w:rPr>
              <w:t>6480</w:t>
            </w:r>
            <w:r>
              <w:rPr>
                <w:rFonts w:hint="default" w:ascii="Times New Roman" w:hAnsi="Times New Roman" w:eastAsia="宋体" w:cs="Times New Roman"/>
                <w:color w:val="auto"/>
                <w:sz w:val="24"/>
                <w:szCs w:val="24"/>
              </w:rPr>
              <w:t>t/a；干物质在两级厌氧反应阶段被降解75%（</w:t>
            </w:r>
            <w:r>
              <w:rPr>
                <w:rFonts w:hint="eastAsia" w:ascii="Times New Roman" w:hAnsi="Times New Roman" w:eastAsia="宋体" w:cs="Times New Roman"/>
                <w:color w:val="auto"/>
                <w:sz w:val="24"/>
                <w:szCs w:val="24"/>
                <w:lang w:val="en-US" w:eastAsia="zh-CN"/>
              </w:rPr>
              <w:t>4860</w:t>
            </w:r>
            <w:r>
              <w:rPr>
                <w:rFonts w:hint="default" w:ascii="Times New Roman" w:hAnsi="Times New Roman" w:eastAsia="宋体" w:cs="Times New Roman"/>
                <w:color w:val="auto"/>
                <w:sz w:val="24"/>
                <w:szCs w:val="24"/>
              </w:rPr>
              <w:t>t/a），经固液分离后进入沼液池的干物质为总量的10%（</w:t>
            </w:r>
            <w:r>
              <w:rPr>
                <w:rFonts w:hint="eastAsia" w:ascii="Times New Roman" w:hAnsi="Times New Roman" w:eastAsia="宋体" w:cs="Times New Roman"/>
                <w:color w:val="auto"/>
                <w:sz w:val="24"/>
                <w:szCs w:val="24"/>
                <w:lang w:val="en-US" w:eastAsia="zh-CN"/>
              </w:rPr>
              <w:t>486</w:t>
            </w:r>
            <w:r>
              <w:rPr>
                <w:rFonts w:hint="default" w:ascii="Times New Roman" w:hAnsi="Times New Roman" w:eastAsia="宋体" w:cs="Times New Roman"/>
                <w:color w:val="auto"/>
                <w:sz w:val="24"/>
                <w:szCs w:val="24"/>
              </w:rPr>
              <w:t>t/a），转化为沼渣的干物质为总量的15%（</w:t>
            </w:r>
            <w:r>
              <w:rPr>
                <w:rFonts w:hint="eastAsia" w:ascii="Times New Roman" w:hAnsi="Times New Roman" w:eastAsia="宋体" w:cs="Times New Roman"/>
                <w:color w:val="auto"/>
                <w:sz w:val="24"/>
                <w:szCs w:val="24"/>
                <w:lang w:val="en-US" w:eastAsia="zh-CN"/>
              </w:rPr>
              <w:t>972</w:t>
            </w:r>
            <w:r>
              <w:rPr>
                <w:rFonts w:hint="default" w:ascii="Times New Roman" w:hAnsi="Times New Roman" w:eastAsia="宋体" w:cs="Times New Roman"/>
                <w:color w:val="auto"/>
                <w:sz w:val="24"/>
                <w:szCs w:val="24"/>
              </w:rPr>
              <w:t>t/a），新鲜沼渣含水率为60%（</w:t>
            </w:r>
            <w:r>
              <w:rPr>
                <w:rFonts w:hint="eastAsia" w:ascii="Times New Roman" w:hAnsi="Times New Roman" w:eastAsia="宋体" w:cs="Times New Roman"/>
                <w:color w:val="auto"/>
                <w:sz w:val="24"/>
                <w:szCs w:val="24"/>
                <w:lang w:val="en-US" w:eastAsia="zh-CN"/>
              </w:rPr>
              <w:t>972</w:t>
            </w:r>
            <w:r>
              <w:rPr>
                <w:rFonts w:hint="default" w:ascii="Times New Roman" w:hAnsi="Times New Roman" w:eastAsia="宋体" w:cs="Times New Roman"/>
                <w:color w:val="auto"/>
                <w:sz w:val="24"/>
                <w:szCs w:val="24"/>
              </w:rPr>
              <w:t>t/a÷40%=</w:t>
            </w:r>
            <w:r>
              <w:rPr>
                <w:rFonts w:hint="eastAsia" w:ascii="Times New Roman" w:hAnsi="Times New Roman" w:eastAsia="宋体" w:cs="Times New Roman"/>
                <w:color w:val="auto"/>
                <w:sz w:val="24"/>
                <w:szCs w:val="24"/>
                <w:lang w:val="en-US" w:eastAsia="zh-CN"/>
              </w:rPr>
              <w:t>2430</w:t>
            </w:r>
            <w:r>
              <w:rPr>
                <w:rFonts w:hint="default" w:ascii="Times New Roman" w:hAnsi="Times New Roman" w:eastAsia="宋体" w:cs="Times New Roman"/>
                <w:color w:val="auto"/>
                <w:sz w:val="24"/>
                <w:szCs w:val="24"/>
              </w:rPr>
              <w:t>t/a）。日产沼渣量：</w:t>
            </w:r>
            <w:r>
              <w:rPr>
                <w:rFonts w:hint="eastAsia" w:ascii="Times New Roman" w:hAnsi="Times New Roman" w:eastAsia="宋体" w:cs="Times New Roman"/>
                <w:color w:val="auto"/>
                <w:sz w:val="24"/>
                <w:szCs w:val="24"/>
                <w:lang w:val="en-US" w:eastAsia="zh-CN"/>
              </w:rPr>
              <w:t>2430</w:t>
            </w:r>
            <w:r>
              <w:rPr>
                <w:rFonts w:hint="default" w:ascii="Times New Roman" w:hAnsi="Times New Roman" w:eastAsia="宋体" w:cs="Times New Roman"/>
                <w:color w:val="auto"/>
                <w:sz w:val="24"/>
                <w:szCs w:val="24"/>
              </w:rPr>
              <w:t>t/a÷365d=</w:t>
            </w:r>
            <w:r>
              <w:rPr>
                <w:rFonts w:hint="eastAsia" w:ascii="Times New Roman" w:hAnsi="Times New Roman" w:eastAsia="宋体" w:cs="Times New Roman"/>
                <w:color w:val="auto"/>
                <w:sz w:val="24"/>
                <w:szCs w:val="24"/>
                <w:lang w:val="en-US" w:eastAsia="zh-CN"/>
              </w:rPr>
              <w:t>6.6575</w:t>
            </w:r>
            <w:r>
              <w:rPr>
                <w:rFonts w:hint="default" w:ascii="Times New Roman" w:hAnsi="Times New Roman" w:eastAsia="宋体" w:cs="Times New Roman"/>
                <w:color w:val="auto"/>
                <w:sz w:val="24"/>
                <w:szCs w:val="24"/>
              </w:rPr>
              <w:t>t/d；沼液日产量：</w:t>
            </w:r>
            <w:r>
              <w:rPr>
                <w:rFonts w:hint="eastAsia" w:ascii="Times New Roman" w:hAnsi="Times New Roman" w:eastAsia="宋体" w:cs="Times New Roman"/>
                <w:color w:val="auto"/>
                <w:sz w:val="24"/>
                <w:szCs w:val="24"/>
                <w:lang w:val="en-US" w:eastAsia="zh-CN"/>
              </w:rPr>
              <w:t>6480</w:t>
            </w:r>
            <w:r>
              <w:rPr>
                <w:rFonts w:hint="default" w:ascii="Times New Roman" w:hAnsi="Times New Roman" w:eastAsia="宋体" w:cs="Times New Roman"/>
                <w:color w:val="auto"/>
                <w:sz w:val="24"/>
                <w:szCs w:val="24"/>
              </w:rPr>
              <w:t>t/a÷365d÷10%－</w:t>
            </w:r>
            <w:r>
              <w:rPr>
                <w:rFonts w:hint="eastAsia" w:ascii="Times New Roman" w:hAnsi="Times New Roman" w:eastAsia="宋体" w:cs="Times New Roman"/>
                <w:color w:val="auto"/>
                <w:sz w:val="24"/>
                <w:szCs w:val="24"/>
                <w:lang w:val="en-US" w:eastAsia="zh-CN"/>
              </w:rPr>
              <w:t>6480</w:t>
            </w:r>
            <w:r>
              <w:rPr>
                <w:rFonts w:hint="default" w:ascii="Times New Roman" w:hAnsi="Times New Roman" w:eastAsia="宋体" w:cs="Times New Roman"/>
                <w:color w:val="auto"/>
                <w:sz w:val="24"/>
                <w:szCs w:val="24"/>
              </w:rPr>
              <w:t>t/a÷365d×75%－</w:t>
            </w:r>
            <w:r>
              <w:rPr>
                <w:rFonts w:hint="eastAsia" w:ascii="Times New Roman" w:hAnsi="Times New Roman" w:eastAsia="宋体" w:cs="Times New Roman"/>
                <w:color w:val="auto"/>
                <w:sz w:val="24"/>
                <w:szCs w:val="24"/>
                <w:lang w:val="en-US" w:eastAsia="zh-CN"/>
              </w:rPr>
              <w:t>6.6575</w:t>
            </w:r>
            <w:r>
              <w:rPr>
                <w:rFonts w:hint="default" w:ascii="Times New Roman" w:hAnsi="Times New Roman" w:eastAsia="宋体" w:cs="Times New Roman"/>
                <w:color w:val="auto"/>
                <w:sz w:val="24"/>
                <w:szCs w:val="24"/>
              </w:rPr>
              <w:t>t/d=</w:t>
            </w:r>
            <w:r>
              <w:rPr>
                <w:rFonts w:hint="eastAsia" w:ascii="Times New Roman" w:hAnsi="Times New Roman" w:eastAsia="宋体" w:cs="Times New Roman"/>
                <w:color w:val="auto"/>
                <w:sz w:val="24"/>
                <w:szCs w:val="24"/>
                <w:lang w:val="en-US" w:eastAsia="zh-CN"/>
              </w:rPr>
              <w:t>157.5616</w:t>
            </w:r>
            <w:r>
              <w:rPr>
                <w:rFonts w:hint="default" w:ascii="Times New Roman" w:hAnsi="Times New Roman" w:eastAsia="宋体" w:cs="Times New Roman"/>
                <w:color w:val="auto"/>
                <w:sz w:val="24"/>
                <w:szCs w:val="24"/>
              </w:rPr>
              <w:t>t/d，产生的沼液全部进入黑膜沼液池；</w:t>
            </w:r>
          </w:p>
          <w:p w14:paraId="12D790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auto"/>
                <w:sz w:val="24"/>
                <w:szCs w:val="24"/>
                <w:lang w:eastAsia="zh-CN"/>
              </w:rPr>
            </w:pPr>
            <w:r>
              <w:rPr>
                <w:rFonts w:hint="eastAsia" w:cs="Times New Roman"/>
                <w:color w:val="auto"/>
                <w:sz w:val="24"/>
                <w:szCs w:val="24"/>
                <w:lang w:eastAsia="zh-CN"/>
              </w:rPr>
              <w:t>（</w:t>
            </w:r>
            <w:r>
              <w:rPr>
                <w:rFonts w:hint="eastAsia" w:cs="Times New Roman"/>
                <w:color w:val="auto"/>
                <w:sz w:val="24"/>
                <w:szCs w:val="24"/>
                <w:lang w:val="en-US" w:eastAsia="zh-CN"/>
              </w:rPr>
              <w:t>3</w:t>
            </w:r>
            <w:r>
              <w:rPr>
                <w:rFonts w:hint="eastAsia" w:cs="Times New Roman"/>
                <w:color w:val="auto"/>
                <w:sz w:val="24"/>
                <w:szCs w:val="24"/>
                <w:lang w:eastAsia="zh-CN"/>
              </w:rPr>
              <w:t>）</w:t>
            </w:r>
            <w:r>
              <w:rPr>
                <w:rFonts w:hint="eastAsia" w:cs="Times New Roman"/>
                <w:color w:val="auto"/>
                <w:sz w:val="24"/>
                <w:szCs w:val="24"/>
                <w:lang w:val="en-US" w:eastAsia="zh-CN"/>
              </w:rPr>
              <w:t>现有</w:t>
            </w:r>
            <w:r>
              <w:rPr>
                <w:rFonts w:hint="eastAsia" w:ascii="Times New Roman" w:hAnsi="Times New Roman" w:eastAsia="宋体" w:cs="Times New Roman"/>
                <w:color w:val="auto"/>
                <w:sz w:val="24"/>
                <w:szCs w:val="24"/>
                <w:lang w:val="en-US" w:eastAsia="zh-CN"/>
              </w:rPr>
              <w:t>项目</w:t>
            </w:r>
            <w:r>
              <w:rPr>
                <w:rFonts w:hint="default" w:ascii="Times New Roman" w:hAnsi="Times New Roman" w:eastAsia="宋体" w:cs="Times New Roman"/>
                <w:color w:val="auto"/>
                <w:sz w:val="24"/>
                <w:szCs w:val="24"/>
              </w:rPr>
              <w:t>设置了一座20000m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的黑膜沼液池，可满足一年的外排沼液存放进行再次发酵，通过黑膜沼气池发酵产生的沼气继续用于发电，经黑膜沼气池发酵后的沼液进入好氧塘进行好氧处理，其中干物质在黑膜沼气池中被降解50%（</w:t>
            </w:r>
            <w:r>
              <w:rPr>
                <w:rFonts w:hint="eastAsia" w:ascii="Times New Roman" w:hAnsi="Times New Roman" w:eastAsia="宋体" w:cs="Times New Roman"/>
                <w:color w:val="auto"/>
                <w:sz w:val="24"/>
                <w:szCs w:val="24"/>
                <w:lang w:val="en-US" w:eastAsia="zh-CN"/>
              </w:rPr>
              <w:t>307.17</w:t>
            </w:r>
            <w:r>
              <w:rPr>
                <w:rFonts w:hint="default" w:ascii="Times New Roman" w:hAnsi="Times New Roman" w:eastAsia="宋体" w:cs="Times New Roman"/>
                <w:color w:val="auto"/>
                <w:sz w:val="24"/>
                <w:szCs w:val="24"/>
              </w:rPr>
              <w:t>t/a），黑膜沼气池中</w:t>
            </w:r>
            <w:r>
              <w:rPr>
                <w:rFonts w:hint="eastAsia" w:cs="Times New Roman"/>
                <w:color w:val="auto"/>
                <w:sz w:val="24"/>
                <w:szCs w:val="24"/>
                <w:lang w:val="en-US" w:eastAsia="zh-CN"/>
              </w:rPr>
              <w:t>部分沼液</w:t>
            </w:r>
            <w:r>
              <w:rPr>
                <w:rFonts w:hint="default" w:ascii="Times New Roman" w:hAnsi="Times New Roman" w:eastAsia="宋体" w:cs="Times New Roman"/>
                <w:color w:val="auto"/>
                <w:sz w:val="24"/>
                <w:szCs w:val="24"/>
              </w:rPr>
              <w:t>的回流去预处理池调节混合料液浓度，可减少清水用量并提高沼气产生量，在好氧塘中被降解30%（125.10t/a），考虑好氧塘中的水分自然挥发，挥发量约为含水量的20%，则通过好氧塘产生的沼液量约为</w:t>
            </w:r>
            <w:r>
              <w:rPr>
                <w:rFonts w:hint="eastAsia" w:ascii="Times New Roman" w:hAnsi="Times New Roman" w:eastAsia="宋体" w:cs="Times New Roman"/>
                <w:color w:val="auto"/>
                <w:sz w:val="24"/>
                <w:szCs w:val="24"/>
                <w:lang w:val="en-US" w:eastAsia="zh-CN"/>
              </w:rPr>
              <w:t>10138</w:t>
            </w:r>
            <w:r>
              <w:rPr>
                <w:rFonts w:hint="default" w:ascii="Times New Roman" w:hAnsi="Times New Roman" w:eastAsia="宋体" w:cs="Times New Roman"/>
                <w:color w:val="auto"/>
                <w:sz w:val="24"/>
                <w:szCs w:val="24"/>
              </w:rPr>
              <w:t>t/a（含水80%）</w:t>
            </w:r>
            <w:r>
              <w:rPr>
                <w:rFonts w:hint="eastAsia" w:cs="Times New Roman"/>
                <w:color w:val="auto"/>
                <w:sz w:val="24"/>
                <w:szCs w:val="24"/>
                <w:lang w:eastAsia="zh-CN"/>
              </w:rPr>
              <w:t>。</w:t>
            </w:r>
          </w:p>
          <w:p w14:paraId="21DDB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color w:val="auto"/>
                <w:sz w:val="24"/>
                <w:szCs w:val="24"/>
                <w:lang w:val="en-US" w:eastAsia="zh-CN"/>
              </w:rPr>
            </w:pPr>
            <w:r>
              <w:rPr>
                <w:rFonts w:hint="eastAsia" w:cs="Times New Roman"/>
                <w:color w:val="auto"/>
                <w:sz w:val="24"/>
                <w:szCs w:val="24"/>
                <w:lang w:eastAsia="zh-CN"/>
              </w:rPr>
              <w:t>（</w:t>
            </w:r>
            <w:r>
              <w:rPr>
                <w:rFonts w:hint="eastAsia" w:cs="Times New Roman"/>
                <w:color w:val="auto"/>
                <w:sz w:val="24"/>
                <w:szCs w:val="24"/>
                <w:lang w:val="en-US" w:eastAsia="zh-CN"/>
              </w:rPr>
              <w:t>4</w:t>
            </w:r>
            <w:r>
              <w:rPr>
                <w:rFonts w:hint="eastAsia" w:cs="Times New Roman"/>
                <w:color w:val="auto"/>
                <w:sz w:val="24"/>
                <w:szCs w:val="24"/>
                <w:lang w:eastAsia="zh-CN"/>
              </w:rPr>
              <w:t>）</w:t>
            </w:r>
            <w:r>
              <w:rPr>
                <w:rFonts w:hint="eastAsia" w:cs="Times New Roman"/>
                <w:color w:val="auto"/>
                <w:sz w:val="24"/>
                <w:szCs w:val="24"/>
                <w:lang w:val="en-US" w:eastAsia="zh-CN"/>
              </w:rPr>
              <w:t>现有</w:t>
            </w:r>
            <w:r>
              <w:rPr>
                <w:rFonts w:hint="eastAsia" w:ascii="Times New Roman" w:hAnsi="Times New Roman" w:eastAsia="宋体" w:cs="Times New Roman"/>
                <w:color w:val="auto"/>
                <w:sz w:val="24"/>
                <w:szCs w:val="24"/>
                <w:lang w:val="en-US" w:eastAsia="zh-CN"/>
              </w:rPr>
              <w:t>项目</w:t>
            </w:r>
            <w:r>
              <w:rPr>
                <w:rFonts w:hint="eastAsia" w:ascii="Times New Roman" w:hAnsi="Times New Roman" w:cs="Times New Roman"/>
                <w:color w:val="auto"/>
                <w:sz w:val="24"/>
                <w:szCs w:val="24"/>
                <w:lang w:val="en-US" w:eastAsia="zh-CN"/>
              </w:rPr>
              <w:t>配备两座</w:t>
            </w:r>
            <w:r>
              <w:rPr>
                <w:rFonts w:hint="default" w:ascii="Times New Roman" w:hAnsi="Times New Roman" w:eastAsia="宋体" w:cs="Times New Roman"/>
                <w:color w:val="auto"/>
                <w:sz w:val="24"/>
                <w:szCs w:val="24"/>
              </w:rPr>
              <w:t>厌氧发酵罐</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单体容积</w:t>
            </w:r>
            <w:r>
              <w:rPr>
                <w:rFonts w:hint="eastAsia" w:ascii="Times New Roman" w:hAnsi="Times New Roman" w:cs="Times New Roman"/>
                <w:color w:val="auto"/>
                <w:sz w:val="24"/>
                <w:szCs w:val="24"/>
                <w:lang w:val="en-US" w:eastAsia="zh-CN"/>
              </w:rPr>
              <w:t>均</w:t>
            </w:r>
            <w:r>
              <w:rPr>
                <w:rFonts w:hint="default" w:ascii="Times New Roman" w:hAnsi="Times New Roman" w:eastAsia="宋体" w:cs="Times New Roman"/>
                <w:color w:val="auto"/>
                <w:sz w:val="24"/>
                <w:szCs w:val="24"/>
              </w:rPr>
              <w:t>为3000m</w:t>
            </w:r>
            <w:r>
              <w:rPr>
                <w:rFonts w:hint="default" w:ascii="Times New Roman" w:hAnsi="Times New Roman" w:eastAsia="宋体" w:cs="Times New Roman"/>
                <w:color w:val="auto"/>
                <w:sz w:val="24"/>
                <w:szCs w:val="24"/>
                <w:vertAlign w:val="superscript"/>
              </w:rPr>
              <w:t>3</w:t>
            </w:r>
            <w:r>
              <w:rPr>
                <w:rFonts w:hint="default" w:ascii="Times New Roman" w:hAnsi="Times New Roman" w:eastAsia="宋体" w:cs="Times New Roman"/>
                <w:color w:val="auto"/>
                <w:sz w:val="24"/>
                <w:szCs w:val="24"/>
              </w:rPr>
              <w:t>，厌氧发酵罐</w:t>
            </w:r>
            <w:r>
              <w:rPr>
                <w:rFonts w:hint="eastAsia" w:ascii="Times New Roman" w:hAnsi="Times New Roman" w:cs="Times New Roman"/>
                <w:color w:val="auto"/>
                <w:sz w:val="24"/>
                <w:szCs w:val="24"/>
                <w:lang w:val="en-US" w:eastAsia="zh-CN"/>
              </w:rPr>
              <w:t>内部配备布置了加温管，在秋冬温度，温度较低情况下，可采用加热管对罐体进行加温，保证发酵温度，保证本项目废水处理效率。</w:t>
            </w:r>
          </w:p>
          <w:p w14:paraId="3D3D3B74">
            <w:pPr>
              <w:widowControl/>
              <w:spacing w:line="360" w:lineRule="auto"/>
              <w:jc w:val="center"/>
              <w:rPr>
                <w:rFonts w:hint="default" w:ascii="Times New Roman" w:hAnsi="Times New Roman" w:eastAsia="宋体" w:cs="Times New Roman"/>
                <w:color w:val="auto"/>
                <w:sz w:val="24"/>
                <w:szCs w:val="24"/>
              </w:rPr>
            </w:pPr>
            <w:r>
              <w:rPr>
                <w:color w:val="auto"/>
              </w:rPr>
              <w:drawing>
                <wp:inline distT="0" distB="0" distL="114300" distR="114300">
                  <wp:extent cx="5109210" cy="2622550"/>
                  <wp:effectExtent l="0" t="0" r="15240" b="635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6"/>
                          <a:stretch>
                            <a:fillRect/>
                          </a:stretch>
                        </pic:blipFill>
                        <pic:spPr>
                          <a:xfrm>
                            <a:off x="0" y="0"/>
                            <a:ext cx="5109210" cy="2622550"/>
                          </a:xfrm>
                          <a:prstGeom prst="rect">
                            <a:avLst/>
                          </a:prstGeom>
                          <a:noFill/>
                          <a:ln>
                            <a:noFill/>
                          </a:ln>
                        </pic:spPr>
                      </pic:pic>
                    </a:graphicData>
                  </a:graphic>
                </wp:inline>
              </w:drawing>
            </w:r>
            <w:r>
              <w:rPr>
                <w:rFonts w:hint="eastAsia"/>
                <w:b/>
                <w:bCs/>
                <w:color w:val="auto"/>
                <w:kern w:val="0"/>
                <w:sz w:val="21"/>
                <w:szCs w:val="21"/>
                <w:lang w:eastAsia="zh-CN"/>
              </w:rPr>
              <w:t>图</w:t>
            </w:r>
            <w:r>
              <w:rPr>
                <w:rFonts w:hint="eastAsia"/>
                <w:b/>
                <w:bCs/>
                <w:color w:val="auto"/>
                <w:kern w:val="0"/>
                <w:sz w:val="21"/>
                <w:szCs w:val="21"/>
                <w:lang w:val="en-US" w:eastAsia="zh-CN"/>
              </w:rPr>
              <w:t>4-1 本项目建成后的</w:t>
            </w:r>
            <w:r>
              <w:rPr>
                <w:rFonts w:hint="eastAsia"/>
                <w:b/>
                <w:bCs/>
                <w:color w:val="auto"/>
                <w:kern w:val="0"/>
                <w:sz w:val="21"/>
                <w:szCs w:val="21"/>
                <w:lang w:eastAsia="zh-CN"/>
              </w:rPr>
              <w:t>沼气发电系统水平衡图</w:t>
            </w:r>
          </w:p>
          <w:p w14:paraId="1E4835FD">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color w:val="auto"/>
              </w:rPr>
            </w:pPr>
            <w:r>
              <w:rPr>
                <w:rFonts w:hint="eastAsia"/>
                <w:color w:val="auto"/>
                <w:sz w:val="24"/>
                <w:lang w:val="en-US" w:eastAsia="zh-CN"/>
              </w:rPr>
              <w:t>通过上述调整后，本项目产生的生产废水和生活污水可排入安徽田福农业科技有限公司架河循环产业园秸秆粪便资源化利用（一期）项目进行处理。并且</w:t>
            </w:r>
            <w:r>
              <w:rPr>
                <w:rFonts w:hint="eastAsia"/>
                <w:color w:val="auto"/>
                <w:sz w:val="24"/>
                <w:lang w:eastAsia="zh-CN"/>
              </w:rPr>
              <w:t>豆制品废水含有高浓度的化学需氧量，</w:t>
            </w:r>
            <w:r>
              <w:rPr>
                <w:rFonts w:hint="eastAsia"/>
                <w:color w:val="auto"/>
                <w:sz w:val="24"/>
                <w:lang w:val="en-US" w:eastAsia="zh-CN"/>
              </w:rPr>
              <w:t>可作为厌氧发酵的重要原料。</w:t>
            </w:r>
            <w:r>
              <w:rPr>
                <w:rFonts w:hint="eastAsia"/>
                <w:color w:val="auto"/>
                <w:sz w:val="24"/>
                <w:lang w:eastAsia="zh-CN"/>
              </w:rPr>
              <w:t>因此可</w:t>
            </w:r>
            <w:r>
              <w:rPr>
                <w:rFonts w:hint="eastAsia"/>
                <w:color w:val="auto"/>
                <w:sz w:val="24"/>
                <w:lang w:val="en-US" w:eastAsia="zh-CN"/>
              </w:rPr>
              <w:t>将本项目生产废水和生活污水可排入安徽田福农业科技有限公司架河循环产业园秸秆粪便资源化利用（一期）项目进行处理</w:t>
            </w:r>
            <w:r>
              <w:rPr>
                <w:rFonts w:hint="eastAsia"/>
                <w:color w:val="auto"/>
                <w:kern w:val="0"/>
                <w:sz w:val="24"/>
              </w:rPr>
              <w:t>。</w:t>
            </w:r>
          </w:p>
          <w:p w14:paraId="5804FD89">
            <w:pPr>
              <w:pStyle w:val="7"/>
              <w:spacing w:line="360" w:lineRule="auto"/>
              <w:ind w:firstLine="0" w:firstLineChars="0"/>
              <w:rPr>
                <w:b/>
                <w:bCs/>
                <w:color w:val="auto"/>
                <w:sz w:val="24"/>
                <w:szCs w:val="24"/>
              </w:rPr>
            </w:pPr>
            <w:r>
              <w:rPr>
                <w:rFonts w:hint="eastAsia" w:ascii="宋体" w:hAnsi="宋体" w:cs="宋体" w:eastAsiaTheme="minorEastAsia"/>
                <w:b/>
                <w:bCs/>
                <w:color w:val="auto"/>
                <w:spacing w:val="1"/>
                <w:sz w:val="24"/>
                <w:szCs w:val="24"/>
              </w:rPr>
              <w:t>三、</w:t>
            </w:r>
            <w:r>
              <w:rPr>
                <w:rFonts w:ascii="宋体" w:hAnsi="宋体" w:cs="宋体" w:eastAsiaTheme="minorEastAsia"/>
                <w:b/>
                <w:bCs/>
                <w:color w:val="auto"/>
                <w:spacing w:val="1"/>
                <w:sz w:val="24"/>
                <w:szCs w:val="24"/>
                <w:lang w:eastAsia="en-US"/>
              </w:rPr>
              <w:t>噪声环境影响和防护措施</w:t>
            </w:r>
          </w:p>
          <w:p w14:paraId="1732A73E">
            <w:pPr>
              <w:widowControl/>
              <w:spacing w:line="360" w:lineRule="auto"/>
              <w:ind w:firstLine="482" w:firstLineChars="200"/>
              <w:jc w:val="left"/>
              <w:rPr>
                <w:b/>
                <w:bCs/>
                <w:color w:val="auto"/>
                <w:kern w:val="0"/>
                <w:sz w:val="24"/>
                <w:lang w:eastAsia="en-US"/>
              </w:rPr>
            </w:pPr>
            <w:r>
              <w:rPr>
                <w:rFonts w:hint="eastAsia"/>
                <w:b/>
                <w:bCs/>
                <w:color w:val="auto"/>
                <w:kern w:val="0"/>
                <w:sz w:val="24"/>
              </w:rPr>
              <w:t>1、</w:t>
            </w:r>
            <w:r>
              <w:rPr>
                <w:rFonts w:hint="eastAsia"/>
                <w:b/>
                <w:bCs/>
                <w:color w:val="auto"/>
                <w:kern w:val="0"/>
                <w:sz w:val="24"/>
                <w:lang w:eastAsia="en-US"/>
              </w:rPr>
              <w:t>噪声源强</w:t>
            </w:r>
          </w:p>
          <w:p w14:paraId="4B3D7F98">
            <w:pPr>
              <w:widowControl/>
              <w:spacing w:line="360" w:lineRule="auto"/>
              <w:ind w:firstLine="480" w:firstLineChars="200"/>
              <w:jc w:val="left"/>
              <w:rPr>
                <w:color w:val="auto"/>
                <w:kern w:val="0"/>
                <w:sz w:val="24"/>
                <w:lang w:eastAsia="en-US"/>
              </w:rPr>
            </w:pPr>
            <w:r>
              <w:rPr>
                <w:rFonts w:hint="eastAsia"/>
                <w:color w:val="auto"/>
                <w:kern w:val="0"/>
                <w:sz w:val="24"/>
                <w:lang w:eastAsia="en-US"/>
              </w:rPr>
              <w:t>本项目营运期的噪声主要来自干豆提升分配设备</w:t>
            </w:r>
            <w:r>
              <w:rPr>
                <w:rFonts w:hint="eastAsia"/>
                <w:color w:val="auto"/>
                <w:kern w:val="0"/>
                <w:sz w:val="24"/>
                <w:lang w:eastAsia="zh-CN"/>
              </w:rPr>
              <w:t>、</w:t>
            </w:r>
            <w:r>
              <w:rPr>
                <w:rFonts w:hint="eastAsia"/>
                <w:color w:val="auto"/>
                <w:kern w:val="0"/>
                <w:sz w:val="24"/>
                <w:lang w:eastAsia="en-US"/>
              </w:rPr>
              <w:t>泡豆机</w:t>
            </w:r>
            <w:r>
              <w:rPr>
                <w:rFonts w:hint="eastAsia"/>
                <w:color w:val="auto"/>
                <w:kern w:val="0"/>
                <w:sz w:val="24"/>
                <w:lang w:eastAsia="zh-CN"/>
              </w:rPr>
              <w:t>、</w:t>
            </w:r>
            <w:r>
              <w:rPr>
                <w:rFonts w:hint="eastAsia"/>
                <w:color w:val="auto"/>
                <w:kern w:val="0"/>
                <w:sz w:val="24"/>
                <w:lang w:eastAsia="en-US"/>
              </w:rPr>
              <w:t>磨浆机</w:t>
            </w:r>
            <w:r>
              <w:rPr>
                <w:rFonts w:hint="eastAsia"/>
                <w:color w:val="auto"/>
                <w:kern w:val="0"/>
                <w:sz w:val="24"/>
                <w:lang w:eastAsia="zh-CN"/>
              </w:rPr>
              <w:t>、</w:t>
            </w:r>
            <w:r>
              <w:rPr>
                <w:rFonts w:hint="eastAsia"/>
                <w:color w:val="auto"/>
                <w:kern w:val="0"/>
                <w:sz w:val="24"/>
                <w:lang w:eastAsia="en-US"/>
              </w:rPr>
              <w:t>磨糊机</w:t>
            </w:r>
            <w:r>
              <w:rPr>
                <w:rFonts w:hint="eastAsia"/>
                <w:color w:val="auto"/>
                <w:kern w:val="0"/>
                <w:sz w:val="24"/>
                <w:lang w:eastAsia="zh-CN"/>
              </w:rPr>
              <w:t>、</w:t>
            </w:r>
            <w:r>
              <w:rPr>
                <w:rFonts w:hint="eastAsia"/>
                <w:color w:val="auto"/>
                <w:kern w:val="0"/>
                <w:sz w:val="24"/>
                <w:lang w:eastAsia="en-US"/>
              </w:rPr>
              <w:t>煮浆机</w:t>
            </w:r>
            <w:r>
              <w:rPr>
                <w:rFonts w:hint="eastAsia"/>
                <w:color w:val="auto"/>
                <w:kern w:val="0"/>
                <w:sz w:val="24"/>
                <w:lang w:eastAsia="zh-CN"/>
              </w:rPr>
              <w:t>、</w:t>
            </w:r>
            <w:r>
              <w:rPr>
                <w:rFonts w:hint="eastAsia"/>
                <w:color w:val="auto"/>
                <w:kern w:val="0"/>
                <w:sz w:val="24"/>
                <w:lang w:eastAsia="en-US"/>
              </w:rPr>
              <w:t>豆浆过滤系统等设备，噪声级约在75～</w:t>
            </w:r>
            <w:r>
              <w:rPr>
                <w:rFonts w:hint="eastAsia"/>
                <w:color w:val="auto"/>
                <w:kern w:val="0"/>
                <w:sz w:val="24"/>
                <w:lang w:val="en-US" w:eastAsia="zh-CN"/>
              </w:rPr>
              <w:t>85</w:t>
            </w:r>
            <w:r>
              <w:rPr>
                <w:rFonts w:hint="eastAsia"/>
                <w:color w:val="auto"/>
                <w:kern w:val="0"/>
                <w:sz w:val="24"/>
                <w:lang w:eastAsia="en-US"/>
              </w:rPr>
              <w:t>dB</w:t>
            </w:r>
            <w:r>
              <w:rPr>
                <w:rFonts w:hint="eastAsia"/>
                <w:color w:val="auto"/>
                <w:kern w:val="0"/>
                <w:sz w:val="24"/>
              </w:rPr>
              <w:t>（</w:t>
            </w:r>
            <w:r>
              <w:rPr>
                <w:rFonts w:hint="eastAsia"/>
                <w:color w:val="auto"/>
                <w:kern w:val="0"/>
                <w:sz w:val="24"/>
                <w:lang w:eastAsia="en-US"/>
              </w:rPr>
              <w:t>A</w:t>
            </w:r>
            <w:r>
              <w:rPr>
                <w:rFonts w:hint="eastAsia"/>
                <w:color w:val="auto"/>
                <w:kern w:val="0"/>
                <w:sz w:val="24"/>
              </w:rPr>
              <w:t>）</w:t>
            </w:r>
            <w:r>
              <w:rPr>
                <w:rFonts w:hint="eastAsia"/>
                <w:color w:val="auto"/>
                <w:kern w:val="0"/>
                <w:sz w:val="24"/>
                <w:lang w:eastAsia="en-US"/>
              </w:rPr>
              <w:t>之间，主要高噪声设备源强见下表。</w:t>
            </w:r>
          </w:p>
          <w:p w14:paraId="01FB97FB">
            <w:pPr>
              <w:pStyle w:val="38"/>
              <w:tabs>
                <w:tab w:val="left" w:pos="859"/>
              </w:tabs>
              <w:spacing w:before="1"/>
              <w:ind w:right="94"/>
              <w:rPr>
                <w:b/>
                <w:bCs/>
                <w:color w:val="auto"/>
                <w:sz w:val="21"/>
                <w:szCs w:val="21"/>
              </w:rPr>
            </w:pPr>
            <w:r>
              <w:rPr>
                <w:rFonts w:ascii="Times New Roman" w:hAnsi="Times New Roman" w:cs="Times New Roman"/>
                <w:b/>
                <w:color w:val="auto"/>
                <w:sz w:val="21"/>
                <w:szCs w:val="21"/>
                <w:lang w:eastAsia="zh-CN"/>
              </w:rPr>
              <w:t xml:space="preserve">表4-5  </w:t>
            </w:r>
            <w:r>
              <w:rPr>
                <w:rFonts w:ascii="Times New Roman" w:hAnsi="Times New Roman" w:cs="Times New Roman"/>
                <w:b/>
                <w:color w:val="auto"/>
                <w:sz w:val="21"/>
                <w:szCs w:val="21"/>
              </w:rPr>
              <w:t>本项目</w:t>
            </w:r>
            <w:r>
              <w:rPr>
                <w:b/>
                <w:color w:val="auto"/>
                <w:sz w:val="21"/>
                <w:szCs w:val="21"/>
              </w:rPr>
              <w:t>主要噪声源强及治理措施一览表（室内声源）</w:t>
            </w:r>
          </w:p>
          <w:tbl>
            <w:tblPr>
              <w:tblStyle w:val="29"/>
              <w:tblW w:w="4978" w:type="pct"/>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9"/>
              <w:gridCol w:w="474"/>
              <w:gridCol w:w="1037"/>
              <w:gridCol w:w="643"/>
              <w:gridCol w:w="796"/>
              <w:gridCol w:w="701"/>
              <w:gridCol w:w="561"/>
              <w:gridCol w:w="595"/>
              <w:gridCol w:w="499"/>
              <w:gridCol w:w="533"/>
              <w:gridCol w:w="1127"/>
              <w:gridCol w:w="809"/>
            </w:tblGrid>
            <w:tr w14:paraId="6AA3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Merge w:val="restart"/>
                  <w:tcBorders>
                    <w:tl2br w:val="nil"/>
                    <w:tr2bl w:val="nil"/>
                  </w:tcBorders>
                  <w:noWrap/>
                  <w:vAlign w:val="center"/>
                </w:tcPr>
                <w:p w14:paraId="09AF8A39">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序号</w:t>
                  </w:r>
                </w:p>
              </w:tc>
              <w:tc>
                <w:tcPr>
                  <w:tcW w:w="288" w:type="pct"/>
                  <w:vMerge w:val="restart"/>
                  <w:tcBorders>
                    <w:tl2br w:val="nil"/>
                    <w:tr2bl w:val="nil"/>
                  </w:tcBorders>
                  <w:noWrap/>
                  <w:vAlign w:val="center"/>
                </w:tcPr>
                <w:p w14:paraId="56D77D7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建筑物名称</w:t>
                  </w:r>
                </w:p>
              </w:tc>
              <w:tc>
                <w:tcPr>
                  <w:tcW w:w="631" w:type="pct"/>
                  <w:vMerge w:val="restart"/>
                  <w:tcBorders>
                    <w:tl2br w:val="nil"/>
                    <w:tr2bl w:val="nil"/>
                  </w:tcBorders>
                  <w:noWrap/>
                  <w:vAlign w:val="center"/>
                </w:tcPr>
                <w:p w14:paraId="285B573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声源名称</w:t>
                  </w:r>
                </w:p>
              </w:tc>
              <w:tc>
                <w:tcPr>
                  <w:tcW w:w="391" w:type="pct"/>
                  <w:vMerge w:val="restart"/>
                  <w:tcBorders>
                    <w:tl2br w:val="nil"/>
                    <w:tr2bl w:val="nil"/>
                  </w:tcBorders>
                  <w:noWrap/>
                  <w:vAlign w:val="center"/>
                </w:tcPr>
                <w:p w14:paraId="16D7B18B">
                  <w:pPr>
                    <w:keepNext w:val="0"/>
                    <w:keepLines w:val="0"/>
                    <w:pageBreakBefore w:val="0"/>
                    <w:widowControl/>
                    <w:kinsoku/>
                    <w:wordWrap/>
                    <w:overflowPunct/>
                    <w:topLinePunct w:val="0"/>
                    <w:autoSpaceDE/>
                    <w:autoSpaceDN/>
                    <w:bidi w:val="0"/>
                    <w:adjustRightInd/>
                    <w:snapToGrid w:val="0"/>
                    <w:spacing w:before="60" w:after="60"/>
                    <w:jc w:val="center"/>
                    <w:rPr>
                      <w:rFonts w:hint="eastAsia" w:eastAsia="宋体"/>
                      <w:color w:val="auto"/>
                      <w:sz w:val="18"/>
                      <w:szCs w:val="18"/>
                      <w:lang w:eastAsia="zh-CN"/>
                    </w:rPr>
                  </w:pPr>
                  <w:r>
                    <w:rPr>
                      <w:rFonts w:hint="eastAsia"/>
                      <w:color w:val="auto"/>
                      <w:sz w:val="18"/>
                      <w:szCs w:val="18"/>
                      <w:lang w:val="en-US" w:eastAsia="zh-CN"/>
                    </w:rPr>
                    <w:t>数量</w:t>
                  </w:r>
                </w:p>
              </w:tc>
              <w:tc>
                <w:tcPr>
                  <w:tcW w:w="484" w:type="pct"/>
                  <w:vMerge w:val="restart"/>
                  <w:tcBorders>
                    <w:tl2br w:val="nil"/>
                    <w:tr2bl w:val="nil"/>
                  </w:tcBorders>
                  <w:noWrap/>
                  <w:vAlign w:val="center"/>
                </w:tcPr>
                <w:p w14:paraId="65801AC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声源源强</w:t>
                  </w:r>
                  <w:r>
                    <w:rPr>
                      <w:color w:val="auto"/>
                      <w:sz w:val="18"/>
                      <w:szCs w:val="18"/>
                    </w:rPr>
                    <w:t>dB</w:t>
                  </w:r>
                  <w:r>
                    <w:rPr>
                      <w:rFonts w:hint="eastAsia"/>
                      <w:color w:val="auto"/>
                      <w:sz w:val="18"/>
                      <w:szCs w:val="18"/>
                    </w:rPr>
                    <w:t>（</w:t>
                  </w:r>
                  <w:r>
                    <w:rPr>
                      <w:color w:val="auto"/>
                      <w:sz w:val="18"/>
                      <w:szCs w:val="18"/>
                    </w:rPr>
                    <w:t>A</w:t>
                  </w:r>
                  <w:r>
                    <w:rPr>
                      <w:rFonts w:hint="eastAsia"/>
                      <w:color w:val="auto"/>
                      <w:sz w:val="18"/>
                      <w:szCs w:val="18"/>
                    </w:rPr>
                    <w:t>）</w:t>
                  </w:r>
                </w:p>
              </w:tc>
              <w:tc>
                <w:tcPr>
                  <w:tcW w:w="426" w:type="pct"/>
                  <w:vMerge w:val="restart"/>
                  <w:tcBorders>
                    <w:tl2br w:val="nil"/>
                    <w:tr2bl w:val="nil"/>
                  </w:tcBorders>
                  <w:noWrap/>
                  <w:vAlign w:val="center"/>
                </w:tcPr>
                <w:p w14:paraId="0532E15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声源控制措施</w:t>
                  </w:r>
                </w:p>
              </w:tc>
              <w:tc>
                <w:tcPr>
                  <w:tcW w:w="1007" w:type="pct"/>
                  <w:gridSpan w:val="3"/>
                  <w:tcBorders>
                    <w:tl2br w:val="nil"/>
                    <w:tr2bl w:val="nil"/>
                  </w:tcBorders>
                  <w:noWrap/>
                  <w:vAlign w:val="center"/>
                </w:tcPr>
                <w:p w14:paraId="540DA695">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空间相对位置/m</w:t>
                  </w:r>
                </w:p>
              </w:tc>
              <w:tc>
                <w:tcPr>
                  <w:tcW w:w="324" w:type="pct"/>
                  <w:vMerge w:val="restart"/>
                  <w:tcBorders>
                    <w:tl2br w:val="nil"/>
                    <w:tr2bl w:val="nil"/>
                  </w:tcBorders>
                  <w:noWrap/>
                  <w:vAlign w:val="center"/>
                </w:tcPr>
                <w:p w14:paraId="5F4D274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距室内边界距离/m</w:t>
                  </w:r>
                </w:p>
              </w:tc>
              <w:tc>
                <w:tcPr>
                  <w:tcW w:w="685" w:type="pct"/>
                  <w:vMerge w:val="restart"/>
                  <w:tcBorders>
                    <w:tl2br w:val="nil"/>
                    <w:tr2bl w:val="nil"/>
                  </w:tcBorders>
                  <w:noWrap/>
                  <w:vAlign w:val="center"/>
                </w:tcPr>
                <w:p w14:paraId="3D8D3B9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运行时段</w:t>
                  </w:r>
                </w:p>
              </w:tc>
              <w:tc>
                <w:tcPr>
                  <w:tcW w:w="492" w:type="pct"/>
                  <w:vMerge w:val="restart"/>
                  <w:tcBorders>
                    <w:tl2br w:val="nil"/>
                    <w:tr2bl w:val="nil"/>
                  </w:tcBorders>
                  <w:noWrap/>
                  <w:vAlign w:val="center"/>
                </w:tcPr>
                <w:p w14:paraId="73F0744A">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建筑物插入损失 / dB（A）</w:t>
                  </w:r>
                </w:p>
              </w:tc>
            </w:tr>
            <w:tr w14:paraId="2F179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Merge w:val="continue"/>
                  <w:tcBorders>
                    <w:tl2br w:val="nil"/>
                    <w:tr2bl w:val="nil"/>
                  </w:tcBorders>
                  <w:noWrap/>
                  <w:vAlign w:val="center"/>
                </w:tcPr>
                <w:p w14:paraId="1A50FE83">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288" w:type="pct"/>
                  <w:vMerge w:val="continue"/>
                  <w:tcBorders>
                    <w:tl2br w:val="nil"/>
                    <w:tr2bl w:val="nil"/>
                  </w:tcBorders>
                  <w:noWrap/>
                  <w:vAlign w:val="center"/>
                </w:tcPr>
                <w:p w14:paraId="37EA80A4">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631" w:type="pct"/>
                  <w:vMerge w:val="continue"/>
                  <w:tcBorders>
                    <w:tl2br w:val="nil"/>
                    <w:tr2bl w:val="nil"/>
                  </w:tcBorders>
                  <w:noWrap/>
                  <w:vAlign w:val="center"/>
                </w:tcPr>
                <w:p w14:paraId="01C5C3C9">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91" w:type="pct"/>
                  <w:vMerge w:val="continue"/>
                  <w:tcBorders>
                    <w:tl2br w:val="nil"/>
                    <w:tr2bl w:val="nil"/>
                  </w:tcBorders>
                  <w:noWrap/>
                  <w:vAlign w:val="center"/>
                </w:tcPr>
                <w:p w14:paraId="183B1B0B">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484" w:type="pct"/>
                  <w:vMerge w:val="continue"/>
                  <w:tcBorders>
                    <w:tl2br w:val="nil"/>
                    <w:tr2bl w:val="nil"/>
                  </w:tcBorders>
                  <w:noWrap/>
                  <w:vAlign w:val="center"/>
                </w:tcPr>
                <w:p w14:paraId="4A9A6FC4">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426" w:type="pct"/>
                  <w:vMerge w:val="continue"/>
                  <w:tcBorders>
                    <w:tl2br w:val="nil"/>
                    <w:tr2bl w:val="nil"/>
                  </w:tcBorders>
                  <w:noWrap/>
                  <w:vAlign w:val="center"/>
                </w:tcPr>
                <w:p w14:paraId="27277DEB">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tcBorders>
                    <w:tl2br w:val="nil"/>
                    <w:tr2bl w:val="nil"/>
                  </w:tcBorders>
                  <w:noWrap/>
                  <w:vAlign w:val="center"/>
                </w:tcPr>
                <w:p w14:paraId="6B08B62B">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p w14:paraId="22F83D44">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X</w:t>
                  </w:r>
                </w:p>
              </w:tc>
              <w:tc>
                <w:tcPr>
                  <w:tcW w:w="362" w:type="pct"/>
                  <w:tcBorders>
                    <w:tl2br w:val="nil"/>
                    <w:tr2bl w:val="nil"/>
                  </w:tcBorders>
                  <w:noWrap/>
                  <w:vAlign w:val="center"/>
                </w:tcPr>
                <w:p w14:paraId="5ED77B7B">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p w14:paraId="3AE84C11">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Y</w:t>
                  </w:r>
                </w:p>
              </w:tc>
              <w:tc>
                <w:tcPr>
                  <w:tcW w:w="304" w:type="pct"/>
                  <w:tcBorders>
                    <w:tl2br w:val="nil"/>
                    <w:tr2bl w:val="nil"/>
                  </w:tcBorders>
                  <w:noWrap/>
                  <w:vAlign w:val="center"/>
                </w:tcPr>
                <w:p w14:paraId="5FB9AE1A">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p w14:paraId="51DF0111">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Z</w:t>
                  </w:r>
                </w:p>
              </w:tc>
              <w:tc>
                <w:tcPr>
                  <w:tcW w:w="324" w:type="pct"/>
                  <w:vMerge w:val="continue"/>
                  <w:tcBorders>
                    <w:tl2br w:val="nil"/>
                    <w:tr2bl w:val="nil"/>
                  </w:tcBorders>
                  <w:noWrap/>
                  <w:vAlign w:val="center"/>
                </w:tcPr>
                <w:p w14:paraId="1093E6D0">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685" w:type="pct"/>
                  <w:vMerge w:val="continue"/>
                  <w:tcBorders>
                    <w:tl2br w:val="nil"/>
                    <w:tr2bl w:val="nil"/>
                  </w:tcBorders>
                  <w:noWrap/>
                  <w:vAlign w:val="center"/>
                </w:tcPr>
                <w:p w14:paraId="19099B7A">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492" w:type="pct"/>
                  <w:vMerge w:val="continue"/>
                  <w:tcBorders>
                    <w:tl2br w:val="nil"/>
                    <w:tr2bl w:val="nil"/>
                  </w:tcBorders>
                  <w:noWrap/>
                  <w:vAlign w:val="center"/>
                </w:tcPr>
                <w:p w14:paraId="6F21CC32">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r>
            <w:tr w14:paraId="2A63A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tcBorders>
                    <w:tl2br w:val="nil"/>
                    <w:tr2bl w:val="nil"/>
                  </w:tcBorders>
                  <w:noWrap/>
                  <w:vAlign w:val="center"/>
                </w:tcPr>
                <w:p w14:paraId="66216340">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1</w:t>
                  </w:r>
                </w:p>
              </w:tc>
              <w:tc>
                <w:tcPr>
                  <w:tcW w:w="288" w:type="pct"/>
                  <w:vMerge w:val="restart"/>
                  <w:tcBorders>
                    <w:tl2br w:val="nil"/>
                    <w:tr2bl w:val="nil"/>
                  </w:tcBorders>
                  <w:noWrap/>
                  <w:vAlign w:val="center"/>
                </w:tcPr>
                <w:p w14:paraId="4D149E7C">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lang w:val="en-US" w:eastAsia="zh-CN"/>
                    </w:rPr>
                    <w:t>1#生产</w:t>
                  </w:r>
                  <w:r>
                    <w:rPr>
                      <w:rFonts w:hint="eastAsia" w:ascii="Times New Roman" w:hAnsi="Times New Roman" w:eastAsia="宋体" w:cs="Times New Roman"/>
                      <w:color w:val="auto"/>
                      <w:sz w:val="18"/>
                      <w:szCs w:val="18"/>
                    </w:rPr>
                    <w:t>厂房</w:t>
                  </w:r>
                </w:p>
              </w:tc>
              <w:tc>
                <w:tcPr>
                  <w:tcW w:w="631" w:type="pct"/>
                  <w:tcBorders>
                    <w:tl2br w:val="nil"/>
                    <w:tr2bl w:val="nil"/>
                  </w:tcBorders>
                  <w:noWrap/>
                  <w:vAlign w:val="center"/>
                </w:tcPr>
                <w:p w14:paraId="1DBE300D">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干豆提升分配设备</w:t>
                  </w:r>
                </w:p>
              </w:tc>
              <w:tc>
                <w:tcPr>
                  <w:tcW w:w="391" w:type="pct"/>
                  <w:tcBorders>
                    <w:tl2br w:val="nil"/>
                    <w:tr2bl w:val="nil"/>
                  </w:tcBorders>
                  <w:noWrap/>
                  <w:vAlign w:val="center"/>
                </w:tcPr>
                <w:p w14:paraId="2DAEDEA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rPr>
                  </w:pPr>
                  <w:r>
                    <w:rPr>
                      <w:rFonts w:hint="eastAsia"/>
                      <w:color w:val="auto"/>
                      <w:kern w:val="0"/>
                      <w:szCs w:val="21"/>
                      <w:lang w:val="en-US" w:eastAsia="zh-CN"/>
                    </w:rPr>
                    <w:t>2套</w:t>
                  </w:r>
                </w:p>
              </w:tc>
              <w:tc>
                <w:tcPr>
                  <w:tcW w:w="484" w:type="pct"/>
                  <w:tcBorders>
                    <w:tl2br w:val="nil"/>
                    <w:tr2bl w:val="nil"/>
                  </w:tcBorders>
                  <w:noWrap/>
                  <w:vAlign w:val="center"/>
                </w:tcPr>
                <w:p w14:paraId="3809BF5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80</w:t>
                  </w:r>
                </w:p>
              </w:tc>
              <w:tc>
                <w:tcPr>
                  <w:tcW w:w="426" w:type="pct"/>
                  <w:vMerge w:val="restart"/>
                  <w:tcBorders>
                    <w:tl2br w:val="nil"/>
                    <w:tr2bl w:val="nil"/>
                  </w:tcBorders>
                  <w:noWrap/>
                  <w:vAlign w:val="center"/>
                </w:tcPr>
                <w:p w14:paraId="33121AA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部分设备基础安装减振垫，厂房隔声等</w:t>
                  </w:r>
                </w:p>
              </w:tc>
              <w:tc>
                <w:tcPr>
                  <w:tcW w:w="341" w:type="pct"/>
                  <w:tcBorders>
                    <w:tl2br w:val="nil"/>
                    <w:tr2bl w:val="nil"/>
                  </w:tcBorders>
                  <w:noWrap/>
                  <w:vAlign w:val="center"/>
                </w:tcPr>
                <w:p w14:paraId="215A2347">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1"/>
                      <w:position w:val="4"/>
                      <w:sz w:val="18"/>
                      <w:szCs w:val="18"/>
                      <w:lang w:val="en-US" w:eastAsia="zh-CN"/>
                    </w:rPr>
                    <w:t>10</w:t>
                  </w:r>
                </w:p>
              </w:tc>
              <w:tc>
                <w:tcPr>
                  <w:tcW w:w="362" w:type="pct"/>
                  <w:tcBorders>
                    <w:tl2br w:val="nil"/>
                    <w:tr2bl w:val="nil"/>
                  </w:tcBorders>
                  <w:noWrap/>
                  <w:vAlign w:val="center"/>
                </w:tcPr>
                <w:p w14:paraId="604EF465">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1"/>
                      <w:position w:val="4"/>
                      <w:sz w:val="18"/>
                      <w:szCs w:val="18"/>
                      <w:lang w:val="en-US" w:eastAsia="zh-CN"/>
                    </w:rPr>
                    <w:t>5</w:t>
                  </w:r>
                </w:p>
              </w:tc>
              <w:tc>
                <w:tcPr>
                  <w:tcW w:w="304" w:type="pct"/>
                  <w:tcBorders>
                    <w:tl2br w:val="nil"/>
                    <w:tr2bl w:val="nil"/>
                  </w:tcBorders>
                  <w:noWrap/>
                  <w:vAlign w:val="center"/>
                </w:tcPr>
                <w:p w14:paraId="1EE7B80B">
                  <w:pPr>
                    <w:keepNext w:val="0"/>
                    <w:keepLines w:val="0"/>
                    <w:pageBreakBefore w:val="0"/>
                    <w:widowControl/>
                    <w:kinsoku/>
                    <w:wordWrap/>
                    <w:overflowPunct/>
                    <w:topLinePunct w:val="0"/>
                    <w:autoSpaceDE/>
                    <w:autoSpaceDN/>
                    <w:bidi w:val="0"/>
                    <w:adjustRightInd/>
                    <w:snapToGrid w:val="0"/>
                    <w:spacing w:before="60" w:after="60"/>
                    <w:jc w:val="center"/>
                    <w:rPr>
                      <w:color w:val="auto"/>
                      <w:spacing w:val="-7"/>
                      <w:position w:val="4"/>
                      <w:sz w:val="18"/>
                      <w:szCs w:val="18"/>
                    </w:rPr>
                  </w:pPr>
                  <w:r>
                    <w:rPr>
                      <w:rFonts w:hint="eastAsia"/>
                      <w:color w:val="auto"/>
                      <w:spacing w:val="-7"/>
                      <w:position w:val="4"/>
                      <w:sz w:val="18"/>
                      <w:szCs w:val="18"/>
                    </w:rPr>
                    <w:t>0.5</w:t>
                  </w:r>
                </w:p>
              </w:tc>
              <w:tc>
                <w:tcPr>
                  <w:tcW w:w="324" w:type="pct"/>
                  <w:tcBorders>
                    <w:tl2br w:val="nil"/>
                    <w:tr2bl w:val="nil"/>
                  </w:tcBorders>
                  <w:noWrap/>
                  <w:vAlign w:val="center"/>
                </w:tcPr>
                <w:p w14:paraId="71E649C6">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1</w:t>
                  </w:r>
                </w:p>
              </w:tc>
              <w:tc>
                <w:tcPr>
                  <w:tcW w:w="685" w:type="pct"/>
                  <w:tcBorders>
                    <w:tl2br w:val="nil"/>
                    <w:tr2bl w:val="nil"/>
                  </w:tcBorders>
                  <w:noWrap/>
                  <w:vAlign w:val="center"/>
                </w:tcPr>
                <w:p w14:paraId="5F266CD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tcBorders>
                    <w:tl2br w:val="nil"/>
                    <w:tr2bl w:val="nil"/>
                  </w:tcBorders>
                  <w:noWrap/>
                  <w:vAlign w:val="center"/>
                </w:tcPr>
                <w:p w14:paraId="113F68CF">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38945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tcBorders>
                    <w:tl2br w:val="nil"/>
                    <w:tr2bl w:val="nil"/>
                  </w:tcBorders>
                  <w:noWrap/>
                  <w:vAlign w:val="center"/>
                </w:tcPr>
                <w:p w14:paraId="6BA0C9E9">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2</w:t>
                  </w:r>
                </w:p>
              </w:tc>
              <w:tc>
                <w:tcPr>
                  <w:tcW w:w="288" w:type="pct"/>
                  <w:vMerge w:val="continue"/>
                  <w:tcBorders>
                    <w:tl2br w:val="nil"/>
                    <w:tr2bl w:val="nil"/>
                  </w:tcBorders>
                  <w:noWrap/>
                  <w:vAlign w:val="center"/>
                </w:tcPr>
                <w:p w14:paraId="4F19DEBB">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tcBorders>
                    <w:tl2br w:val="nil"/>
                    <w:tr2bl w:val="nil"/>
                  </w:tcBorders>
                  <w:noWrap/>
                  <w:vAlign w:val="center"/>
                </w:tcPr>
                <w:p w14:paraId="7ADB6515">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泡豆机</w:t>
                  </w:r>
                </w:p>
              </w:tc>
              <w:tc>
                <w:tcPr>
                  <w:tcW w:w="391" w:type="pct"/>
                  <w:tcBorders>
                    <w:tl2br w:val="nil"/>
                    <w:tr2bl w:val="nil"/>
                  </w:tcBorders>
                  <w:noWrap/>
                  <w:vAlign w:val="center"/>
                </w:tcPr>
                <w:p w14:paraId="5D72DB6A">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rPr>
                  </w:pPr>
                  <w:r>
                    <w:rPr>
                      <w:rFonts w:hint="eastAsia"/>
                      <w:color w:val="auto"/>
                      <w:kern w:val="0"/>
                      <w:szCs w:val="21"/>
                      <w:lang w:val="en-US" w:eastAsia="zh-CN"/>
                    </w:rPr>
                    <w:t>10</w:t>
                  </w:r>
                  <w:r>
                    <w:rPr>
                      <w:rFonts w:hint="eastAsia"/>
                      <w:color w:val="auto"/>
                      <w:kern w:val="0"/>
                      <w:szCs w:val="21"/>
                    </w:rPr>
                    <w:t>台</w:t>
                  </w:r>
                </w:p>
              </w:tc>
              <w:tc>
                <w:tcPr>
                  <w:tcW w:w="484" w:type="pct"/>
                  <w:tcBorders>
                    <w:tl2br w:val="nil"/>
                    <w:tr2bl w:val="nil"/>
                  </w:tcBorders>
                  <w:noWrap/>
                  <w:vAlign w:val="center"/>
                </w:tcPr>
                <w:p w14:paraId="06323EC4">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70</w:t>
                  </w:r>
                </w:p>
              </w:tc>
              <w:tc>
                <w:tcPr>
                  <w:tcW w:w="426" w:type="pct"/>
                  <w:vMerge w:val="continue"/>
                  <w:tcBorders>
                    <w:tl2br w:val="nil"/>
                    <w:tr2bl w:val="nil"/>
                  </w:tcBorders>
                  <w:noWrap/>
                  <w:vAlign w:val="center"/>
                </w:tcPr>
                <w:p w14:paraId="58398F25">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tcBorders>
                    <w:tl2br w:val="nil"/>
                    <w:tr2bl w:val="nil"/>
                  </w:tcBorders>
                  <w:noWrap/>
                  <w:vAlign w:val="center"/>
                </w:tcPr>
                <w:p w14:paraId="0FDF029D">
                  <w:pPr>
                    <w:keepNext w:val="0"/>
                    <w:keepLines w:val="0"/>
                    <w:pageBreakBefore w:val="0"/>
                    <w:widowControl/>
                    <w:kinsoku/>
                    <w:wordWrap/>
                    <w:overflowPunct/>
                    <w:topLinePunct w:val="0"/>
                    <w:autoSpaceDE/>
                    <w:autoSpaceDN/>
                    <w:bidi w:val="0"/>
                    <w:adjustRightInd/>
                    <w:snapToGrid w:val="0"/>
                    <w:spacing w:before="60" w:after="60"/>
                    <w:jc w:val="center"/>
                    <w:rPr>
                      <w:rFonts w:hint="default"/>
                      <w:color w:val="auto"/>
                      <w:sz w:val="18"/>
                      <w:szCs w:val="18"/>
                      <w:lang w:val="en-US"/>
                    </w:rPr>
                  </w:pPr>
                  <w:r>
                    <w:rPr>
                      <w:rFonts w:hint="eastAsia"/>
                      <w:color w:val="auto"/>
                      <w:spacing w:val="-1"/>
                      <w:position w:val="4"/>
                      <w:sz w:val="18"/>
                      <w:szCs w:val="18"/>
                      <w:lang w:val="en-US" w:eastAsia="zh-CN"/>
                    </w:rPr>
                    <w:t>25-50</w:t>
                  </w:r>
                </w:p>
              </w:tc>
              <w:tc>
                <w:tcPr>
                  <w:tcW w:w="362" w:type="pct"/>
                  <w:tcBorders>
                    <w:tl2br w:val="nil"/>
                    <w:tr2bl w:val="nil"/>
                  </w:tcBorders>
                  <w:noWrap/>
                  <w:vAlign w:val="center"/>
                </w:tcPr>
                <w:p w14:paraId="1B7E93D9">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5-10</w:t>
                  </w:r>
                </w:p>
              </w:tc>
              <w:tc>
                <w:tcPr>
                  <w:tcW w:w="304" w:type="pct"/>
                  <w:tcBorders>
                    <w:tl2br w:val="nil"/>
                    <w:tr2bl w:val="nil"/>
                  </w:tcBorders>
                  <w:noWrap/>
                  <w:vAlign w:val="center"/>
                </w:tcPr>
                <w:p w14:paraId="22E54FCC">
                  <w:pPr>
                    <w:keepNext w:val="0"/>
                    <w:keepLines w:val="0"/>
                    <w:pageBreakBefore w:val="0"/>
                    <w:widowControl/>
                    <w:kinsoku/>
                    <w:wordWrap/>
                    <w:overflowPunct/>
                    <w:topLinePunct w:val="0"/>
                    <w:autoSpaceDE/>
                    <w:autoSpaceDN/>
                    <w:bidi w:val="0"/>
                    <w:adjustRightInd/>
                    <w:snapToGrid w:val="0"/>
                    <w:spacing w:before="60" w:after="60"/>
                    <w:jc w:val="center"/>
                    <w:rPr>
                      <w:color w:val="auto"/>
                      <w:spacing w:val="-7"/>
                      <w:position w:val="4"/>
                      <w:sz w:val="18"/>
                      <w:szCs w:val="18"/>
                    </w:rPr>
                  </w:pPr>
                  <w:r>
                    <w:rPr>
                      <w:rFonts w:hint="eastAsia"/>
                      <w:color w:val="auto"/>
                      <w:spacing w:val="-7"/>
                      <w:position w:val="4"/>
                      <w:sz w:val="18"/>
                      <w:szCs w:val="18"/>
                    </w:rPr>
                    <w:t>0.5</w:t>
                  </w:r>
                </w:p>
              </w:tc>
              <w:tc>
                <w:tcPr>
                  <w:tcW w:w="324" w:type="pct"/>
                  <w:tcBorders>
                    <w:tl2br w:val="nil"/>
                    <w:tr2bl w:val="nil"/>
                  </w:tcBorders>
                  <w:noWrap/>
                  <w:vAlign w:val="center"/>
                </w:tcPr>
                <w:p w14:paraId="330E2DC2">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1</w:t>
                  </w:r>
                </w:p>
              </w:tc>
              <w:tc>
                <w:tcPr>
                  <w:tcW w:w="685" w:type="pct"/>
                  <w:tcBorders>
                    <w:tl2br w:val="nil"/>
                    <w:tr2bl w:val="nil"/>
                  </w:tcBorders>
                  <w:noWrap/>
                  <w:vAlign w:val="center"/>
                </w:tcPr>
                <w:p w14:paraId="653BB628">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tcBorders>
                    <w:tl2br w:val="nil"/>
                    <w:tr2bl w:val="nil"/>
                  </w:tcBorders>
                  <w:noWrap/>
                  <w:vAlign w:val="center"/>
                </w:tcPr>
                <w:p w14:paraId="337F81F0">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6D3EE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3673F064">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3</w:t>
                  </w:r>
                </w:p>
              </w:tc>
              <w:tc>
                <w:tcPr>
                  <w:tcW w:w="288" w:type="pct"/>
                  <w:vMerge w:val="continue"/>
                  <w:vAlign w:val="center"/>
                </w:tcPr>
                <w:p w14:paraId="7DACB8C3">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06E4F30F">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磨浆机</w:t>
                  </w:r>
                </w:p>
              </w:tc>
              <w:tc>
                <w:tcPr>
                  <w:tcW w:w="391" w:type="pct"/>
                  <w:vAlign w:val="center"/>
                </w:tcPr>
                <w:p w14:paraId="278DD7C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rPr>
                  </w:pPr>
                  <w:r>
                    <w:rPr>
                      <w:rFonts w:hint="eastAsia"/>
                      <w:color w:val="auto"/>
                      <w:kern w:val="0"/>
                      <w:szCs w:val="21"/>
                      <w:lang w:val="en-US" w:eastAsia="zh-CN"/>
                    </w:rPr>
                    <w:t>6</w:t>
                  </w:r>
                  <w:r>
                    <w:rPr>
                      <w:rFonts w:hint="eastAsia"/>
                      <w:color w:val="auto"/>
                      <w:kern w:val="0"/>
                      <w:szCs w:val="21"/>
                    </w:rPr>
                    <w:t>台</w:t>
                  </w:r>
                </w:p>
              </w:tc>
              <w:tc>
                <w:tcPr>
                  <w:tcW w:w="484" w:type="pct"/>
                  <w:vAlign w:val="center"/>
                </w:tcPr>
                <w:p w14:paraId="6D8E3A9D">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85</w:t>
                  </w:r>
                </w:p>
              </w:tc>
              <w:tc>
                <w:tcPr>
                  <w:tcW w:w="426" w:type="pct"/>
                  <w:vMerge w:val="continue"/>
                  <w:vAlign w:val="center"/>
                </w:tcPr>
                <w:p w14:paraId="46A3A773">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2612B552">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7"/>
                      <w:position w:val="4"/>
                      <w:sz w:val="18"/>
                      <w:szCs w:val="18"/>
                      <w:lang w:val="en-US" w:eastAsia="zh-CN"/>
                    </w:rPr>
                    <w:t>25-50</w:t>
                  </w:r>
                </w:p>
              </w:tc>
              <w:tc>
                <w:tcPr>
                  <w:tcW w:w="362" w:type="pct"/>
                  <w:vAlign w:val="center"/>
                </w:tcPr>
                <w:p w14:paraId="78928B02">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1"/>
                      <w:position w:val="4"/>
                      <w:sz w:val="18"/>
                      <w:szCs w:val="18"/>
                      <w:lang w:val="en-US" w:eastAsia="zh-CN"/>
                    </w:rPr>
                    <w:t>20-25</w:t>
                  </w:r>
                </w:p>
              </w:tc>
              <w:tc>
                <w:tcPr>
                  <w:tcW w:w="304" w:type="pct"/>
                  <w:vAlign w:val="center"/>
                </w:tcPr>
                <w:p w14:paraId="31B86FC9">
                  <w:pPr>
                    <w:keepNext w:val="0"/>
                    <w:keepLines w:val="0"/>
                    <w:pageBreakBefore w:val="0"/>
                    <w:widowControl/>
                    <w:kinsoku/>
                    <w:wordWrap/>
                    <w:overflowPunct/>
                    <w:topLinePunct w:val="0"/>
                    <w:autoSpaceDE/>
                    <w:autoSpaceDN/>
                    <w:bidi w:val="0"/>
                    <w:adjustRightInd/>
                    <w:snapToGrid w:val="0"/>
                    <w:spacing w:before="60" w:after="60"/>
                    <w:jc w:val="center"/>
                    <w:rPr>
                      <w:color w:val="auto"/>
                      <w:spacing w:val="-7"/>
                      <w:position w:val="4"/>
                      <w:sz w:val="18"/>
                      <w:szCs w:val="18"/>
                    </w:rPr>
                  </w:pPr>
                  <w:r>
                    <w:rPr>
                      <w:rFonts w:hint="eastAsia"/>
                      <w:color w:val="auto"/>
                      <w:spacing w:val="-7"/>
                      <w:position w:val="4"/>
                      <w:sz w:val="18"/>
                      <w:szCs w:val="18"/>
                    </w:rPr>
                    <w:t>0.5</w:t>
                  </w:r>
                </w:p>
              </w:tc>
              <w:tc>
                <w:tcPr>
                  <w:tcW w:w="324" w:type="pct"/>
                  <w:vAlign w:val="center"/>
                </w:tcPr>
                <w:p w14:paraId="3AAB45C5">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1.5</w:t>
                  </w:r>
                </w:p>
              </w:tc>
              <w:tc>
                <w:tcPr>
                  <w:tcW w:w="685" w:type="pct"/>
                  <w:vAlign w:val="center"/>
                </w:tcPr>
                <w:p w14:paraId="03D0CD09">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620A4489">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49186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6FC09E7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4</w:t>
                  </w:r>
                </w:p>
              </w:tc>
              <w:tc>
                <w:tcPr>
                  <w:tcW w:w="288" w:type="pct"/>
                  <w:vMerge w:val="continue"/>
                  <w:vAlign w:val="center"/>
                </w:tcPr>
                <w:p w14:paraId="2D9E60D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78816113">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磨糊机</w:t>
                  </w:r>
                </w:p>
              </w:tc>
              <w:tc>
                <w:tcPr>
                  <w:tcW w:w="391" w:type="pct"/>
                  <w:vAlign w:val="center"/>
                </w:tcPr>
                <w:p w14:paraId="0CEED71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rPr>
                  </w:pPr>
                  <w:r>
                    <w:rPr>
                      <w:rFonts w:hint="eastAsia"/>
                      <w:color w:val="auto"/>
                      <w:kern w:val="0"/>
                      <w:szCs w:val="21"/>
                      <w:lang w:val="en-US" w:eastAsia="zh-CN"/>
                    </w:rPr>
                    <w:t>2</w:t>
                  </w:r>
                  <w:r>
                    <w:rPr>
                      <w:rFonts w:hint="eastAsia"/>
                      <w:color w:val="auto"/>
                      <w:kern w:val="0"/>
                      <w:szCs w:val="21"/>
                    </w:rPr>
                    <w:t>台</w:t>
                  </w:r>
                </w:p>
              </w:tc>
              <w:tc>
                <w:tcPr>
                  <w:tcW w:w="484" w:type="pct"/>
                  <w:vAlign w:val="center"/>
                </w:tcPr>
                <w:p w14:paraId="38B45444">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85</w:t>
                  </w:r>
                </w:p>
              </w:tc>
              <w:tc>
                <w:tcPr>
                  <w:tcW w:w="426" w:type="pct"/>
                  <w:vMerge w:val="continue"/>
                  <w:vAlign w:val="center"/>
                </w:tcPr>
                <w:p w14:paraId="64AB9F41">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583AC224">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7"/>
                      <w:position w:val="4"/>
                      <w:sz w:val="18"/>
                      <w:szCs w:val="18"/>
                      <w:lang w:val="en-US" w:eastAsia="zh-CN"/>
                    </w:rPr>
                    <w:t>10-20</w:t>
                  </w:r>
                </w:p>
              </w:tc>
              <w:tc>
                <w:tcPr>
                  <w:tcW w:w="362" w:type="pct"/>
                  <w:vAlign w:val="center"/>
                </w:tcPr>
                <w:p w14:paraId="7F1D2059">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1"/>
                      <w:position w:val="4"/>
                      <w:sz w:val="18"/>
                      <w:szCs w:val="18"/>
                      <w:lang w:val="en-US" w:eastAsia="zh-CN"/>
                    </w:rPr>
                    <w:t>20-25</w:t>
                  </w:r>
                </w:p>
              </w:tc>
              <w:tc>
                <w:tcPr>
                  <w:tcW w:w="304" w:type="pct"/>
                  <w:vAlign w:val="center"/>
                </w:tcPr>
                <w:p w14:paraId="159014C8">
                  <w:pPr>
                    <w:keepNext w:val="0"/>
                    <w:keepLines w:val="0"/>
                    <w:pageBreakBefore w:val="0"/>
                    <w:widowControl/>
                    <w:kinsoku/>
                    <w:wordWrap/>
                    <w:overflowPunct/>
                    <w:topLinePunct w:val="0"/>
                    <w:autoSpaceDE/>
                    <w:autoSpaceDN/>
                    <w:bidi w:val="0"/>
                    <w:adjustRightInd/>
                    <w:snapToGrid w:val="0"/>
                    <w:spacing w:before="60" w:after="60"/>
                    <w:jc w:val="center"/>
                    <w:rPr>
                      <w:color w:val="auto"/>
                      <w:spacing w:val="-7"/>
                      <w:position w:val="4"/>
                      <w:sz w:val="18"/>
                      <w:szCs w:val="18"/>
                    </w:rPr>
                  </w:pPr>
                  <w:r>
                    <w:rPr>
                      <w:rFonts w:hint="eastAsia"/>
                      <w:color w:val="auto"/>
                      <w:spacing w:val="-7"/>
                      <w:position w:val="4"/>
                      <w:sz w:val="18"/>
                      <w:szCs w:val="18"/>
                    </w:rPr>
                    <w:t>0.5</w:t>
                  </w:r>
                </w:p>
              </w:tc>
              <w:tc>
                <w:tcPr>
                  <w:tcW w:w="324" w:type="pct"/>
                  <w:vAlign w:val="center"/>
                </w:tcPr>
                <w:p w14:paraId="7B6FC36A">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2</w:t>
                  </w:r>
                </w:p>
              </w:tc>
              <w:tc>
                <w:tcPr>
                  <w:tcW w:w="685" w:type="pct"/>
                  <w:vAlign w:val="center"/>
                </w:tcPr>
                <w:p w14:paraId="5046E7CF">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6573998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4A758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40A460B3">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5</w:t>
                  </w:r>
                </w:p>
              </w:tc>
              <w:tc>
                <w:tcPr>
                  <w:tcW w:w="288" w:type="pct"/>
                  <w:vMerge w:val="continue"/>
                  <w:vAlign w:val="center"/>
                </w:tcPr>
                <w:p w14:paraId="7C1517A0">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4C131409">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煮浆机</w:t>
                  </w:r>
                </w:p>
              </w:tc>
              <w:tc>
                <w:tcPr>
                  <w:tcW w:w="391" w:type="pct"/>
                  <w:vAlign w:val="center"/>
                </w:tcPr>
                <w:p w14:paraId="66B314B9">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rPr>
                  </w:pPr>
                  <w:r>
                    <w:rPr>
                      <w:rFonts w:hint="eastAsia"/>
                      <w:color w:val="auto"/>
                      <w:kern w:val="0"/>
                      <w:szCs w:val="21"/>
                      <w:lang w:val="en-US" w:eastAsia="zh-CN"/>
                    </w:rPr>
                    <w:t>16个</w:t>
                  </w:r>
                </w:p>
              </w:tc>
              <w:tc>
                <w:tcPr>
                  <w:tcW w:w="484" w:type="pct"/>
                  <w:vAlign w:val="center"/>
                </w:tcPr>
                <w:p w14:paraId="788099B5">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80</w:t>
                  </w:r>
                </w:p>
              </w:tc>
              <w:tc>
                <w:tcPr>
                  <w:tcW w:w="426" w:type="pct"/>
                  <w:vMerge w:val="continue"/>
                  <w:vAlign w:val="center"/>
                </w:tcPr>
                <w:p w14:paraId="5FFE555A">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41D76D6C">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5-10</w:t>
                  </w:r>
                </w:p>
              </w:tc>
              <w:tc>
                <w:tcPr>
                  <w:tcW w:w="362" w:type="pct"/>
                  <w:vAlign w:val="center"/>
                </w:tcPr>
                <w:p w14:paraId="7532F4D0">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1"/>
                      <w:position w:val="4"/>
                      <w:sz w:val="18"/>
                      <w:szCs w:val="18"/>
                      <w:lang w:val="en-US" w:eastAsia="zh-CN"/>
                    </w:rPr>
                    <w:t>20-25</w:t>
                  </w:r>
                </w:p>
              </w:tc>
              <w:tc>
                <w:tcPr>
                  <w:tcW w:w="304" w:type="pct"/>
                  <w:vAlign w:val="center"/>
                </w:tcPr>
                <w:p w14:paraId="02C62A36">
                  <w:pPr>
                    <w:keepNext w:val="0"/>
                    <w:keepLines w:val="0"/>
                    <w:pageBreakBefore w:val="0"/>
                    <w:widowControl/>
                    <w:kinsoku/>
                    <w:wordWrap/>
                    <w:overflowPunct/>
                    <w:topLinePunct w:val="0"/>
                    <w:autoSpaceDE/>
                    <w:autoSpaceDN/>
                    <w:bidi w:val="0"/>
                    <w:adjustRightInd/>
                    <w:snapToGrid w:val="0"/>
                    <w:spacing w:before="60" w:after="60"/>
                    <w:jc w:val="center"/>
                    <w:rPr>
                      <w:color w:val="auto"/>
                      <w:spacing w:val="-7"/>
                      <w:position w:val="4"/>
                      <w:sz w:val="18"/>
                      <w:szCs w:val="18"/>
                    </w:rPr>
                  </w:pPr>
                  <w:r>
                    <w:rPr>
                      <w:rFonts w:hint="eastAsia"/>
                      <w:color w:val="auto"/>
                      <w:spacing w:val="-7"/>
                      <w:position w:val="4"/>
                      <w:sz w:val="18"/>
                      <w:szCs w:val="18"/>
                    </w:rPr>
                    <w:t>0.5</w:t>
                  </w:r>
                </w:p>
              </w:tc>
              <w:tc>
                <w:tcPr>
                  <w:tcW w:w="324" w:type="pct"/>
                  <w:vAlign w:val="center"/>
                </w:tcPr>
                <w:p w14:paraId="31BFE67F">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1</w:t>
                  </w:r>
                </w:p>
              </w:tc>
              <w:tc>
                <w:tcPr>
                  <w:tcW w:w="685" w:type="pct"/>
                  <w:vAlign w:val="center"/>
                </w:tcPr>
                <w:p w14:paraId="61B5CF21">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60F63BF0">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2C29F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2ABC8634">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6</w:t>
                  </w:r>
                </w:p>
              </w:tc>
              <w:tc>
                <w:tcPr>
                  <w:tcW w:w="288" w:type="pct"/>
                  <w:vMerge w:val="continue"/>
                  <w:vAlign w:val="center"/>
                </w:tcPr>
                <w:p w14:paraId="597ADB55">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67EFB031">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r>
                    <w:rPr>
                      <w:rFonts w:hint="eastAsia" w:ascii="Times New Roman" w:hAnsi="Times New Roman" w:eastAsia="宋体" w:cs="Times New Roman"/>
                      <w:color w:val="auto"/>
                      <w:sz w:val="18"/>
                      <w:szCs w:val="18"/>
                    </w:rPr>
                    <w:t>豆浆过滤系统</w:t>
                  </w:r>
                </w:p>
              </w:tc>
              <w:tc>
                <w:tcPr>
                  <w:tcW w:w="391" w:type="pct"/>
                  <w:vAlign w:val="center"/>
                </w:tcPr>
                <w:p w14:paraId="57884E2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rPr>
                  </w:pPr>
                  <w:r>
                    <w:rPr>
                      <w:rFonts w:hint="eastAsia"/>
                      <w:color w:val="auto"/>
                      <w:kern w:val="0"/>
                      <w:szCs w:val="21"/>
                      <w:lang w:val="en-US" w:eastAsia="zh-CN"/>
                    </w:rPr>
                    <w:t>24个</w:t>
                  </w:r>
                </w:p>
              </w:tc>
              <w:tc>
                <w:tcPr>
                  <w:tcW w:w="484" w:type="pct"/>
                  <w:vAlign w:val="center"/>
                </w:tcPr>
                <w:p w14:paraId="2785105E">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70</w:t>
                  </w:r>
                </w:p>
              </w:tc>
              <w:tc>
                <w:tcPr>
                  <w:tcW w:w="426" w:type="pct"/>
                  <w:vMerge w:val="continue"/>
                  <w:vAlign w:val="center"/>
                </w:tcPr>
                <w:p w14:paraId="574484D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5075206E">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7"/>
                      <w:position w:val="4"/>
                      <w:sz w:val="18"/>
                      <w:szCs w:val="18"/>
                      <w:lang w:val="en-US" w:eastAsia="zh-CN"/>
                    </w:rPr>
                    <w:t>10-15</w:t>
                  </w:r>
                </w:p>
              </w:tc>
              <w:tc>
                <w:tcPr>
                  <w:tcW w:w="362" w:type="pct"/>
                  <w:vAlign w:val="center"/>
                </w:tcPr>
                <w:p w14:paraId="3EBFCADC">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pacing w:val="-1"/>
                      <w:position w:val="4"/>
                      <w:sz w:val="18"/>
                      <w:szCs w:val="18"/>
                      <w:lang w:val="en-US" w:eastAsia="zh-CN"/>
                    </w:rPr>
                    <w:t>20-25</w:t>
                  </w:r>
                </w:p>
              </w:tc>
              <w:tc>
                <w:tcPr>
                  <w:tcW w:w="304" w:type="pct"/>
                  <w:vAlign w:val="center"/>
                </w:tcPr>
                <w:p w14:paraId="28F14CA9">
                  <w:pPr>
                    <w:keepNext w:val="0"/>
                    <w:keepLines w:val="0"/>
                    <w:pageBreakBefore w:val="0"/>
                    <w:widowControl/>
                    <w:kinsoku/>
                    <w:wordWrap/>
                    <w:overflowPunct/>
                    <w:topLinePunct w:val="0"/>
                    <w:autoSpaceDE/>
                    <w:autoSpaceDN/>
                    <w:bidi w:val="0"/>
                    <w:adjustRightInd/>
                    <w:snapToGrid w:val="0"/>
                    <w:spacing w:before="60" w:after="60"/>
                    <w:jc w:val="center"/>
                    <w:rPr>
                      <w:color w:val="auto"/>
                      <w:spacing w:val="-7"/>
                      <w:position w:val="4"/>
                      <w:sz w:val="18"/>
                      <w:szCs w:val="18"/>
                    </w:rPr>
                  </w:pPr>
                  <w:r>
                    <w:rPr>
                      <w:rFonts w:hint="eastAsia"/>
                      <w:color w:val="auto"/>
                      <w:spacing w:val="-7"/>
                      <w:position w:val="4"/>
                      <w:sz w:val="18"/>
                      <w:szCs w:val="18"/>
                    </w:rPr>
                    <w:t>0.5</w:t>
                  </w:r>
                </w:p>
              </w:tc>
              <w:tc>
                <w:tcPr>
                  <w:tcW w:w="324" w:type="pct"/>
                  <w:vAlign w:val="center"/>
                </w:tcPr>
                <w:p w14:paraId="266C161B">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1</w:t>
                  </w:r>
                </w:p>
              </w:tc>
              <w:tc>
                <w:tcPr>
                  <w:tcW w:w="685" w:type="pct"/>
                  <w:vAlign w:val="center"/>
                </w:tcPr>
                <w:p w14:paraId="14D9A441">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277039E3">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0BB4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14E736B2">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7</w:t>
                  </w:r>
                </w:p>
              </w:tc>
              <w:tc>
                <w:tcPr>
                  <w:tcW w:w="288" w:type="pct"/>
                  <w:vMerge w:val="restart"/>
                  <w:vAlign w:val="center"/>
                </w:tcPr>
                <w:p w14:paraId="4315C15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2#生产厂房</w:t>
                  </w:r>
                </w:p>
              </w:tc>
              <w:tc>
                <w:tcPr>
                  <w:tcW w:w="631" w:type="pct"/>
                  <w:vAlign w:val="center"/>
                </w:tcPr>
                <w:p w14:paraId="422B13BB">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浇注机</w:t>
                  </w:r>
                </w:p>
              </w:tc>
              <w:tc>
                <w:tcPr>
                  <w:tcW w:w="391" w:type="pct"/>
                  <w:vAlign w:val="center"/>
                </w:tcPr>
                <w:p w14:paraId="17856E5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8台</w:t>
                  </w:r>
                </w:p>
              </w:tc>
              <w:tc>
                <w:tcPr>
                  <w:tcW w:w="484" w:type="pct"/>
                  <w:vAlign w:val="center"/>
                </w:tcPr>
                <w:p w14:paraId="58018E91">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75</w:t>
                  </w:r>
                </w:p>
              </w:tc>
              <w:tc>
                <w:tcPr>
                  <w:tcW w:w="426" w:type="pct"/>
                  <w:vMerge w:val="restart"/>
                  <w:vAlign w:val="center"/>
                </w:tcPr>
                <w:p w14:paraId="7E459EF4">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rFonts w:hint="eastAsia"/>
                      <w:color w:val="auto"/>
                      <w:sz w:val="18"/>
                      <w:szCs w:val="18"/>
                    </w:rPr>
                    <w:t>部分设备基础安装减振垫，厂房隔声等</w:t>
                  </w:r>
                </w:p>
              </w:tc>
              <w:tc>
                <w:tcPr>
                  <w:tcW w:w="341" w:type="pct"/>
                  <w:vAlign w:val="center"/>
                </w:tcPr>
                <w:p w14:paraId="7A11CC1D">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pacing w:val="-7"/>
                      <w:position w:val="4"/>
                      <w:sz w:val="18"/>
                      <w:szCs w:val="18"/>
                      <w:lang w:val="en-US" w:eastAsia="zh-CN"/>
                    </w:rPr>
                  </w:pPr>
                  <w:r>
                    <w:rPr>
                      <w:rFonts w:hint="eastAsia"/>
                      <w:color w:val="auto"/>
                      <w:spacing w:val="-1"/>
                      <w:position w:val="4"/>
                      <w:sz w:val="18"/>
                      <w:szCs w:val="18"/>
                      <w:lang w:val="en-US" w:eastAsia="zh-CN"/>
                    </w:rPr>
                    <w:t>10-35</w:t>
                  </w:r>
                </w:p>
              </w:tc>
              <w:tc>
                <w:tcPr>
                  <w:tcW w:w="362" w:type="pct"/>
                  <w:vAlign w:val="center"/>
                </w:tcPr>
                <w:p w14:paraId="65A3AE38">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pacing w:val="-1"/>
                      <w:position w:val="4"/>
                      <w:sz w:val="18"/>
                      <w:szCs w:val="18"/>
                      <w:lang w:val="en-US" w:eastAsia="zh-CN"/>
                    </w:rPr>
                  </w:pPr>
                  <w:r>
                    <w:rPr>
                      <w:rFonts w:hint="eastAsia"/>
                      <w:color w:val="auto"/>
                      <w:spacing w:val="-1"/>
                      <w:position w:val="4"/>
                      <w:sz w:val="18"/>
                      <w:szCs w:val="18"/>
                      <w:lang w:val="en-US" w:eastAsia="zh-CN"/>
                    </w:rPr>
                    <w:t>45-55</w:t>
                  </w:r>
                </w:p>
              </w:tc>
              <w:tc>
                <w:tcPr>
                  <w:tcW w:w="304" w:type="pct"/>
                  <w:vAlign w:val="center"/>
                </w:tcPr>
                <w:p w14:paraId="4AEF2662">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49CA2F4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0812E256">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165217B8">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012D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52DB158F">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8</w:t>
                  </w:r>
                </w:p>
              </w:tc>
              <w:tc>
                <w:tcPr>
                  <w:tcW w:w="288" w:type="pct"/>
                  <w:vMerge w:val="continue"/>
                  <w:vAlign w:val="center"/>
                </w:tcPr>
                <w:p w14:paraId="0D29A66E">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2E2BDF35">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压榨机</w:t>
                  </w:r>
                </w:p>
              </w:tc>
              <w:tc>
                <w:tcPr>
                  <w:tcW w:w="391" w:type="pct"/>
                  <w:vAlign w:val="center"/>
                </w:tcPr>
                <w:p w14:paraId="3BC7B1E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8台</w:t>
                  </w:r>
                </w:p>
              </w:tc>
              <w:tc>
                <w:tcPr>
                  <w:tcW w:w="484" w:type="pct"/>
                  <w:vAlign w:val="center"/>
                </w:tcPr>
                <w:p w14:paraId="498879C9">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85</w:t>
                  </w:r>
                </w:p>
              </w:tc>
              <w:tc>
                <w:tcPr>
                  <w:tcW w:w="426" w:type="pct"/>
                  <w:vMerge w:val="continue"/>
                  <w:vAlign w:val="center"/>
                </w:tcPr>
                <w:p w14:paraId="7C7CA3F5">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22BD5F5D">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pacing w:val="-7"/>
                      <w:position w:val="4"/>
                      <w:sz w:val="18"/>
                      <w:szCs w:val="18"/>
                      <w:lang w:val="en-US" w:eastAsia="zh-CN"/>
                    </w:rPr>
                  </w:pPr>
                  <w:r>
                    <w:rPr>
                      <w:rFonts w:hint="eastAsia"/>
                      <w:color w:val="auto"/>
                      <w:spacing w:val="-7"/>
                      <w:position w:val="4"/>
                      <w:sz w:val="18"/>
                      <w:szCs w:val="18"/>
                      <w:lang w:val="en-US" w:eastAsia="zh-CN"/>
                    </w:rPr>
                    <w:t>10-35</w:t>
                  </w:r>
                </w:p>
              </w:tc>
              <w:tc>
                <w:tcPr>
                  <w:tcW w:w="362" w:type="pct"/>
                  <w:vAlign w:val="center"/>
                </w:tcPr>
                <w:p w14:paraId="78BAA9F6">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45-55</w:t>
                  </w:r>
                </w:p>
              </w:tc>
              <w:tc>
                <w:tcPr>
                  <w:tcW w:w="304" w:type="pct"/>
                  <w:vAlign w:val="center"/>
                </w:tcPr>
                <w:p w14:paraId="7EB49AA6">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22EF8D5A">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09074CF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38A3F08F">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04AEB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2F9D7B27">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9</w:t>
                  </w:r>
                </w:p>
              </w:tc>
              <w:tc>
                <w:tcPr>
                  <w:tcW w:w="288" w:type="pct"/>
                  <w:vMerge w:val="continue"/>
                  <w:vAlign w:val="center"/>
                </w:tcPr>
                <w:p w14:paraId="1539759F">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070B2D8E">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摊凉机</w:t>
                  </w:r>
                </w:p>
              </w:tc>
              <w:tc>
                <w:tcPr>
                  <w:tcW w:w="391" w:type="pct"/>
                  <w:vAlign w:val="center"/>
                </w:tcPr>
                <w:p w14:paraId="37138B73">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8台</w:t>
                  </w:r>
                </w:p>
              </w:tc>
              <w:tc>
                <w:tcPr>
                  <w:tcW w:w="484" w:type="pct"/>
                  <w:vAlign w:val="center"/>
                </w:tcPr>
                <w:p w14:paraId="75963056">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70</w:t>
                  </w:r>
                </w:p>
              </w:tc>
              <w:tc>
                <w:tcPr>
                  <w:tcW w:w="426" w:type="pct"/>
                  <w:vMerge w:val="continue"/>
                  <w:vAlign w:val="center"/>
                </w:tcPr>
                <w:p w14:paraId="74036A54">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47554A84">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26C22FC7">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45-55</w:t>
                  </w:r>
                </w:p>
              </w:tc>
              <w:tc>
                <w:tcPr>
                  <w:tcW w:w="304" w:type="pct"/>
                  <w:vAlign w:val="center"/>
                </w:tcPr>
                <w:p w14:paraId="221CB25D">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5A5467C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1.5</w:t>
                  </w:r>
                </w:p>
              </w:tc>
              <w:tc>
                <w:tcPr>
                  <w:tcW w:w="685" w:type="pct"/>
                  <w:vAlign w:val="center"/>
                </w:tcPr>
                <w:p w14:paraId="44FBC101">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5B26237E">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3219E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2FCBE0C1">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10</w:t>
                  </w:r>
                </w:p>
              </w:tc>
              <w:tc>
                <w:tcPr>
                  <w:tcW w:w="288" w:type="pct"/>
                  <w:vMerge w:val="continue"/>
                  <w:vAlign w:val="center"/>
                </w:tcPr>
                <w:p w14:paraId="350B1584">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261E51F1">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剥布机</w:t>
                  </w:r>
                </w:p>
              </w:tc>
              <w:tc>
                <w:tcPr>
                  <w:tcW w:w="391" w:type="pct"/>
                  <w:vAlign w:val="center"/>
                </w:tcPr>
                <w:p w14:paraId="06B7764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8台</w:t>
                  </w:r>
                </w:p>
              </w:tc>
              <w:tc>
                <w:tcPr>
                  <w:tcW w:w="484" w:type="pct"/>
                  <w:vAlign w:val="center"/>
                </w:tcPr>
                <w:p w14:paraId="68BD19BB">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70</w:t>
                  </w:r>
                </w:p>
              </w:tc>
              <w:tc>
                <w:tcPr>
                  <w:tcW w:w="426" w:type="pct"/>
                  <w:vMerge w:val="continue"/>
                  <w:vAlign w:val="center"/>
                </w:tcPr>
                <w:p w14:paraId="7C90099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56415108">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0675D519">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45-55</w:t>
                  </w:r>
                </w:p>
              </w:tc>
              <w:tc>
                <w:tcPr>
                  <w:tcW w:w="304" w:type="pct"/>
                  <w:vAlign w:val="center"/>
                </w:tcPr>
                <w:p w14:paraId="2AECB27B">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204EC040">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2</w:t>
                  </w:r>
                </w:p>
              </w:tc>
              <w:tc>
                <w:tcPr>
                  <w:tcW w:w="685" w:type="pct"/>
                  <w:vAlign w:val="center"/>
                </w:tcPr>
                <w:p w14:paraId="58B8AA49">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09D1B5F3">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33663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360611F7">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11</w:t>
                  </w:r>
                </w:p>
              </w:tc>
              <w:tc>
                <w:tcPr>
                  <w:tcW w:w="288" w:type="pct"/>
                  <w:vMerge w:val="continue"/>
                  <w:vAlign w:val="center"/>
                </w:tcPr>
                <w:p w14:paraId="6420180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261B03DC">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整理台</w:t>
                  </w:r>
                </w:p>
              </w:tc>
              <w:tc>
                <w:tcPr>
                  <w:tcW w:w="391" w:type="pct"/>
                  <w:vAlign w:val="center"/>
                </w:tcPr>
                <w:p w14:paraId="09573B0F">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8台</w:t>
                  </w:r>
                </w:p>
              </w:tc>
              <w:tc>
                <w:tcPr>
                  <w:tcW w:w="484" w:type="pct"/>
                  <w:vAlign w:val="center"/>
                </w:tcPr>
                <w:p w14:paraId="11885310">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70</w:t>
                  </w:r>
                </w:p>
              </w:tc>
              <w:tc>
                <w:tcPr>
                  <w:tcW w:w="426" w:type="pct"/>
                  <w:vMerge w:val="continue"/>
                  <w:vAlign w:val="center"/>
                </w:tcPr>
                <w:p w14:paraId="3F4E449B">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6C23A4DB">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18FD5117">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45-55</w:t>
                  </w:r>
                </w:p>
              </w:tc>
              <w:tc>
                <w:tcPr>
                  <w:tcW w:w="304" w:type="pct"/>
                  <w:vAlign w:val="center"/>
                </w:tcPr>
                <w:p w14:paraId="0B4698A1">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5A3B0CAA">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41517ADF">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22B680D8">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1AADB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4D48CCA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12</w:t>
                  </w:r>
                </w:p>
              </w:tc>
              <w:tc>
                <w:tcPr>
                  <w:tcW w:w="288" w:type="pct"/>
                  <w:vMerge w:val="continue"/>
                  <w:vAlign w:val="center"/>
                </w:tcPr>
                <w:p w14:paraId="750C69C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00749281">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煮布桶</w:t>
                  </w:r>
                </w:p>
              </w:tc>
              <w:tc>
                <w:tcPr>
                  <w:tcW w:w="391" w:type="pct"/>
                  <w:vAlign w:val="center"/>
                </w:tcPr>
                <w:p w14:paraId="4F7F446B">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8台</w:t>
                  </w:r>
                </w:p>
              </w:tc>
              <w:tc>
                <w:tcPr>
                  <w:tcW w:w="484" w:type="pct"/>
                  <w:vAlign w:val="center"/>
                </w:tcPr>
                <w:p w14:paraId="10E83B5D">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75</w:t>
                  </w:r>
                </w:p>
              </w:tc>
              <w:tc>
                <w:tcPr>
                  <w:tcW w:w="426" w:type="pct"/>
                  <w:vMerge w:val="continue"/>
                  <w:vAlign w:val="center"/>
                </w:tcPr>
                <w:p w14:paraId="34CFA2C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5950D197">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597615D5">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45-55</w:t>
                  </w:r>
                </w:p>
              </w:tc>
              <w:tc>
                <w:tcPr>
                  <w:tcW w:w="304" w:type="pct"/>
                  <w:vAlign w:val="center"/>
                </w:tcPr>
                <w:p w14:paraId="392BBB33">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07194A98">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0147D57F">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7CF3FBC0">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605C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2569E84F">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13</w:t>
                  </w:r>
                </w:p>
              </w:tc>
              <w:tc>
                <w:tcPr>
                  <w:tcW w:w="288" w:type="pct"/>
                  <w:vMerge w:val="continue"/>
                  <w:vAlign w:val="center"/>
                </w:tcPr>
                <w:p w14:paraId="3DBC3EE7">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6C81B6E3">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成型机</w:t>
                  </w:r>
                </w:p>
              </w:tc>
              <w:tc>
                <w:tcPr>
                  <w:tcW w:w="391" w:type="pct"/>
                  <w:vAlign w:val="center"/>
                </w:tcPr>
                <w:p w14:paraId="4120AC7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4台</w:t>
                  </w:r>
                </w:p>
              </w:tc>
              <w:tc>
                <w:tcPr>
                  <w:tcW w:w="484" w:type="pct"/>
                  <w:vAlign w:val="center"/>
                </w:tcPr>
                <w:p w14:paraId="73941E84">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80</w:t>
                  </w:r>
                </w:p>
              </w:tc>
              <w:tc>
                <w:tcPr>
                  <w:tcW w:w="426" w:type="pct"/>
                  <w:vMerge w:val="continue"/>
                  <w:vAlign w:val="center"/>
                </w:tcPr>
                <w:p w14:paraId="7156A2C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447CEDB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76142EDF">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pacing w:val="-1"/>
                      <w:position w:val="4"/>
                      <w:sz w:val="18"/>
                      <w:szCs w:val="18"/>
                      <w:lang w:val="en-US" w:eastAsia="zh-CN"/>
                    </w:rPr>
                  </w:pPr>
                  <w:r>
                    <w:rPr>
                      <w:rFonts w:hint="eastAsia"/>
                      <w:color w:val="auto"/>
                      <w:spacing w:val="-1"/>
                      <w:position w:val="4"/>
                      <w:sz w:val="18"/>
                      <w:szCs w:val="18"/>
                      <w:lang w:val="en-US" w:eastAsia="zh-CN"/>
                    </w:rPr>
                    <w:t>55-65</w:t>
                  </w:r>
                </w:p>
              </w:tc>
              <w:tc>
                <w:tcPr>
                  <w:tcW w:w="304" w:type="pct"/>
                  <w:vAlign w:val="center"/>
                </w:tcPr>
                <w:p w14:paraId="17358BA8">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0A9ACCE1">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199ECB7D">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03A01928">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13F9D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2143A743">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14</w:t>
                  </w:r>
                </w:p>
              </w:tc>
              <w:tc>
                <w:tcPr>
                  <w:tcW w:w="288" w:type="pct"/>
                  <w:vMerge w:val="continue"/>
                  <w:vAlign w:val="center"/>
                </w:tcPr>
                <w:p w14:paraId="66F5F51B">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7FBBCA0B">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切块机</w:t>
                  </w:r>
                </w:p>
              </w:tc>
              <w:tc>
                <w:tcPr>
                  <w:tcW w:w="391" w:type="pct"/>
                  <w:vAlign w:val="center"/>
                </w:tcPr>
                <w:p w14:paraId="35172827">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4台</w:t>
                  </w:r>
                </w:p>
              </w:tc>
              <w:tc>
                <w:tcPr>
                  <w:tcW w:w="484" w:type="pct"/>
                  <w:vAlign w:val="center"/>
                </w:tcPr>
                <w:p w14:paraId="4C52FED0">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75</w:t>
                  </w:r>
                </w:p>
              </w:tc>
              <w:tc>
                <w:tcPr>
                  <w:tcW w:w="426" w:type="pct"/>
                  <w:vMerge w:val="continue"/>
                  <w:vAlign w:val="center"/>
                </w:tcPr>
                <w:p w14:paraId="2842102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6415A265">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38C4ADE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55-65</w:t>
                  </w:r>
                </w:p>
              </w:tc>
              <w:tc>
                <w:tcPr>
                  <w:tcW w:w="304" w:type="pct"/>
                  <w:vAlign w:val="center"/>
                </w:tcPr>
                <w:p w14:paraId="28B35894">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3F1121BD">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10E0E9B1">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0D506873">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2CCC4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1B39E1C8">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15</w:t>
                  </w:r>
                </w:p>
              </w:tc>
              <w:tc>
                <w:tcPr>
                  <w:tcW w:w="288" w:type="pct"/>
                  <w:vMerge w:val="continue"/>
                  <w:vAlign w:val="center"/>
                </w:tcPr>
                <w:p w14:paraId="677C02BA">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7EEC1902">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整理台</w:t>
                  </w:r>
                </w:p>
              </w:tc>
              <w:tc>
                <w:tcPr>
                  <w:tcW w:w="391" w:type="pct"/>
                  <w:vAlign w:val="center"/>
                </w:tcPr>
                <w:p w14:paraId="3F73BA25">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4台</w:t>
                  </w:r>
                </w:p>
              </w:tc>
              <w:tc>
                <w:tcPr>
                  <w:tcW w:w="484" w:type="pct"/>
                  <w:vAlign w:val="center"/>
                </w:tcPr>
                <w:p w14:paraId="1DDDFCE2">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70</w:t>
                  </w:r>
                </w:p>
              </w:tc>
              <w:tc>
                <w:tcPr>
                  <w:tcW w:w="426" w:type="pct"/>
                  <w:vMerge w:val="continue"/>
                  <w:vAlign w:val="center"/>
                </w:tcPr>
                <w:p w14:paraId="71109160">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0DCBDC9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6E767876">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55-65</w:t>
                  </w:r>
                </w:p>
              </w:tc>
              <w:tc>
                <w:tcPr>
                  <w:tcW w:w="304" w:type="pct"/>
                  <w:vAlign w:val="center"/>
                </w:tcPr>
                <w:p w14:paraId="7DB29A61">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0A694F5F">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1.5</w:t>
                  </w:r>
                </w:p>
              </w:tc>
              <w:tc>
                <w:tcPr>
                  <w:tcW w:w="685" w:type="pct"/>
                  <w:vAlign w:val="center"/>
                </w:tcPr>
                <w:p w14:paraId="4116A75D">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577C4756">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5C1F8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1E029E0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16</w:t>
                  </w:r>
                </w:p>
              </w:tc>
              <w:tc>
                <w:tcPr>
                  <w:tcW w:w="288" w:type="pct"/>
                  <w:vMerge w:val="continue"/>
                  <w:vAlign w:val="center"/>
                </w:tcPr>
                <w:p w14:paraId="42C8F76F">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292762B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成型机</w:t>
                  </w:r>
                </w:p>
              </w:tc>
              <w:tc>
                <w:tcPr>
                  <w:tcW w:w="391" w:type="pct"/>
                  <w:vAlign w:val="center"/>
                </w:tcPr>
                <w:p w14:paraId="57691A8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4</w:t>
                  </w:r>
                  <w:r>
                    <w:rPr>
                      <w:rFonts w:hint="eastAsia"/>
                      <w:color w:val="auto"/>
                      <w:kern w:val="0"/>
                      <w:szCs w:val="21"/>
                    </w:rPr>
                    <w:t>台</w:t>
                  </w:r>
                </w:p>
              </w:tc>
              <w:tc>
                <w:tcPr>
                  <w:tcW w:w="484" w:type="pct"/>
                  <w:vAlign w:val="center"/>
                </w:tcPr>
                <w:p w14:paraId="542443C9">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80</w:t>
                  </w:r>
                </w:p>
              </w:tc>
              <w:tc>
                <w:tcPr>
                  <w:tcW w:w="426" w:type="pct"/>
                  <w:vMerge w:val="continue"/>
                  <w:vAlign w:val="center"/>
                </w:tcPr>
                <w:p w14:paraId="0ACB99F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3F80C0DE">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2B936DAD">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pacing w:val="-1"/>
                      <w:position w:val="4"/>
                      <w:sz w:val="18"/>
                      <w:szCs w:val="18"/>
                      <w:lang w:val="en-US" w:eastAsia="zh-CN"/>
                    </w:rPr>
                  </w:pPr>
                  <w:r>
                    <w:rPr>
                      <w:rFonts w:hint="eastAsia"/>
                      <w:color w:val="auto"/>
                      <w:spacing w:val="-1"/>
                      <w:position w:val="4"/>
                      <w:sz w:val="18"/>
                      <w:szCs w:val="18"/>
                      <w:lang w:val="en-US" w:eastAsia="zh-CN"/>
                    </w:rPr>
                    <w:t>65-75</w:t>
                  </w:r>
                </w:p>
              </w:tc>
              <w:tc>
                <w:tcPr>
                  <w:tcW w:w="304" w:type="pct"/>
                  <w:vAlign w:val="center"/>
                </w:tcPr>
                <w:p w14:paraId="2AE82C62">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4196471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4AB556B1">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7A433695">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70723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66602C8F">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17</w:t>
                  </w:r>
                </w:p>
              </w:tc>
              <w:tc>
                <w:tcPr>
                  <w:tcW w:w="288" w:type="pct"/>
                  <w:vMerge w:val="continue"/>
                  <w:vAlign w:val="center"/>
                </w:tcPr>
                <w:p w14:paraId="41C4D824">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48390544">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切块机</w:t>
                  </w:r>
                </w:p>
              </w:tc>
              <w:tc>
                <w:tcPr>
                  <w:tcW w:w="391" w:type="pct"/>
                  <w:vAlign w:val="center"/>
                </w:tcPr>
                <w:p w14:paraId="64939EC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4</w:t>
                  </w:r>
                  <w:r>
                    <w:rPr>
                      <w:rFonts w:hint="eastAsia"/>
                      <w:color w:val="auto"/>
                      <w:kern w:val="0"/>
                      <w:szCs w:val="21"/>
                    </w:rPr>
                    <w:t>台</w:t>
                  </w:r>
                </w:p>
              </w:tc>
              <w:tc>
                <w:tcPr>
                  <w:tcW w:w="484" w:type="pct"/>
                  <w:vAlign w:val="center"/>
                </w:tcPr>
                <w:p w14:paraId="001495E7">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75</w:t>
                  </w:r>
                </w:p>
              </w:tc>
              <w:tc>
                <w:tcPr>
                  <w:tcW w:w="426" w:type="pct"/>
                  <w:vMerge w:val="continue"/>
                  <w:vAlign w:val="center"/>
                </w:tcPr>
                <w:p w14:paraId="1D69DA8D">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6DEC845A">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5D633A22">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65-75</w:t>
                  </w:r>
                </w:p>
              </w:tc>
              <w:tc>
                <w:tcPr>
                  <w:tcW w:w="304" w:type="pct"/>
                  <w:vAlign w:val="center"/>
                </w:tcPr>
                <w:p w14:paraId="06390AB1">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563CEBCD">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2C848B08">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0DB9D0E3">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1D7EE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505FE0B7">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18</w:t>
                  </w:r>
                </w:p>
              </w:tc>
              <w:tc>
                <w:tcPr>
                  <w:tcW w:w="288" w:type="pct"/>
                  <w:vMerge w:val="continue"/>
                  <w:vAlign w:val="center"/>
                </w:tcPr>
                <w:p w14:paraId="4361D80B">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46842396">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整理台</w:t>
                  </w:r>
                </w:p>
              </w:tc>
              <w:tc>
                <w:tcPr>
                  <w:tcW w:w="391" w:type="pct"/>
                  <w:vAlign w:val="center"/>
                </w:tcPr>
                <w:p w14:paraId="21E19BA6">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4</w:t>
                  </w:r>
                  <w:r>
                    <w:rPr>
                      <w:rFonts w:hint="eastAsia"/>
                      <w:color w:val="auto"/>
                      <w:kern w:val="0"/>
                      <w:szCs w:val="21"/>
                    </w:rPr>
                    <w:t>台</w:t>
                  </w:r>
                </w:p>
              </w:tc>
              <w:tc>
                <w:tcPr>
                  <w:tcW w:w="484" w:type="pct"/>
                  <w:vAlign w:val="center"/>
                </w:tcPr>
                <w:p w14:paraId="607457C5">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70</w:t>
                  </w:r>
                </w:p>
              </w:tc>
              <w:tc>
                <w:tcPr>
                  <w:tcW w:w="426" w:type="pct"/>
                  <w:vMerge w:val="continue"/>
                  <w:vAlign w:val="center"/>
                </w:tcPr>
                <w:p w14:paraId="021AFDC4">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77A47F0A">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6E8ACBE3">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65-75</w:t>
                  </w:r>
                </w:p>
              </w:tc>
              <w:tc>
                <w:tcPr>
                  <w:tcW w:w="304" w:type="pct"/>
                  <w:vAlign w:val="center"/>
                </w:tcPr>
                <w:p w14:paraId="240C55EB">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1D796F79">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7B31E6CC">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1B8368D2">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r w14:paraId="5FE65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trPr>
              <w:tc>
                <w:tcPr>
                  <w:tcW w:w="267" w:type="pct"/>
                  <w:vAlign w:val="center"/>
                </w:tcPr>
                <w:p w14:paraId="0A5C60FE">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19</w:t>
                  </w:r>
                </w:p>
              </w:tc>
              <w:tc>
                <w:tcPr>
                  <w:tcW w:w="288" w:type="pct"/>
                  <w:vMerge w:val="continue"/>
                  <w:vAlign w:val="center"/>
                </w:tcPr>
                <w:p w14:paraId="162AC1BE">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rPr>
                  </w:pPr>
                </w:p>
              </w:tc>
              <w:tc>
                <w:tcPr>
                  <w:tcW w:w="631" w:type="pct"/>
                  <w:vAlign w:val="center"/>
                </w:tcPr>
                <w:p w14:paraId="11CA6CF8">
                  <w:pPr>
                    <w:keepNext w:val="0"/>
                    <w:keepLines w:val="0"/>
                    <w:pageBreakBefore w:val="0"/>
                    <w:widowControl/>
                    <w:kinsoku/>
                    <w:wordWrap/>
                    <w:overflowPunct/>
                    <w:topLinePunct w:val="0"/>
                    <w:autoSpaceDE/>
                    <w:autoSpaceDN/>
                    <w:bidi w:val="0"/>
                    <w:adjustRightInd/>
                    <w:snapToGrid w:val="0"/>
                    <w:spacing w:before="60" w:after="60"/>
                    <w:jc w:val="center"/>
                    <w:textAlignment w:val="center"/>
                    <w:rPr>
                      <w:rFonts w:hint="eastAsia"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rPr>
                    <w:t>内酯豆腐封口机</w:t>
                  </w:r>
                </w:p>
              </w:tc>
              <w:tc>
                <w:tcPr>
                  <w:tcW w:w="391" w:type="pct"/>
                  <w:vAlign w:val="center"/>
                </w:tcPr>
                <w:p w14:paraId="0E275B71">
                  <w:pPr>
                    <w:keepNext w:val="0"/>
                    <w:keepLines w:val="0"/>
                    <w:pageBreakBefore w:val="0"/>
                    <w:widowControl/>
                    <w:kinsoku/>
                    <w:wordWrap/>
                    <w:overflowPunct/>
                    <w:topLinePunct w:val="0"/>
                    <w:autoSpaceDE/>
                    <w:autoSpaceDN/>
                    <w:bidi w:val="0"/>
                    <w:adjustRightInd w:val="0"/>
                    <w:snapToGrid w:val="0"/>
                    <w:spacing w:before="60" w:after="60"/>
                    <w:jc w:val="center"/>
                    <w:textAlignment w:val="auto"/>
                    <w:rPr>
                      <w:rFonts w:hint="eastAsia" w:ascii="Times New Roman" w:hAnsi="Times New Roman" w:eastAsia="宋体" w:cs="Times New Roman"/>
                      <w:color w:val="auto"/>
                      <w:sz w:val="18"/>
                      <w:szCs w:val="18"/>
                      <w:lang w:val="en-US" w:eastAsia="zh-CN"/>
                    </w:rPr>
                  </w:pPr>
                  <w:r>
                    <w:rPr>
                      <w:rFonts w:hint="eastAsia"/>
                      <w:color w:val="auto"/>
                      <w:kern w:val="0"/>
                      <w:szCs w:val="21"/>
                      <w:lang w:val="en-US" w:eastAsia="zh-CN"/>
                    </w:rPr>
                    <w:t>4</w:t>
                  </w:r>
                  <w:r>
                    <w:rPr>
                      <w:rFonts w:hint="eastAsia"/>
                      <w:color w:val="auto"/>
                      <w:kern w:val="0"/>
                      <w:szCs w:val="21"/>
                    </w:rPr>
                    <w:t>台</w:t>
                  </w:r>
                </w:p>
              </w:tc>
              <w:tc>
                <w:tcPr>
                  <w:tcW w:w="484" w:type="pct"/>
                  <w:vAlign w:val="center"/>
                </w:tcPr>
                <w:p w14:paraId="186ACD31">
                  <w:pPr>
                    <w:keepNext w:val="0"/>
                    <w:keepLines w:val="0"/>
                    <w:pageBreakBefore w:val="0"/>
                    <w:widowControl/>
                    <w:kinsoku/>
                    <w:wordWrap/>
                    <w:overflowPunct/>
                    <w:topLinePunct w:val="0"/>
                    <w:autoSpaceDE/>
                    <w:autoSpaceDN/>
                    <w:bidi w:val="0"/>
                    <w:adjustRightInd/>
                    <w:snapToGrid w:val="0"/>
                    <w:spacing w:before="60" w:after="60"/>
                    <w:jc w:val="center"/>
                    <w:rPr>
                      <w:rFonts w:hint="default" w:eastAsia="宋体"/>
                      <w:color w:val="auto"/>
                      <w:sz w:val="18"/>
                      <w:szCs w:val="18"/>
                      <w:lang w:val="en-US" w:eastAsia="zh-CN"/>
                    </w:rPr>
                  </w:pPr>
                  <w:r>
                    <w:rPr>
                      <w:rFonts w:hint="eastAsia"/>
                      <w:color w:val="auto"/>
                      <w:sz w:val="18"/>
                      <w:szCs w:val="18"/>
                      <w:lang w:val="en-US" w:eastAsia="zh-CN"/>
                    </w:rPr>
                    <w:t>75</w:t>
                  </w:r>
                </w:p>
              </w:tc>
              <w:tc>
                <w:tcPr>
                  <w:tcW w:w="426" w:type="pct"/>
                  <w:vMerge w:val="continue"/>
                  <w:vAlign w:val="center"/>
                </w:tcPr>
                <w:p w14:paraId="716634C7">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p>
              </w:tc>
              <w:tc>
                <w:tcPr>
                  <w:tcW w:w="341" w:type="pct"/>
                  <w:vAlign w:val="center"/>
                </w:tcPr>
                <w:p w14:paraId="4B46760A">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lang w:val="en-US" w:eastAsia="zh-CN"/>
                    </w:rPr>
                    <w:t>10-35</w:t>
                  </w:r>
                </w:p>
              </w:tc>
              <w:tc>
                <w:tcPr>
                  <w:tcW w:w="362" w:type="pct"/>
                  <w:vAlign w:val="center"/>
                </w:tcPr>
                <w:p w14:paraId="78011254">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1"/>
                      <w:position w:val="4"/>
                      <w:sz w:val="18"/>
                      <w:szCs w:val="18"/>
                    </w:rPr>
                  </w:pPr>
                  <w:r>
                    <w:rPr>
                      <w:rFonts w:hint="eastAsia"/>
                      <w:color w:val="auto"/>
                      <w:spacing w:val="-1"/>
                      <w:position w:val="4"/>
                      <w:sz w:val="18"/>
                      <w:szCs w:val="18"/>
                      <w:lang w:val="en-US" w:eastAsia="zh-CN"/>
                    </w:rPr>
                    <w:t>65-75</w:t>
                  </w:r>
                </w:p>
              </w:tc>
              <w:tc>
                <w:tcPr>
                  <w:tcW w:w="304" w:type="pct"/>
                  <w:vAlign w:val="center"/>
                </w:tcPr>
                <w:p w14:paraId="3147135E">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pacing w:val="-7"/>
                      <w:position w:val="4"/>
                      <w:sz w:val="18"/>
                      <w:szCs w:val="18"/>
                    </w:rPr>
                  </w:pPr>
                  <w:r>
                    <w:rPr>
                      <w:rFonts w:hint="eastAsia"/>
                      <w:color w:val="auto"/>
                      <w:spacing w:val="-7"/>
                      <w:position w:val="4"/>
                      <w:sz w:val="18"/>
                      <w:szCs w:val="18"/>
                    </w:rPr>
                    <w:t>0.5</w:t>
                  </w:r>
                </w:p>
              </w:tc>
              <w:tc>
                <w:tcPr>
                  <w:tcW w:w="324" w:type="pct"/>
                  <w:vAlign w:val="center"/>
                </w:tcPr>
                <w:p w14:paraId="64F127ED">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rPr>
                    <w:t>1</w:t>
                  </w:r>
                </w:p>
              </w:tc>
              <w:tc>
                <w:tcPr>
                  <w:tcW w:w="685" w:type="pct"/>
                  <w:vAlign w:val="center"/>
                </w:tcPr>
                <w:p w14:paraId="239150D3">
                  <w:pPr>
                    <w:keepNext w:val="0"/>
                    <w:keepLines w:val="0"/>
                    <w:pageBreakBefore w:val="0"/>
                    <w:widowControl/>
                    <w:kinsoku/>
                    <w:wordWrap/>
                    <w:overflowPunct/>
                    <w:topLinePunct w:val="0"/>
                    <w:autoSpaceDE/>
                    <w:autoSpaceDN/>
                    <w:bidi w:val="0"/>
                    <w:adjustRightInd/>
                    <w:snapToGrid w:val="0"/>
                    <w:spacing w:before="60" w:after="60"/>
                    <w:jc w:val="center"/>
                    <w:rPr>
                      <w:rFonts w:hint="eastAsia"/>
                      <w:color w:val="auto"/>
                      <w:sz w:val="18"/>
                      <w:szCs w:val="18"/>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c>
                <w:tcPr>
                  <w:tcW w:w="492" w:type="pct"/>
                  <w:vAlign w:val="center"/>
                </w:tcPr>
                <w:p w14:paraId="52460976">
                  <w:pPr>
                    <w:keepNext w:val="0"/>
                    <w:keepLines w:val="0"/>
                    <w:pageBreakBefore w:val="0"/>
                    <w:widowControl/>
                    <w:kinsoku/>
                    <w:wordWrap/>
                    <w:overflowPunct/>
                    <w:topLinePunct w:val="0"/>
                    <w:autoSpaceDE/>
                    <w:autoSpaceDN/>
                    <w:bidi w:val="0"/>
                    <w:adjustRightInd/>
                    <w:snapToGrid w:val="0"/>
                    <w:spacing w:before="60" w:after="60"/>
                    <w:jc w:val="center"/>
                    <w:rPr>
                      <w:color w:val="auto"/>
                      <w:sz w:val="18"/>
                      <w:szCs w:val="18"/>
                    </w:rPr>
                  </w:pPr>
                  <w:r>
                    <w:rPr>
                      <w:color w:val="auto"/>
                      <w:sz w:val="18"/>
                      <w:szCs w:val="18"/>
                    </w:rPr>
                    <w:t>≥20</w:t>
                  </w:r>
                </w:p>
              </w:tc>
            </w:tr>
          </w:tbl>
          <w:p w14:paraId="26544D93">
            <w:pPr>
              <w:pStyle w:val="38"/>
              <w:tabs>
                <w:tab w:val="left" w:pos="859"/>
              </w:tabs>
              <w:spacing w:before="1"/>
              <w:ind w:right="94"/>
              <w:rPr>
                <w:rFonts w:ascii="Times New Roman" w:hAnsi="Times New Roman" w:cs="Times New Roman"/>
                <w:b/>
                <w:bCs/>
                <w:color w:val="auto"/>
                <w:sz w:val="18"/>
                <w:szCs w:val="18"/>
              </w:rPr>
            </w:pPr>
          </w:p>
          <w:p w14:paraId="4212237C">
            <w:pPr>
              <w:pStyle w:val="38"/>
              <w:tabs>
                <w:tab w:val="left" w:pos="859"/>
              </w:tabs>
              <w:spacing w:before="1"/>
              <w:ind w:right="94"/>
              <w:rPr>
                <w:rFonts w:ascii="Times New Roman" w:hAnsi="Times New Roman" w:cs="Times New Roman"/>
                <w:b/>
                <w:color w:val="auto"/>
                <w:sz w:val="18"/>
                <w:szCs w:val="18"/>
              </w:rPr>
            </w:pPr>
            <w:r>
              <w:rPr>
                <w:rFonts w:ascii="Times New Roman" w:hAnsi="Times New Roman" w:cs="Times New Roman"/>
                <w:b/>
                <w:bCs/>
                <w:color w:val="auto"/>
                <w:sz w:val="18"/>
                <w:szCs w:val="18"/>
              </w:rPr>
              <w:t>表4-</w:t>
            </w:r>
            <w:r>
              <w:rPr>
                <w:rFonts w:ascii="Times New Roman" w:hAnsi="Times New Roman" w:cs="Times New Roman"/>
                <w:b/>
                <w:bCs/>
                <w:color w:val="auto"/>
                <w:sz w:val="18"/>
                <w:szCs w:val="18"/>
                <w:lang w:eastAsia="zh-CN"/>
              </w:rPr>
              <w:t>6</w:t>
            </w:r>
            <w:r>
              <w:rPr>
                <w:rFonts w:ascii="Times New Roman" w:hAnsi="Times New Roman" w:cs="Times New Roman"/>
                <w:b/>
                <w:bCs/>
                <w:color w:val="auto"/>
                <w:sz w:val="18"/>
                <w:szCs w:val="18"/>
              </w:rPr>
              <w:t>室外声源噪声源强与治理措施</w:t>
            </w:r>
          </w:p>
          <w:tbl>
            <w:tblPr>
              <w:tblStyle w:val="29"/>
              <w:tblW w:w="4990" w:type="pct"/>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22"/>
              <w:gridCol w:w="960"/>
              <w:gridCol w:w="952"/>
              <w:gridCol w:w="781"/>
              <w:gridCol w:w="826"/>
              <w:gridCol w:w="903"/>
              <w:gridCol w:w="856"/>
              <w:gridCol w:w="1184"/>
              <w:gridCol w:w="1249"/>
            </w:tblGrid>
            <w:tr w14:paraId="055A7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7" w:type="pct"/>
                  <w:vMerge w:val="restart"/>
                  <w:tcBorders>
                    <w:tl2br w:val="nil"/>
                    <w:tr2bl w:val="nil"/>
                  </w:tcBorders>
                  <w:noWrap/>
                  <w:vAlign w:val="center"/>
                </w:tcPr>
                <w:p w14:paraId="450F1CAC">
                  <w:pPr>
                    <w:widowControl/>
                    <w:adjustRightInd w:val="0"/>
                    <w:snapToGrid w:val="0"/>
                    <w:spacing w:before="60" w:after="60"/>
                    <w:jc w:val="center"/>
                    <w:rPr>
                      <w:color w:val="auto"/>
                      <w:sz w:val="18"/>
                      <w:szCs w:val="18"/>
                    </w:rPr>
                  </w:pPr>
                  <w:r>
                    <w:rPr>
                      <w:rFonts w:hint="eastAsia"/>
                      <w:color w:val="auto"/>
                      <w:sz w:val="18"/>
                      <w:szCs w:val="18"/>
                    </w:rPr>
                    <w:t>序号</w:t>
                  </w:r>
                </w:p>
              </w:tc>
              <w:tc>
                <w:tcPr>
                  <w:tcW w:w="583" w:type="pct"/>
                  <w:vMerge w:val="restart"/>
                  <w:tcBorders>
                    <w:tl2br w:val="nil"/>
                    <w:tr2bl w:val="nil"/>
                  </w:tcBorders>
                  <w:noWrap/>
                  <w:vAlign w:val="center"/>
                </w:tcPr>
                <w:p w14:paraId="121081C6">
                  <w:pPr>
                    <w:widowControl/>
                    <w:adjustRightInd w:val="0"/>
                    <w:snapToGrid w:val="0"/>
                    <w:spacing w:before="60" w:after="60"/>
                    <w:jc w:val="center"/>
                    <w:rPr>
                      <w:color w:val="auto"/>
                      <w:sz w:val="18"/>
                      <w:szCs w:val="18"/>
                    </w:rPr>
                  </w:pPr>
                  <w:r>
                    <w:rPr>
                      <w:rFonts w:hint="eastAsia"/>
                      <w:color w:val="auto"/>
                      <w:sz w:val="18"/>
                      <w:szCs w:val="18"/>
                    </w:rPr>
                    <w:t>声源名称</w:t>
                  </w:r>
                </w:p>
              </w:tc>
              <w:tc>
                <w:tcPr>
                  <w:tcW w:w="578" w:type="pct"/>
                  <w:vMerge w:val="restart"/>
                  <w:tcBorders>
                    <w:tl2br w:val="nil"/>
                    <w:tr2bl w:val="nil"/>
                  </w:tcBorders>
                  <w:noWrap/>
                  <w:vAlign w:val="center"/>
                </w:tcPr>
                <w:p w14:paraId="38B61C30">
                  <w:pPr>
                    <w:widowControl/>
                    <w:adjustRightInd w:val="0"/>
                    <w:snapToGrid w:val="0"/>
                    <w:spacing w:before="60" w:after="60"/>
                    <w:jc w:val="center"/>
                    <w:rPr>
                      <w:rFonts w:hint="eastAsia" w:eastAsia="宋体"/>
                      <w:color w:val="auto"/>
                      <w:sz w:val="18"/>
                      <w:szCs w:val="18"/>
                      <w:lang w:eastAsia="zh-CN"/>
                    </w:rPr>
                  </w:pPr>
                  <w:r>
                    <w:rPr>
                      <w:rFonts w:hint="eastAsia"/>
                      <w:color w:val="auto"/>
                      <w:sz w:val="18"/>
                      <w:szCs w:val="18"/>
                      <w:lang w:val="en-US" w:eastAsia="zh-CN"/>
                    </w:rPr>
                    <w:t>数量</w:t>
                  </w:r>
                </w:p>
              </w:tc>
              <w:tc>
                <w:tcPr>
                  <w:tcW w:w="1524" w:type="pct"/>
                  <w:gridSpan w:val="3"/>
                  <w:tcBorders>
                    <w:tl2br w:val="nil"/>
                    <w:tr2bl w:val="nil"/>
                  </w:tcBorders>
                  <w:noWrap/>
                  <w:vAlign w:val="center"/>
                </w:tcPr>
                <w:p w14:paraId="1D460B29">
                  <w:pPr>
                    <w:widowControl/>
                    <w:adjustRightInd w:val="0"/>
                    <w:snapToGrid w:val="0"/>
                    <w:spacing w:before="60" w:after="60"/>
                    <w:jc w:val="center"/>
                    <w:rPr>
                      <w:color w:val="auto"/>
                      <w:sz w:val="18"/>
                      <w:szCs w:val="18"/>
                    </w:rPr>
                  </w:pPr>
                  <w:r>
                    <w:rPr>
                      <w:rFonts w:hint="eastAsia"/>
                      <w:color w:val="auto"/>
                      <w:sz w:val="18"/>
                      <w:szCs w:val="18"/>
                    </w:rPr>
                    <w:t>空间相对位置/m</w:t>
                  </w:r>
                </w:p>
              </w:tc>
              <w:tc>
                <w:tcPr>
                  <w:tcW w:w="519" w:type="pct"/>
                  <w:vMerge w:val="restart"/>
                  <w:tcBorders>
                    <w:tl2br w:val="nil"/>
                    <w:tr2bl w:val="nil"/>
                  </w:tcBorders>
                  <w:noWrap/>
                  <w:vAlign w:val="center"/>
                </w:tcPr>
                <w:p w14:paraId="10E7D7FB">
                  <w:pPr>
                    <w:widowControl/>
                    <w:adjustRightInd w:val="0"/>
                    <w:snapToGrid w:val="0"/>
                    <w:spacing w:before="60" w:after="60"/>
                    <w:jc w:val="center"/>
                    <w:rPr>
                      <w:color w:val="auto"/>
                      <w:sz w:val="18"/>
                      <w:szCs w:val="18"/>
                    </w:rPr>
                  </w:pPr>
                  <w:r>
                    <w:rPr>
                      <w:rFonts w:hint="eastAsia"/>
                      <w:color w:val="auto"/>
                      <w:sz w:val="18"/>
                      <w:szCs w:val="18"/>
                    </w:rPr>
                    <w:t>声源源强dB（A）</w:t>
                  </w:r>
                </w:p>
              </w:tc>
              <w:tc>
                <w:tcPr>
                  <w:tcW w:w="719" w:type="pct"/>
                  <w:vMerge w:val="restart"/>
                  <w:tcBorders>
                    <w:tl2br w:val="nil"/>
                    <w:tr2bl w:val="nil"/>
                  </w:tcBorders>
                  <w:noWrap/>
                  <w:vAlign w:val="center"/>
                </w:tcPr>
                <w:p w14:paraId="5B1AEAE5">
                  <w:pPr>
                    <w:widowControl/>
                    <w:adjustRightInd w:val="0"/>
                    <w:snapToGrid w:val="0"/>
                    <w:spacing w:before="60" w:after="60"/>
                    <w:jc w:val="center"/>
                    <w:rPr>
                      <w:color w:val="auto"/>
                      <w:sz w:val="18"/>
                      <w:szCs w:val="18"/>
                    </w:rPr>
                  </w:pPr>
                  <w:r>
                    <w:rPr>
                      <w:rFonts w:hint="eastAsia"/>
                      <w:color w:val="auto"/>
                      <w:sz w:val="18"/>
                      <w:szCs w:val="18"/>
                    </w:rPr>
                    <w:t>声源控制措施</w:t>
                  </w:r>
                </w:p>
              </w:tc>
              <w:tc>
                <w:tcPr>
                  <w:tcW w:w="758" w:type="pct"/>
                  <w:vMerge w:val="restart"/>
                  <w:tcBorders>
                    <w:tl2br w:val="nil"/>
                    <w:tr2bl w:val="nil"/>
                  </w:tcBorders>
                  <w:noWrap/>
                  <w:vAlign w:val="center"/>
                </w:tcPr>
                <w:p w14:paraId="3C7564BB">
                  <w:pPr>
                    <w:widowControl/>
                    <w:adjustRightInd w:val="0"/>
                    <w:snapToGrid w:val="0"/>
                    <w:spacing w:before="60" w:after="60"/>
                    <w:jc w:val="center"/>
                    <w:rPr>
                      <w:color w:val="auto"/>
                      <w:sz w:val="18"/>
                      <w:szCs w:val="18"/>
                    </w:rPr>
                  </w:pPr>
                  <w:r>
                    <w:rPr>
                      <w:rFonts w:hint="eastAsia"/>
                      <w:color w:val="auto"/>
                      <w:sz w:val="18"/>
                      <w:szCs w:val="18"/>
                    </w:rPr>
                    <w:t>运行时段</w:t>
                  </w:r>
                </w:p>
              </w:tc>
            </w:tr>
            <w:tr w14:paraId="3D36F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7" w:type="pct"/>
                  <w:vMerge w:val="continue"/>
                  <w:tcBorders>
                    <w:tl2br w:val="nil"/>
                    <w:tr2bl w:val="nil"/>
                  </w:tcBorders>
                  <w:noWrap/>
                  <w:vAlign w:val="center"/>
                </w:tcPr>
                <w:p w14:paraId="04F7BC0E">
                  <w:pPr>
                    <w:widowControl/>
                    <w:adjustRightInd w:val="0"/>
                    <w:snapToGrid w:val="0"/>
                    <w:spacing w:before="60" w:after="60"/>
                    <w:jc w:val="center"/>
                    <w:rPr>
                      <w:color w:val="auto"/>
                      <w:sz w:val="18"/>
                      <w:szCs w:val="18"/>
                    </w:rPr>
                  </w:pPr>
                </w:p>
              </w:tc>
              <w:tc>
                <w:tcPr>
                  <w:tcW w:w="583" w:type="pct"/>
                  <w:vMerge w:val="continue"/>
                  <w:tcBorders>
                    <w:tl2br w:val="nil"/>
                    <w:tr2bl w:val="nil"/>
                  </w:tcBorders>
                  <w:noWrap/>
                  <w:vAlign w:val="center"/>
                </w:tcPr>
                <w:p w14:paraId="22BA94C4">
                  <w:pPr>
                    <w:widowControl/>
                    <w:adjustRightInd w:val="0"/>
                    <w:snapToGrid w:val="0"/>
                    <w:spacing w:before="60" w:after="60"/>
                    <w:jc w:val="center"/>
                    <w:rPr>
                      <w:color w:val="auto"/>
                      <w:sz w:val="18"/>
                      <w:szCs w:val="18"/>
                    </w:rPr>
                  </w:pPr>
                </w:p>
              </w:tc>
              <w:tc>
                <w:tcPr>
                  <w:tcW w:w="578" w:type="pct"/>
                  <w:vMerge w:val="continue"/>
                  <w:tcBorders>
                    <w:tl2br w:val="nil"/>
                    <w:tr2bl w:val="nil"/>
                  </w:tcBorders>
                  <w:noWrap/>
                  <w:vAlign w:val="center"/>
                </w:tcPr>
                <w:p w14:paraId="2DBA0E6A">
                  <w:pPr>
                    <w:widowControl/>
                    <w:adjustRightInd w:val="0"/>
                    <w:snapToGrid w:val="0"/>
                    <w:spacing w:before="60" w:after="60"/>
                    <w:jc w:val="center"/>
                    <w:rPr>
                      <w:color w:val="auto"/>
                      <w:sz w:val="18"/>
                      <w:szCs w:val="18"/>
                    </w:rPr>
                  </w:pPr>
                </w:p>
              </w:tc>
              <w:tc>
                <w:tcPr>
                  <w:tcW w:w="474" w:type="pct"/>
                  <w:tcBorders>
                    <w:tl2br w:val="nil"/>
                    <w:tr2bl w:val="nil"/>
                  </w:tcBorders>
                  <w:noWrap/>
                  <w:vAlign w:val="center"/>
                </w:tcPr>
                <w:p w14:paraId="2EEA0746">
                  <w:pPr>
                    <w:widowControl/>
                    <w:adjustRightInd w:val="0"/>
                    <w:snapToGrid w:val="0"/>
                    <w:spacing w:before="60" w:after="60"/>
                    <w:jc w:val="center"/>
                    <w:rPr>
                      <w:color w:val="auto"/>
                      <w:sz w:val="18"/>
                      <w:szCs w:val="18"/>
                    </w:rPr>
                  </w:pPr>
                  <w:r>
                    <w:rPr>
                      <w:rFonts w:hint="eastAsia"/>
                      <w:color w:val="auto"/>
                      <w:sz w:val="18"/>
                      <w:szCs w:val="18"/>
                    </w:rPr>
                    <w:t>X</w:t>
                  </w:r>
                </w:p>
              </w:tc>
              <w:tc>
                <w:tcPr>
                  <w:tcW w:w="502" w:type="pct"/>
                  <w:tcBorders>
                    <w:tl2br w:val="nil"/>
                    <w:tr2bl w:val="nil"/>
                  </w:tcBorders>
                  <w:noWrap/>
                  <w:vAlign w:val="center"/>
                </w:tcPr>
                <w:p w14:paraId="7326FA08">
                  <w:pPr>
                    <w:widowControl/>
                    <w:adjustRightInd w:val="0"/>
                    <w:snapToGrid w:val="0"/>
                    <w:spacing w:before="60" w:after="60"/>
                    <w:jc w:val="center"/>
                    <w:rPr>
                      <w:color w:val="auto"/>
                      <w:sz w:val="18"/>
                      <w:szCs w:val="18"/>
                    </w:rPr>
                  </w:pPr>
                  <w:r>
                    <w:rPr>
                      <w:rFonts w:hint="eastAsia"/>
                      <w:color w:val="auto"/>
                      <w:sz w:val="18"/>
                      <w:szCs w:val="18"/>
                    </w:rPr>
                    <w:t>Y</w:t>
                  </w:r>
                </w:p>
              </w:tc>
              <w:tc>
                <w:tcPr>
                  <w:tcW w:w="547" w:type="pct"/>
                  <w:tcBorders>
                    <w:tl2br w:val="nil"/>
                    <w:tr2bl w:val="nil"/>
                  </w:tcBorders>
                  <w:noWrap/>
                  <w:vAlign w:val="center"/>
                </w:tcPr>
                <w:p w14:paraId="2EA68537">
                  <w:pPr>
                    <w:widowControl/>
                    <w:adjustRightInd w:val="0"/>
                    <w:snapToGrid w:val="0"/>
                    <w:spacing w:before="60" w:after="60"/>
                    <w:jc w:val="center"/>
                    <w:rPr>
                      <w:color w:val="auto"/>
                      <w:sz w:val="18"/>
                      <w:szCs w:val="18"/>
                    </w:rPr>
                  </w:pPr>
                  <w:r>
                    <w:rPr>
                      <w:rFonts w:hint="eastAsia"/>
                      <w:color w:val="auto"/>
                      <w:sz w:val="18"/>
                      <w:szCs w:val="18"/>
                    </w:rPr>
                    <w:t>Z</w:t>
                  </w:r>
                </w:p>
              </w:tc>
              <w:tc>
                <w:tcPr>
                  <w:tcW w:w="519" w:type="pct"/>
                  <w:vMerge w:val="continue"/>
                  <w:tcBorders>
                    <w:tl2br w:val="nil"/>
                    <w:tr2bl w:val="nil"/>
                  </w:tcBorders>
                  <w:noWrap/>
                  <w:vAlign w:val="center"/>
                </w:tcPr>
                <w:p w14:paraId="33E6E174">
                  <w:pPr>
                    <w:widowControl/>
                    <w:adjustRightInd w:val="0"/>
                    <w:snapToGrid w:val="0"/>
                    <w:spacing w:before="60" w:after="60"/>
                    <w:jc w:val="center"/>
                    <w:rPr>
                      <w:color w:val="auto"/>
                      <w:sz w:val="18"/>
                      <w:szCs w:val="18"/>
                    </w:rPr>
                  </w:pPr>
                </w:p>
              </w:tc>
              <w:tc>
                <w:tcPr>
                  <w:tcW w:w="719" w:type="pct"/>
                  <w:vMerge w:val="continue"/>
                  <w:tcBorders>
                    <w:tl2br w:val="nil"/>
                    <w:tr2bl w:val="nil"/>
                  </w:tcBorders>
                  <w:noWrap/>
                  <w:vAlign w:val="center"/>
                </w:tcPr>
                <w:p w14:paraId="1B57D2D5">
                  <w:pPr>
                    <w:widowControl/>
                    <w:adjustRightInd w:val="0"/>
                    <w:snapToGrid w:val="0"/>
                    <w:spacing w:before="60" w:after="60"/>
                    <w:jc w:val="center"/>
                    <w:rPr>
                      <w:color w:val="auto"/>
                      <w:sz w:val="18"/>
                      <w:szCs w:val="18"/>
                    </w:rPr>
                  </w:pPr>
                </w:p>
              </w:tc>
              <w:tc>
                <w:tcPr>
                  <w:tcW w:w="758" w:type="pct"/>
                  <w:vMerge w:val="continue"/>
                  <w:tcBorders>
                    <w:tl2br w:val="nil"/>
                    <w:tr2bl w:val="nil"/>
                  </w:tcBorders>
                  <w:noWrap/>
                  <w:vAlign w:val="center"/>
                </w:tcPr>
                <w:p w14:paraId="45CA675C">
                  <w:pPr>
                    <w:widowControl/>
                    <w:adjustRightInd w:val="0"/>
                    <w:snapToGrid w:val="0"/>
                    <w:spacing w:before="60" w:after="60"/>
                    <w:jc w:val="center"/>
                    <w:rPr>
                      <w:color w:val="auto"/>
                      <w:sz w:val="18"/>
                      <w:szCs w:val="18"/>
                    </w:rPr>
                  </w:pPr>
                </w:p>
              </w:tc>
            </w:tr>
            <w:tr w14:paraId="3C6A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7" w:type="pct"/>
                  <w:tcBorders>
                    <w:tl2br w:val="nil"/>
                    <w:tr2bl w:val="nil"/>
                  </w:tcBorders>
                  <w:noWrap/>
                  <w:vAlign w:val="center"/>
                </w:tcPr>
                <w:p w14:paraId="4157169E">
                  <w:pPr>
                    <w:widowControl/>
                    <w:adjustRightInd w:val="0"/>
                    <w:snapToGrid w:val="0"/>
                    <w:spacing w:before="60" w:after="60"/>
                    <w:jc w:val="center"/>
                    <w:rPr>
                      <w:color w:val="auto"/>
                      <w:sz w:val="18"/>
                      <w:szCs w:val="18"/>
                    </w:rPr>
                  </w:pPr>
                  <w:r>
                    <w:rPr>
                      <w:rFonts w:hint="eastAsia"/>
                      <w:color w:val="auto"/>
                      <w:sz w:val="18"/>
                      <w:szCs w:val="18"/>
                    </w:rPr>
                    <w:t>1</w:t>
                  </w:r>
                </w:p>
              </w:tc>
              <w:tc>
                <w:tcPr>
                  <w:tcW w:w="583" w:type="pct"/>
                  <w:tcBorders>
                    <w:tl2br w:val="nil"/>
                    <w:tr2bl w:val="nil"/>
                  </w:tcBorders>
                  <w:noWrap/>
                  <w:vAlign w:val="center"/>
                </w:tcPr>
                <w:p w14:paraId="114A6C44">
                  <w:pPr>
                    <w:widowControl/>
                    <w:adjustRightInd w:val="0"/>
                    <w:snapToGrid w:val="0"/>
                    <w:spacing w:before="60" w:after="60"/>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泵</w:t>
                  </w:r>
                </w:p>
              </w:tc>
              <w:tc>
                <w:tcPr>
                  <w:tcW w:w="578" w:type="pct"/>
                  <w:tcBorders>
                    <w:tl2br w:val="nil"/>
                    <w:tr2bl w:val="nil"/>
                  </w:tcBorders>
                  <w:noWrap/>
                  <w:vAlign w:val="center"/>
                </w:tcPr>
                <w:p w14:paraId="5FFE1956">
                  <w:pPr>
                    <w:widowControl/>
                    <w:adjustRightInd w:val="0"/>
                    <w:snapToGrid w:val="0"/>
                    <w:spacing w:before="60" w:after="6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2台</w:t>
                  </w:r>
                </w:p>
              </w:tc>
              <w:tc>
                <w:tcPr>
                  <w:tcW w:w="474" w:type="pct"/>
                  <w:tcBorders>
                    <w:tl2br w:val="nil"/>
                    <w:tr2bl w:val="nil"/>
                  </w:tcBorders>
                  <w:noWrap/>
                  <w:vAlign w:val="center"/>
                </w:tcPr>
                <w:p w14:paraId="24676F53">
                  <w:pPr>
                    <w:widowControl/>
                    <w:adjustRightInd w:val="0"/>
                    <w:snapToGrid w:val="0"/>
                    <w:spacing w:before="60" w:after="60"/>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40</w:t>
                  </w:r>
                </w:p>
              </w:tc>
              <w:tc>
                <w:tcPr>
                  <w:tcW w:w="502" w:type="pct"/>
                  <w:tcBorders>
                    <w:tl2br w:val="nil"/>
                    <w:tr2bl w:val="nil"/>
                  </w:tcBorders>
                  <w:noWrap/>
                  <w:vAlign w:val="center"/>
                </w:tcPr>
                <w:p w14:paraId="5339CFE0">
                  <w:pPr>
                    <w:widowControl/>
                    <w:adjustRightInd w:val="0"/>
                    <w:snapToGrid w:val="0"/>
                    <w:spacing w:before="60" w:after="60"/>
                    <w:jc w:val="center"/>
                    <w:rPr>
                      <w:rFonts w:hint="default" w:ascii="Times New Roman" w:hAnsi="Times New Roman" w:eastAsia="宋体" w:cs="Times New Roman"/>
                      <w:color w:val="auto"/>
                      <w:kern w:val="2"/>
                      <w:sz w:val="18"/>
                      <w:szCs w:val="18"/>
                      <w:lang w:val="en-US" w:eastAsia="zh-CN" w:bidi="ar-SA"/>
                    </w:rPr>
                  </w:pPr>
                  <w:r>
                    <w:rPr>
                      <w:rFonts w:hint="eastAsia"/>
                      <w:color w:val="auto"/>
                      <w:spacing w:val="-1"/>
                      <w:position w:val="4"/>
                      <w:sz w:val="18"/>
                      <w:szCs w:val="18"/>
                      <w:lang w:val="en-US" w:eastAsia="zh-CN"/>
                    </w:rPr>
                    <w:t>40</w:t>
                  </w:r>
                </w:p>
              </w:tc>
              <w:tc>
                <w:tcPr>
                  <w:tcW w:w="547" w:type="pct"/>
                  <w:tcBorders>
                    <w:tl2br w:val="nil"/>
                    <w:tr2bl w:val="nil"/>
                  </w:tcBorders>
                  <w:noWrap/>
                  <w:vAlign w:val="center"/>
                </w:tcPr>
                <w:p w14:paraId="12AC4DD4">
                  <w:pPr>
                    <w:widowControl/>
                    <w:adjustRightInd w:val="0"/>
                    <w:snapToGrid w:val="0"/>
                    <w:spacing w:before="60" w:after="60"/>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0</w:t>
                  </w:r>
                </w:p>
              </w:tc>
              <w:tc>
                <w:tcPr>
                  <w:tcW w:w="519" w:type="pct"/>
                  <w:tcBorders>
                    <w:tl2br w:val="nil"/>
                    <w:tr2bl w:val="nil"/>
                  </w:tcBorders>
                  <w:noWrap/>
                  <w:vAlign w:val="center"/>
                </w:tcPr>
                <w:p w14:paraId="090730DC">
                  <w:pPr>
                    <w:widowControl/>
                    <w:adjustRightInd w:val="0"/>
                    <w:snapToGrid w:val="0"/>
                    <w:spacing w:before="60" w:after="60"/>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8</w:t>
                  </w:r>
                  <w:r>
                    <w:rPr>
                      <w:rFonts w:hint="eastAsia"/>
                      <w:color w:val="auto"/>
                      <w:sz w:val="18"/>
                      <w:szCs w:val="18"/>
                      <w:lang w:val="en-US" w:eastAsia="zh-CN"/>
                    </w:rPr>
                    <w:t>5</w:t>
                  </w:r>
                </w:p>
              </w:tc>
              <w:tc>
                <w:tcPr>
                  <w:tcW w:w="719" w:type="pct"/>
                  <w:tcBorders>
                    <w:tl2br w:val="nil"/>
                    <w:tr2bl w:val="nil"/>
                  </w:tcBorders>
                  <w:noWrap/>
                  <w:vAlign w:val="center"/>
                </w:tcPr>
                <w:p w14:paraId="461EC722">
                  <w:pPr>
                    <w:widowControl/>
                    <w:adjustRightInd w:val="0"/>
                    <w:snapToGrid w:val="0"/>
                    <w:spacing w:before="60" w:after="60"/>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隔声措施</w:t>
                  </w:r>
                </w:p>
              </w:tc>
              <w:tc>
                <w:tcPr>
                  <w:tcW w:w="758" w:type="pct"/>
                  <w:tcBorders>
                    <w:tl2br w:val="nil"/>
                    <w:tr2bl w:val="nil"/>
                  </w:tcBorders>
                  <w:noWrap/>
                  <w:vAlign w:val="center"/>
                </w:tcPr>
                <w:p w14:paraId="58D4B20D">
                  <w:pPr>
                    <w:widowControl/>
                    <w:adjustRightInd w:val="0"/>
                    <w:snapToGrid w:val="0"/>
                    <w:spacing w:before="60" w:after="60"/>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8</w:t>
                  </w:r>
                  <w:r>
                    <w:rPr>
                      <w:rFonts w:hint="eastAsia"/>
                      <w:color w:val="auto"/>
                      <w:sz w:val="18"/>
                      <w:szCs w:val="18"/>
                    </w:rPr>
                    <w:t>:00~</w:t>
                  </w:r>
                  <w:r>
                    <w:rPr>
                      <w:rFonts w:hint="eastAsia"/>
                      <w:color w:val="auto"/>
                      <w:sz w:val="18"/>
                      <w:szCs w:val="18"/>
                      <w:lang w:val="en-US" w:eastAsia="zh-CN"/>
                    </w:rPr>
                    <w:t>17</w:t>
                  </w:r>
                  <w:r>
                    <w:rPr>
                      <w:rFonts w:hint="eastAsia"/>
                      <w:color w:val="auto"/>
                      <w:sz w:val="18"/>
                      <w:szCs w:val="18"/>
                    </w:rPr>
                    <w:t>:00</w:t>
                  </w:r>
                </w:p>
              </w:tc>
            </w:tr>
          </w:tbl>
          <w:p w14:paraId="1EE817AE">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20" w:firstLineChars="200"/>
              <w:textAlignment w:val="auto"/>
              <w:rPr>
                <w:color w:val="auto"/>
                <w:szCs w:val="21"/>
              </w:rPr>
            </w:pPr>
            <w:r>
              <w:rPr>
                <w:color w:val="auto"/>
                <w:szCs w:val="21"/>
              </w:rPr>
              <w:t>注：以建设项目</w:t>
            </w:r>
            <w:r>
              <w:rPr>
                <w:rFonts w:hint="eastAsia"/>
                <w:color w:val="auto"/>
                <w:szCs w:val="21"/>
              </w:rPr>
              <w:t>西</w:t>
            </w:r>
            <w:r>
              <w:rPr>
                <w:color w:val="auto"/>
                <w:szCs w:val="21"/>
              </w:rPr>
              <w:t>南角为坐标原点，以东西向为X轴，以南北向为Y轴</w:t>
            </w:r>
            <w:r>
              <w:rPr>
                <w:rFonts w:hint="eastAsia"/>
                <w:color w:val="auto"/>
                <w:szCs w:val="21"/>
              </w:rPr>
              <w:t>。</w:t>
            </w:r>
          </w:p>
          <w:p w14:paraId="426C8177">
            <w:pPr>
              <w:spacing w:line="360" w:lineRule="auto"/>
              <w:ind w:firstLine="482" w:firstLineChars="200"/>
              <w:rPr>
                <w:b/>
                <w:bCs/>
                <w:color w:val="auto"/>
                <w:sz w:val="24"/>
              </w:rPr>
            </w:pPr>
            <w:r>
              <w:rPr>
                <w:b/>
                <w:bCs/>
                <w:color w:val="auto"/>
                <w:sz w:val="24"/>
              </w:rPr>
              <w:t>2、声环境影响分析</w:t>
            </w:r>
          </w:p>
          <w:p w14:paraId="72E71E64">
            <w:pPr>
              <w:widowControl/>
              <w:spacing w:line="360" w:lineRule="auto"/>
              <w:ind w:firstLine="482" w:firstLineChars="200"/>
              <w:jc w:val="left"/>
              <w:rPr>
                <w:b/>
                <w:bCs/>
                <w:color w:val="auto"/>
                <w:kern w:val="0"/>
                <w:sz w:val="24"/>
              </w:rPr>
            </w:pPr>
            <w:r>
              <w:rPr>
                <w:b/>
                <w:bCs/>
                <w:color w:val="auto"/>
                <w:kern w:val="0"/>
                <w:sz w:val="24"/>
              </w:rPr>
              <w:t>（1）噪声源强分析</w:t>
            </w:r>
          </w:p>
          <w:p w14:paraId="0AE9415E">
            <w:pPr>
              <w:widowControl/>
              <w:spacing w:line="360" w:lineRule="auto"/>
              <w:ind w:firstLine="480" w:firstLineChars="200"/>
              <w:jc w:val="left"/>
              <w:rPr>
                <w:color w:val="auto"/>
                <w:kern w:val="0"/>
                <w:sz w:val="24"/>
              </w:rPr>
            </w:pPr>
            <w:r>
              <w:rPr>
                <w:color w:val="auto"/>
                <w:kern w:val="0"/>
                <w:sz w:val="24"/>
              </w:rPr>
              <w:t>项目运营期间噪声主要为设备工作噪声，噪声源强在75-</w:t>
            </w:r>
            <w:r>
              <w:rPr>
                <w:rFonts w:hint="eastAsia"/>
                <w:color w:val="auto"/>
                <w:kern w:val="0"/>
                <w:sz w:val="24"/>
              </w:rPr>
              <w:t>85</w:t>
            </w:r>
            <w:r>
              <w:rPr>
                <w:color w:val="auto"/>
                <w:kern w:val="0"/>
                <w:sz w:val="24"/>
              </w:rPr>
              <w:t>dB（A）之间。</w:t>
            </w:r>
          </w:p>
          <w:p w14:paraId="15156F0A">
            <w:pPr>
              <w:widowControl/>
              <w:spacing w:line="360" w:lineRule="auto"/>
              <w:ind w:firstLine="482" w:firstLineChars="200"/>
              <w:jc w:val="left"/>
              <w:rPr>
                <w:b/>
                <w:bCs/>
                <w:color w:val="auto"/>
                <w:kern w:val="0"/>
                <w:sz w:val="24"/>
              </w:rPr>
            </w:pPr>
            <w:r>
              <w:rPr>
                <w:b/>
                <w:bCs/>
                <w:color w:val="auto"/>
                <w:kern w:val="0"/>
                <w:sz w:val="24"/>
              </w:rPr>
              <w:t>（2）噪声防治措施</w:t>
            </w:r>
          </w:p>
          <w:p w14:paraId="3222CDC0">
            <w:pPr>
              <w:adjustRightInd w:val="0"/>
              <w:snapToGrid w:val="0"/>
              <w:spacing w:line="360" w:lineRule="auto"/>
              <w:ind w:firstLine="480" w:firstLineChars="200"/>
              <w:rPr>
                <w:color w:val="auto"/>
                <w:sz w:val="24"/>
              </w:rPr>
            </w:pPr>
            <w:r>
              <w:rPr>
                <w:rFonts w:hint="eastAsia" w:ascii="宋体" w:hAnsi="宋体" w:cs="宋体"/>
                <w:color w:val="auto"/>
                <w:sz w:val="24"/>
              </w:rPr>
              <w:t>①</w:t>
            </w:r>
            <w:r>
              <w:rPr>
                <w:color w:val="auto"/>
                <w:sz w:val="24"/>
              </w:rPr>
              <w:t>尽量选择低噪声和符合国家噪声标准的生产设备，并进行定期检修维护， 使其处于良好运行状态；对个别高噪声设备安装消声器、隔声罩等；在设备与地面之间安装减振垫，减少机械振动产生的噪声污染；</w:t>
            </w:r>
          </w:p>
          <w:p w14:paraId="71A282C8">
            <w:pPr>
              <w:widowControl/>
              <w:spacing w:line="360" w:lineRule="auto"/>
              <w:ind w:firstLine="480" w:firstLineChars="200"/>
              <w:jc w:val="left"/>
              <w:rPr>
                <w:color w:val="auto"/>
                <w:sz w:val="24"/>
              </w:rPr>
            </w:pPr>
            <w:r>
              <w:rPr>
                <w:rFonts w:hint="eastAsia" w:ascii="宋体" w:hAnsi="宋体" w:cs="宋体"/>
                <w:color w:val="auto"/>
                <w:sz w:val="24"/>
              </w:rPr>
              <w:t>②</w:t>
            </w:r>
            <w:r>
              <w:rPr>
                <w:color w:val="auto"/>
                <w:sz w:val="24"/>
              </w:rPr>
              <w:t>合理布局，合理布置厂内各功能区的位置及厂区内部设备的位置，将高噪声设备尽量安置在厂区中间位置以增加其距离衰减量，减少对周围环境的影响。</w:t>
            </w:r>
          </w:p>
          <w:p w14:paraId="780B7D14">
            <w:pPr>
              <w:widowControl/>
              <w:spacing w:line="360" w:lineRule="auto"/>
              <w:ind w:firstLine="482" w:firstLineChars="200"/>
              <w:jc w:val="left"/>
              <w:rPr>
                <w:color w:val="auto"/>
              </w:rPr>
            </w:pPr>
            <w:r>
              <w:rPr>
                <w:rFonts w:hint="default" w:ascii="Times New Roman" w:hAnsi="Times New Roman" w:cs="Times New Roman"/>
                <w:b/>
                <w:bCs/>
                <w:color w:val="auto"/>
                <w:kern w:val="0"/>
                <w:sz w:val="24"/>
              </w:rPr>
              <w:t>3、</w:t>
            </w:r>
            <w:r>
              <w:rPr>
                <w:rFonts w:hint="eastAsia" w:ascii="宋体" w:hAnsi="宋体" w:cs="宋体"/>
                <w:b/>
                <w:bCs/>
                <w:color w:val="auto"/>
                <w:kern w:val="0"/>
                <w:sz w:val="24"/>
              </w:rPr>
              <w:t>噪声影响预测</w:t>
            </w:r>
          </w:p>
          <w:p w14:paraId="5D39E2A2">
            <w:pPr>
              <w:widowControl/>
              <w:spacing w:line="360" w:lineRule="auto"/>
              <w:ind w:firstLine="480" w:firstLineChars="200"/>
              <w:jc w:val="left"/>
              <w:rPr>
                <w:color w:val="auto"/>
                <w:kern w:val="0"/>
                <w:sz w:val="24"/>
              </w:rPr>
            </w:pPr>
            <w:r>
              <w:rPr>
                <w:rFonts w:hint="eastAsia"/>
                <w:color w:val="auto"/>
                <w:kern w:val="0"/>
                <w:sz w:val="24"/>
              </w:rPr>
              <w:t xml:space="preserve">采用《环境影响评价技术导则--声环境》中的工业噪声预测模式进行预测。 </w:t>
            </w:r>
          </w:p>
          <w:p w14:paraId="72450E8B">
            <w:pPr>
              <w:widowControl/>
              <w:spacing w:line="360" w:lineRule="auto"/>
              <w:ind w:firstLine="480" w:firstLineChars="200"/>
              <w:jc w:val="left"/>
              <w:rPr>
                <w:color w:val="auto"/>
                <w:kern w:val="0"/>
                <w:sz w:val="24"/>
              </w:rPr>
            </w:pPr>
            <w:r>
              <w:rPr>
                <w:rFonts w:hint="eastAsia"/>
                <w:color w:val="auto"/>
                <w:kern w:val="0"/>
                <w:sz w:val="24"/>
              </w:rPr>
              <w:t>①计算某个室内声源在靠近围护结构处的倍频带声压级：</w:t>
            </w:r>
          </w:p>
          <w:p w14:paraId="247A7DD7">
            <w:pPr>
              <w:pStyle w:val="7"/>
              <w:ind w:firstLine="560"/>
              <w:jc w:val="center"/>
              <w:rPr>
                <w:color w:val="auto"/>
              </w:rPr>
            </w:pPr>
            <w:r>
              <w:rPr>
                <w:color w:val="auto"/>
              </w:rPr>
              <w:drawing>
                <wp:inline distT="0" distB="0" distL="114300" distR="114300">
                  <wp:extent cx="2227580" cy="629920"/>
                  <wp:effectExtent l="0" t="0" r="127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227580" cy="629920"/>
                          </a:xfrm>
                          <a:prstGeom prst="rect">
                            <a:avLst/>
                          </a:prstGeom>
                          <a:noFill/>
                          <a:ln>
                            <a:noFill/>
                          </a:ln>
                        </pic:spPr>
                      </pic:pic>
                    </a:graphicData>
                  </a:graphic>
                </wp:inline>
              </w:drawing>
            </w:r>
          </w:p>
          <w:p w14:paraId="4A80CFFB">
            <w:pPr>
              <w:widowControl/>
              <w:spacing w:line="360" w:lineRule="auto"/>
              <w:ind w:firstLine="480" w:firstLineChars="200"/>
              <w:jc w:val="left"/>
              <w:rPr>
                <w:color w:val="auto"/>
                <w:kern w:val="0"/>
                <w:sz w:val="24"/>
              </w:rPr>
            </w:pPr>
            <w:r>
              <w:rPr>
                <w:rFonts w:hint="eastAsia"/>
                <w:color w:val="auto"/>
                <w:kern w:val="0"/>
                <w:sz w:val="24"/>
              </w:rPr>
              <w:t xml:space="preserve">式中： </w:t>
            </w:r>
          </w:p>
          <w:p w14:paraId="03CA1E7D">
            <w:pPr>
              <w:widowControl/>
              <w:spacing w:line="360" w:lineRule="auto"/>
              <w:ind w:firstLine="960" w:firstLineChars="400"/>
              <w:jc w:val="left"/>
              <w:rPr>
                <w:color w:val="auto"/>
                <w:kern w:val="0"/>
                <w:sz w:val="24"/>
              </w:rPr>
            </w:pPr>
            <w:r>
              <w:rPr>
                <w:color w:val="auto"/>
                <w:kern w:val="0"/>
                <w:sz w:val="24"/>
              </w:rPr>
              <w:t>L</w:t>
            </w:r>
            <w:r>
              <w:rPr>
                <w:color w:val="auto"/>
                <w:kern w:val="0"/>
                <w:sz w:val="24"/>
                <w:vertAlign w:val="subscript"/>
              </w:rPr>
              <w:t>P1</w:t>
            </w:r>
            <w:r>
              <w:rPr>
                <w:color w:val="auto"/>
                <w:kern w:val="0"/>
                <w:sz w:val="24"/>
              </w:rPr>
              <w:t>—</w:t>
            </w:r>
            <w:r>
              <w:rPr>
                <w:rFonts w:hint="eastAsia"/>
                <w:color w:val="auto"/>
                <w:kern w:val="0"/>
                <w:sz w:val="24"/>
              </w:rPr>
              <w:t>某个室内声源在靠近围护结构处产生的倍频带声压级，</w:t>
            </w:r>
            <w:r>
              <w:rPr>
                <w:color w:val="auto"/>
                <w:kern w:val="0"/>
                <w:sz w:val="24"/>
              </w:rPr>
              <w:t>dB</w:t>
            </w:r>
            <w:r>
              <w:rPr>
                <w:rFonts w:hint="eastAsia"/>
                <w:color w:val="auto"/>
                <w:kern w:val="0"/>
                <w:sz w:val="24"/>
              </w:rPr>
              <w:t xml:space="preserve">； </w:t>
            </w:r>
          </w:p>
          <w:p w14:paraId="2A500E0D">
            <w:pPr>
              <w:widowControl/>
              <w:spacing w:line="360" w:lineRule="auto"/>
              <w:ind w:firstLine="960" w:firstLineChars="400"/>
              <w:jc w:val="left"/>
              <w:rPr>
                <w:color w:val="auto"/>
                <w:kern w:val="0"/>
                <w:sz w:val="24"/>
              </w:rPr>
            </w:pPr>
            <w:r>
              <w:rPr>
                <w:color w:val="auto"/>
                <w:kern w:val="0"/>
                <w:sz w:val="24"/>
              </w:rPr>
              <w:t>L</w:t>
            </w:r>
            <w:r>
              <w:rPr>
                <w:color w:val="auto"/>
                <w:kern w:val="0"/>
                <w:sz w:val="24"/>
                <w:vertAlign w:val="subscript"/>
              </w:rPr>
              <w:t>W</w:t>
            </w:r>
            <w:r>
              <w:rPr>
                <w:color w:val="auto"/>
                <w:kern w:val="0"/>
                <w:sz w:val="24"/>
              </w:rPr>
              <w:t>—</w:t>
            </w:r>
            <w:r>
              <w:rPr>
                <w:rFonts w:hint="eastAsia"/>
                <w:color w:val="auto"/>
                <w:kern w:val="0"/>
                <w:sz w:val="24"/>
              </w:rPr>
              <w:t>某个声源的倍频带声功率级，</w:t>
            </w:r>
            <w:r>
              <w:rPr>
                <w:color w:val="auto"/>
                <w:kern w:val="0"/>
                <w:sz w:val="24"/>
              </w:rPr>
              <w:t>dB</w:t>
            </w:r>
            <w:r>
              <w:rPr>
                <w:rFonts w:hint="eastAsia"/>
                <w:color w:val="auto"/>
                <w:kern w:val="0"/>
                <w:sz w:val="24"/>
              </w:rPr>
              <w:t xml:space="preserve">； </w:t>
            </w:r>
          </w:p>
          <w:p w14:paraId="464B68DF">
            <w:pPr>
              <w:widowControl/>
              <w:spacing w:line="360" w:lineRule="auto"/>
              <w:ind w:firstLine="960" w:firstLineChars="400"/>
              <w:jc w:val="left"/>
              <w:rPr>
                <w:color w:val="auto"/>
                <w:kern w:val="0"/>
                <w:sz w:val="24"/>
              </w:rPr>
            </w:pPr>
            <w:r>
              <w:rPr>
                <w:color w:val="auto"/>
                <w:kern w:val="0"/>
                <w:sz w:val="24"/>
              </w:rPr>
              <w:t>r—</w:t>
            </w:r>
            <w:r>
              <w:rPr>
                <w:rFonts w:hint="eastAsia"/>
                <w:color w:val="auto"/>
                <w:kern w:val="0"/>
                <w:sz w:val="24"/>
              </w:rPr>
              <w:t>声源到靠近围护结构某点处的距离，</w:t>
            </w:r>
            <w:r>
              <w:rPr>
                <w:color w:val="auto"/>
                <w:kern w:val="0"/>
                <w:sz w:val="24"/>
              </w:rPr>
              <w:t>m</w:t>
            </w:r>
            <w:r>
              <w:rPr>
                <w:rFonts w:hint="eastAsia"/>
                <w:color w:val="auto"/>
                <w:kern w:val="0"/>
                <w:sz w:val="24"/>
              </w:rPr>
              <w:t xml:space="preserve">； </w:t>
            </w:r>
          </w:p>
          <w:p w14:paraId="3BF87709">
            <w:pPr>
              <w:widowControl/>
              <w:spacing w:line="360" w:lineRule="auto"/>
              <w:ind w:firstLine="960" w:firstLineChars="400"/>
              <w:jc w:val="left"/>
              <w:rPr>
                <w:color w:val="auto"/>
                <w:kern w:val="0"/>
                <w:sz w:val="24"/>
              </w:rPr>
            </w:pPr>
            <w:r>
              <w:rPr>
                <w:color w:val="auto"/>
                <w:kern w:val="0"/>
                <w:sz w:val="24"/>
              </w:rPr>
              <w:t>R—</w:t>
            </w:r>
            <w:r>
              <w:rPr>
                <w:rFonts w:hint="eastAsia"/>
                <w:color w:val="auto"/>
                <w:kern w:val="0"/>
                <w:sz w:val="24"/>
              </w:rPr>
              <w:t>房间常数，</w:t>
            </w:r>
            <w:r>
              <w:rPr>
                <w:color w:val="auto"/>
                <w:kern w:val="0"/>
                <w:sz w:val="24"/>
              </w:rPr>
              <w:t>R=Sa/</w:t>
            </w:r>
            <w:r>
              <w:rPr>
                <w:rFonts w:hint="eastAsia"/>
                <w:color w:val="auto"/>
                <w:kern w:val="0"/>
                <w:sz w:val="24"/>
              </w:rPr>
              <w:t>（</w:t>
            </w:r>
            <w:r>
              <w:rPr>
                <w:color w:val="auto"/>
                <w:kern w:val="0"/>
                <w:sz w:val="24"/>
              </w:rPr>
              <w:t>1-a</w:t>
            </w:r>
            <w:r>
              <w:rPr>
                <w:rFonts w:hint="eastAsia"/>
                <w:color w:val="auto"/>
                <w:kern w:val="0"/>
                <w:sz w:val="24"/>
              </w:rPr>
              <w:t>），</w:t>
            </w:r>
            <w:r>
              <w:rPr>
                <w:color w:val="auto"/>
                <w:kern w:val="0"/>
                <w:sz w:val="24"/>
              </w:rPr>
              <w:t>S</w:t>
            </w:r>
            <w:r>
              <w:rPr>
                <w:rFonts w:hint="eastAsia"/>
                <w:color w:val="auto"/>
                <w:kern w:val="0"/>
                <w:sz w:val="24"/>
              </w:rPr>
              <w:t>为房间内表面积，</w:t>
            </w:r>
            <w:r>
              <w:rPr>
                <w:color w:val="auto"/>
                <w:kern w:val="0"/>
                <w:sz w:val="24"/>
              </w:rPr>
              <w:t>m</w:t>
            </w:r>
            <w:r>
              <w:rPr>
                <w:color w:val="auto"/>
                <w:kern w:val="0"/>
                <w:sz w:val="24"/>
                <w:vertAlign w:val="superscript"/>
              </w:rPr>
              <w:t>2</w:t>
            </w:r>
            <w:r>
              <w:rPr>
                <w:rFonts w:hint="eastAsia"/>
                <w:color w:val="auto"/>
                <w:kern w:val="0"/>
                <w:sz w:val="24"/>
              </w:rPr>
              <w:t>；</w:t>
            </w:r>
            <w:r>
              <w:rPr>
                <w:color w:val="auto"/>
                <w:kern w:val="0"/>
                <w:sz w:val="24"/>
              </w:rPr>
              <w:t>a</w:t>
            </w:r>
            <w:r>
              <w:rPr>
                <w:rFonts w:hint="eastAsia"/>
                <w:color w:val="auto"/>
                <w:kern w:val="0"/>
                <w:sz w:val="24"/>
              </w:rPr>
              <w:t xml:space="preserve">为平均吸声 系数。 </w:t>
            </w:r>
          </w:p>
          <w:p w14:paraId="69D47585">
            <w:pPr>
              <w:widowControl/>
              <w:spacing w:line="360" w:lineRule="auto"/>
              <w:ind w:firstLine="960" w:firstLineChars="400"/>
              <w:jc w:val="left"/>
              <w:rPr>
                <w:color w:val="auto"/>
                <w:kern w:val="0"/>
                <w:sz w:val="24"/>
              </w:rPr>
            </w:pPr>
            <w:r>
              <w:rPr>
                <w:color w:val="auto"/>
                <w:kern w:val="0"/>
                <w:sz w:val="24"/>
              </w:rPr>
              <w:t>Q—</w:t>
            </w:r>
            <w:r>
              <w:rPr>
                <w:rFonts w:hint="eastAsia"/>
                <w:color w:val="auto"/>
                <w:kern w:val="0"/>
                <w:sz w:val="24"/>
              </w:rPr>
              <w:t>指向性因数；通常对无指向性声源，当声源放在房间中心时，</w:t>
            </w:r>
            <w:r>
              <w:rPr>
                <w:color w:val="auto"/>
                <w:kern w:val="0"/>
                <w:sz w:val="24"/>
              </w:rPr>
              <w:t>Q=1</w:t>
            </w:r>
            <w:r>
              <w:rPr>
                <w:rFonts w:hint="eastAsia"/>
                <w:color w:val="auto"/>
                <w:kern w:val="0"/>
                <w:sz w:val="24"/>
              </w:rPr>
              <w:t xml:space="preserve">； </w:t>
            </w:r>
          </w:p>
          <w:p w14:paraId="69EC7572">
            <w:pPr>
              <w:widowControl/>
              <w:spacing w:line="360" w:lineRule="auto"/>
              <w:jc w:val="left"/>
              <w:rPr>
                <w:color w:val="auto"/>
                <w:kern w:val="0"/>
                <w:sz w:val="24"/>
              </w:rPr>
            </w:pPr>
            <w:r>
              <w:rPr>
                <w:rFonts w:hint="eastAsia"/>
                <w:color w:val="auto"/>
                <w:kern w:val="0"/>
                <w:sz w:val="24"/>
              </w:rPr>
              <w:t>当放在一面墙的中心时，</w:t>
            </w:r>
            <w:r>
              <w:rPr>
                <w:color w:val="auto"/>
                <w:kern w:val="0"/>
                <w:sz w:val="24"/>
              </w:rPr>
              <w:t>Q=2</w:t>
            </w:r>
            <w:r>
              <w:rPr>
                <w:rFonts w:hint="eastAsia"/>
                <w:color w:val="auto"/>
                <w:kern w:val="0"/>
                <w:sz w:val="24"/>
              </w:rPr>
              <w:t>；当放在两面墙夹角处时，</w:t>
            </w:r>
            <w:r>
              <w:rPr>
                <w:color w:val="auto"/>
                <w:kern w:val="0"/>
                <w:sz w:val="24"/>
              </w:rPr>
              <w:t>Q=4</w:t>
            </w:r>
            <w:r>
              <w:rPr>
                <w:rFonts w:hint="eastAsia"/>
                <w:color w:val="auto"/>
                <w:kern w:val="0"/>
                <w:sz w:val="24"/>
              </w:rPr>
              <w:t>；当放在三面墙夹角处时，</w:t>
            </w:r>
            <w:r>
              <w:rPr>
                <w:color w:val="auto"/>
                <w:kern w:val="0"/>
                <w:sz w:val="24"/>
              </w:rPr>
              <w:t>Q=8</w:t>
            </w:r>
            <w:r>
              <w:rPr>
                <w:rFonts w:hint="eastAsia"/>
                <w:color w:val="auto"/>
                <w:kern w:val="0"/>
                <w:sz w:val="24"/>
              </w:rPr>
              <w:t>。</w:t>
            </w:r>
          </w:p>
          <w:p w14:paraId="310637B2">
            <w:pPr>
              <w:widowControl/>
              <w:ind w:firstLine="480" w:firstLineChars="200"/>
              <w:jc w:val="left"/>
              <w:rPr>
                <w:rFonts w:ascii="宋体" w:hAnsi="宋体" w:cs="宋体"/>
                <w:color w:val="auto"/>
                <w:kern w:val="0"/>
                <w:sz w:val="24"/>
              </w:rPr>
            </w:pPr>
            <w:r>
              <w:rPr>
                <w:rFonts w:hint="eastAsia" w:ascii="宋体" w:hAnsi="宋体" w:cs="宋体"/>
                <w:color w:val="auto"/>
                <w:kern w:val="0"/>
                <w:sz w:val="24"/>
              </w:rPr>
              <w:t>②计算所有室内声源在靠近围护结构处产生的总倍频带声压级：</w:t>
            </w:r>
          </w:p>
          <w:p w14:paraId="2B708E12">
            <w:pPr>
              <w:pStyle w:val="7"/>
              <w:ind w:firstLine="560"/>
              <w:jc w:val="center"/>
              <w:rPr>
                <w:color w:val="auto"/>
              </w:rPr>
            </w:pPr>
            <w:r>
              <w:rPr>
                <w:color w:val="auto"/>
              </w:rPr>
              <w:drawing>
                <wp:inline distT="0" distB="0" distL="114300" distR="114300">
                  <wp:extent cx="2289810" cy="791845"/>
                  <wp:effectExtent l="0" t="0" r="15240" b="825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8"/>
                          <a:stretch>
                            <a:fillRect/>
                          </a:stretch>
                        </pic:blipFill>
                        <pic:spPr>
                          <a:xfrm>
                            <a:off x="0" y="0"/>
                            <a:ext cx="2289810" cy="791845"/>
                          </a:xfrm>
                          <a:prstGeom prst="rect">
                            <a:avLst/>
                          </a:prstGeom>
                          <a:noFill/>
                          <a:ln>
                            <a:noFill/>
                          </a:ln>
                        </pic:spPr>
                      </pic:pic>
                    </a:graphicData>
                  </a:graphic>
                </wp:inline>
              </w:drawing>
            </w:r>
          </w:p>
          <w:p w14:paraId="2B681CFD">
            <w:pPr>
              <w:widowControl/>
              <w:spacing w:line="360" w:lineRule="auto"/>
              <w:ind w:firstLine="480" w:firstLineChars="200"/>
              <w:jc w:val="left"/>
              <w:rPr>
                <w:color w:val="auto"/>
                <w:kern w:val="0"/>
                <w:sz w:val="24"/>
              </w:rPr>
            </w:pPr>
            <w:r>
              <w:rPr>
                <w:rFonts w:hint="eastAsia"/>
                <w:color w:val="auto"/>
                <w:kern w:val="0"/>
                <w:sz w:val="24"/>
              </w:rPr>
              <w:t xml:space="preserve">式中： </w:t>
            </w:r>
          </w:p>
          <w:p w14:paraId="21359286">
            <w:pPr>
              <w:widowControl/>
              <w:spacing w:line="360" w:lineRule="auto"/>
              <w:ind w:firstLine="960" w:firstLineChars="400"/>
              <w:jc w:val="left"/>
              <w:rPr>
                <w:color w:val="auto"/>
                <w:kern w:val="0"/>
                <w:sz w:val="24"/>
              </w:rPr>
            </w:pPr>
            <w:r>
              <w:rPr>
                <w:color w:val="auto"/>
                <w:kern w:val="0"/>
                <w:sz w:val="24"/>
              </w:rPr>
              <w:t>L</w:t>
            </w:r>
            <w:r>
              <w:rPr>
                <w:color w:val="auto"/>
                <w:kern w:val="0"/>
                <w:sz w:val="24"/>
                <w:vertAlign w:val="subscript"/>
              </w:rPr>
              <w:t>P1i</w:t>
            </w:r>
            <w:r>
              <w:rPr>
                <w:rFonts w:hint="eastAsia"/>
                <w:color w:val="auto"/>
                <w:kern w:val="0"/>
                <w:sz w:val="24"/>
                <w:lang w:eastAsia="zh-CN"/>
              </w:rPr>
              <w:t>（</w:t>
            </w:r>
            <w:r>
              <w:rPr>
                <w:color w:val="auto"/>
                <w:kern w:val="0"/>
                <w:sz w:val="24"/>
              </w:rPr>
              <w:t>T</w:t>
            </w:r>
            <w:r>
              <w:rPr>
                <w:rFonts w:hint="eastAsia"/>
                <w:color w:val="auto"/>
                <w:kern w:val="0"/>
                <w:sz w:val="24"/>
                <w:lang w:eastAsia="zh-CN"/>
              </w:rPr>
              <w:t>）</w:t>
            </w:r>
            <w:r>
              <w:rPr>
                <w:color w:val="auto"/>
                <w:kern w:val="0"/>
                <w:sz w:val="24"/>
              </w:rPr>
              <w:t>—</w:t>
            </w:r>
            <w:r>
              <w:rPr>
                <w:rFonts w:hint="eastAsia"/>
                <w:color w:val="auto"/>
                <w:kern w:val="0"/>
                <w:sz w:val="24"/>
              </w:rPr>
              <w:t>靠近围护结构处室内</w:t>
            </w:r>
            <w:r>
              <w:rPr>
                <w:color w:val="auto"/>
                <w:kern w:val="0"/>
                <w:sz w:val="24"/>
              </w:rPr>
              <w:t>N</w:t>
            </w:r>
            <w:r>
              <w:rPr>
                <w:rFonts w:hint="eastAsia"/>
                <w:color w:val="auto"/>
                <w:kern w:val="0"/>
                <w:sz w:val="24"/>
              </w:rPr>
              <w:t>个声源</w:t>
            </w:r>
            <w:r>
              <w:rPr>
                <w:color w:val="auto"/>
                <w:kern w:val="0"/>
                <w:sz w:val="24"/>
              </w:rPr>
              <w:t>i</w:t>
            </w:r>
            <w:r>
              <w:rPr>
                <w:rFonts w:hint="eastAsia"/>
                <w:color w:val="auto"/>
                <w:kern w:val="0"/>
                <w:sz w:val="24"/>
              </w:rPr>
              <w:t>倍频带的叠加声压级，</w:t>
            </w:r>
            <w:r>
              <w:rPr>
                <w:color w:val="auto"/>
                <w:kern w:val="0"/>
                <w:sz w:val="24"/>
              </w:rPr>
              <w:t>dB</w:t>
            </w:r>
            <w:r>
              <w:rPr>
                <w:rFonts w:hint="eastAsia"/>
                <w:color w:val="auto"/>
                <w:kern w:val="0"/>
                <w:sz w:val="24"/>
              </w:rPr>
              <w:t xml:space="preserve">； </w:t>
            </w:r>
          </w:p>
          <w:p w14:paraId="6A3729B6">
            <w:pPr>
              <w:widowControl/>
              <w:spacing w:line="360" w:lineRule="auto"/>
              <w:ind w:firstLine="960" w:firstLineChars="400"/>
              <w:jc w:val="left"/>
              <w:rPr>
                <w:color w:val="auto"/>
                <w:kern w:val="0"/>
                <w:sz w:val="24"/>
              </w:rPr>
            </w:pPr>
            <w:r>
              <w:rPr>
                <w:color w:val="auto"/>
                <w:kern w:val="0"/>
                <w:sz w:val="24"/>
              </w:rPr>
              <w:t>L</w:t>
            </w:r>
            <w:r>
              <w:rPr>
                <w:color w:val="auto"/>
                <w:kern w:val="0"/>
                <w:sz w:val="24"/>
                <w:vertAlign w:val="subscript"/>
              </w:rPr>
              <w:t>P1ij</w:t>
            </w:r>
            <w:r>
              <w:rPr>
                <w:color w:val="auto"/>
                <w:kern w:val="0"/>
                <w:sz w:val="24"/>
              </w:rPr>
              <w:t>—</w:t>
            </w:r>
            <w:r>
              <w:rPr>
                <w:rFonts w:hint="eastAsia"/>
                <w:color w:val="auto"/>
                <w:kern w:val="0"/>
                <w:sz w:val="24"/>
              </w:rPr>
              <w:t>室内</w:t>
            </w:r>
            <w:r>
              <w:rPr>
                <w:color w:val="auto"/>
                <w:kern w:val="0"/>
                <w:sz w:val="24"/>
              </w:rPr>
              <w:t>j</w:t>
            </w:r>
            <w:r>
              <w:rPr>
                <w:rFonts w:hint="eastAsia"/>
                <w:color w:val="auto"/>
                <w:kern w:val="0"/>
                <w:sz w:val="24"/>
              </w:rPr>
              <w:t>声源</w:t>
            </w:r>
            <w:r>
              <w:rPr>
                <w:color w:val="auto"/>
                <w:kern w:val="0"/>
                <w:sz w:val="24"/>
              </w:rPr>
              <w:t>i</w:t>
            </w:r>
            <w:r>
              <w:rPr>
                <w:rFonts w:hint="eastAsia"/>
                <w:color w:val="auto"/>
                <w:kern w:val="0"/>
                <w:sz w:val="24"/>
              </w:rPr>
              <w:t>倍频带的声压级，</w:t>
            </w:r>
            <w:r>
              <w:rPr>
                <w:color w:val="auto"/>
                <w:kern w:val="0"/>
                <w:sz w:val="24"/>
              </w:rPr>
              <w:t>dB</w:t>
            </w:r>
            <w:r>
              <w:rPr>
                <w:rFonts w:hint="eastAsia"/>
                <w:color w:val="auto"/>
                <w:kern w:val="0"/>
                <w:sz w:val="24"/>
              </w:rPr>
              <w:t xml:space="preserve">； </w:t>
            </w:r>
          </w:p>
          <w:p w14:paraId="72EEFAB2">
            <w:pPr>
              <w:widowControl/>
              <w:spacing w:line="360" w:lineRule="auto"/>
              <w:ind w:firstLine="960" w:firstLineChars="400"/>
              <w:jc w:val="left"/>
              <w:rPr>
                <w:color w:val="auto"/>
                <w:kern w:val="0"/>
                <w:sz w:val="24"/>
              </w:rPr>
            </w:pPr>
            <w:r>
              <w:rPr>
                <w:color w:val="auto"/>
                <w:kern w:val="0"/>
                <w:sz w:val="24"/>
              </w:rPr>
              <w:t>N—</w:t>
            </w:r>
            <w:r>
              <w:rPr>
                <w:rFonts w:hint="eastAsia"/>
                <w:color w:val="auto"/>
                <w:kern w:val="0"/>
                <w:sz w:val="24"/>
              </w:rPr>
              <w:t xml:space="preserve">室内声源总数。 </w:t>
            </w:r>
          </w:p>
          <w:p w14:paraId="2A782125">
            <w:pPr>
              <w:widowControl/>
              <w:spacing w:line="360" w:lineRule="auto"/>
              <w:ind w:firstLine="480" w:firstLineChars="200"/>
              <w:jc w:val="left"/>
              <w:rPr>
                <w:color w:val="auto"/>
                <w:kern w:val="0"/>
                <w:sz w:val="24"/>
              </w:rPr>
            </w:pPr>
            <w:r>
              <w:rPr>
                <w:rFonts w:hint="eastAsia"/>
                <w:color w:val="auto"/>
                <w:kern w:val="0"/>
                <w:sz w:val="24"/>
              </w:rPr>
              <w:t>③计算室外靠近围护结构处的声压级：</w:t>
            </w:r>
          </w:p>
          <w:p w14:paraId="6EA07863">
            <w:pPr>
              <w:pStyle w:val="7"/>
              <w:ind w:firstLine="0" w:firstLineChars="0"/>
              <w:jc w:val="center"/>
              <w:rPr>
                <w:rFonts w:hint="eastAsia" w:eastAsia="宋体"/>
                <w:color w:val="auto"/>
                <w:lang w:eastAsia="zh-CN"/>
              </w:rPr>
            </w:pPr>
            <w:r>
              <w:rPr>
                <w:rFonts w:hint="eastAsia"/>
                <w:i/>
                <w:iCs/>
                <w:color w:val="auto"/>
              </w:rPr>
              <w:t>L</w:t>
            </w:r>
            <w:r>
              <w:rPr>
                <w:rFonts w:hint="eastAsia"/>
                <w:i/>
                <w:iCs/>
                <w:color w:val="auto"/>
                <w:vertAlign w:val="subscript"/>
              </w:rPr>
              <w:t>P2i</w:t>
            </w:r>
            <w:r>
              <w:rPr>
                <w:rFonts w:hint="eastAsia"/>
                <w:color w:val="auto"/>
                <w:lang w:eastAsia="zh-CN"/>
              </w:rPr>
              <w:t>（</w:t>
            </w:r>
            <w:r>
              <w:rPr>
                <w:rFonts w:hint="eastAsia"/>
                <w:color w:val="auto"/>
              </w:rPr>
              <w:t>T</w:t>
            </w:r>
            <w:r>
              <w:rPr>
                <w:rFonts w:hint="eastAsia"/>
                <w:color w:val="auto"/>
                <w:lang w:eastAsia="zh-CN"/>
              </w:rPr>
              <w:t>）</w:t>
            </w:r>
            <w:r>
              <w:rPr>
                <w:rFonts w:hint="eastAsia"/>
                <w:color w:val="auto"/>
              </w:rPr>
              <w:t>=</w:t>
            </w:r>
            <w:r>
              <w:rPr>
                <w:rFonts w:hint="eastAsia"/>
                <w:i/>
                <w:iCs/>
                <w:color w:val="auto"/>
              </w:rPr>
              <w:t>L</w:t>
            </w:r>
            <w:r>
              <w:rPr>
                <w:rFonts w:hint="eastAsia"/>
                <w:i/>
                <w:iCs/>
                <w:color w:val="auto"/>
                <w:vertAlign w:val="subscript"/>
              </w:rPr>
              <w:t>p1i</w:t>
            </w:r>
            <w:r>
              <w:rPr>
                <w:rFonts w:hint="eastAsia"/>
                <w:color w:val="auto"/>
                <w:lang w:eastAsia="zh-CN"/>
              </w:rPr>
              <w:t>（</w:t>
            </w:r>
            <w:r>
              <w:rPr>
                <w:rFonts w:hint="eastAsia"/>
                <w:color w:val="auto"/>
              </w:rPr>
              <w:t>T</w:t>
            </w:r>
            <w:r>
              <w:rPr>
                <w:rFonts w:hint="eastAsia"/>
                <w:color w:val="auto"/>
                <w:lang w:eastAsia="zh-CN"/>
              </w:rPr>
              <w:t>）</w:t>
            </w:r>
            <w:r>
              <w:rPr>
                <w:rFonts w:hint="eastAsia"/>
                <w:color w:val="auto"/>
              </w:rPr>
              <w:t xml:space="preserve"> - </w:t>
            </w:r>
            <w:r>
              <w:rPr>
                <w:rFonts w:hint="eastAsia"/>
                <w:color w:val="auto"/>
                <w:lang w:eastAsia="zh-CN"/>
              </w:rPr>
              <w:t>（</w:t>
            </w:r>
            <w:r>
              <w:rPr>
                <w:rFonts w:hint="eastAsia"/>
                <w:i/>
                <w:iCs/>
                <w:color w:val="auto"/>
              </w:rPr>
              <w:t>TL</w:t>
            </w:r>
            <w:r>
              <w:rPr>
                <w:rFonts w:hint="eastAsia"/>
                <w:i/>
                <w:iCs/>
                <w:color w:val="auto"/>
                <w:vertAlign w:val="subscript"/>
              </w:rPr>
              <w:t>i</w:t>
            </w:r>
            <w:r>
              <w:rPr>
                <w:rFonts w:hint="eastAsia"/>
                <w:color w:val="auto"/>
              </w:rPr>
              <w:t>+6</w:t>
            </w:r>
            <w:r>
              <w:rPr>
                <w:rFonts w:hint="eastAsia"/>
                <w:color w:val="auto"/>
                <w:lang w:eastAsia="zh-CN"/>
              </w:rPr>
              <w:t>）</w:t>
            </w:r>
          </w:p>
          <w:p w14:paraId="459FF7D2">
            <w:pPr>
              <w:widowControl/>
              <w:spacing w:line="360" w:lineRule="auto"/>
              <w:ind w:firstLine="480" w:firstLineChars="200"/>
              <w:jc w:val="left"/>
              <w:rPr>
                <w:color w:val="auto"/>
                <w:kern w:val="0"/>
                <w:sz w:val="24"/>
              </w:rPr>
            </w:pPr>
            <w:r>
              <w:rPr>
                <w:rFonts w:hint="eastAsia"/>
                <w:color w:val="auto"/>
                <w:kern w:val="0"/>
                <w:sz w:val="24"/>
              </w:rPr>
              <w:t xml:space="preserve">式中： </w:t>
            </w:r>
          </w:p>
          <w:p w14:paraId="596D8787">
            <w:pPr>
              <w:widowControl/>
              <w:spacing w:line="360" w:lineRule="auto"/>
              <w:ind w:firstLine="960" w:firstLineChars="400"/>
              <w:jc w:val="left"/>
              <w:rPr>
                <w:color w:val="auto"/>
                <w:kern w:val="0"/>
                <w:sz w:val="24"/>
              </w:rPr>
            </w:pPr>
            <w:r>
              <w:rPr>
                <w:color w:val="auto"/>
                <w:kern w:val="0"/>
                <w:sz w:val="24"/>
              </w:rPr>
              <w:t>L</w:t>
            </w:r>
            <w:r>
              <w:rPr>
                <w:color w:val="auto"/>
                <w:kern w:val="0"/>
                <w:sz w:val="24"/>
                <w:vertAlign w:val="subscript"/>
              </w:rPr>
              <w:t>P2i</w:t>
            </w:r>
            <w:r>
              <w:rPr>
                <w:rFonts w:hint="eastAsia"/>
                <w:color w:val="auto"/>
                <w:kern w:val="0"/>
                <w:sz w:val="24"/>
                <w:lang w:eastAsia="zh-CN"/>
              </w:rPr>
              <w:t>（</w:t>
            </w:r>
            <w:r>
              <w:rPr>
                <w:color w:val="auto"/>
                <w:kern w:val="0"/>
                <w:sz w:val="24"/>
              </w:rPr>
              <w:t>T</w:t>
            </w:r>
            <w:r>
              <w:rPr>
                <w:rFonts w:hint="eastAsia"/>
                <w:color w:val="auto"/>
                <w:kern w:val="0"/>
                <w:sz w:val="24"/>
                <w:lang w:eastAsia="zh-CN"/>
              </w:rPr>
              <w:t>）</w:t>
            </w:r>
            <w:r>
              <w:rPr>
                <w:color w:val="auto"/>
                <w:kern w:val="0"/>
                <w:sz w:val="24"/>
              </w:rPr>
              <w:t>—</w:t>
            </w:r>
            <w:r>
              <w:rPr>
                <w:rFonts w:hint="eastAsia"/>
                <w:color w:val="auto"/>
                <w:kern w:val="0"/>
                <w:sz w:val="24"/>
              </w:rPr>
              <w:t>靠近围护结构处室外</w:t>
            </w:r>
            <w:r>
              <w:rPr>
                <w:color w:val="auto"/>
                <w:kern w:val="0"/>
                <w:sz w:val="24"/>
              </w:rPr>
              <w:t>N</w:t>
            </w:r>
            <w:r>
              <w:rPr>
                <w:rFonts w:hint="eastAsia"/>
                <w:color w:val="auto"/>
                <w:kern w:val="0"/>
                <w:sz w:val="24"/>
              </w:rPr>
              <w:t>个声源</w:t>
            </w:r>
            <w:r>
              <w:rPr>
                <w:color w:val="auto"/>
                <w:kern w:val="0"/>
                <w:sz w:val="24"/>
              </w:rPr>
              <w:t>i</w:t>
            </w:r>
            <w:r>
              <w:rPr>
                <w:rFonts w:hint="eastAsia"/>
                <w:color w:val="auto"/>
                <w:kern w:val="0"/>
                <w:sz w:val="24"/>
              </w:rPr>
              <w:t>倍频带的叠加声压级，</w:t>
            </w:r>
            <w:r>
              <w:rPr>
                <w:color w:val="auto"/>
                <w:kern w:val="0"/>
                <w:sz w:val="24"/>
              </w:rPr>
              <w:t>dB</w:t>
            </w:r>
            <w:r>
              <w:rPr>
                <w:rFonts w:hint="eastAsia"/>
                <w:color w:val="auto"/>
                <w:kern w:val="0"/>
                <w:sz w:val="24"/>
              </w:rPr>
              <w:t xml:space="preserve">； </w:t>
            </w:r>
          </w:p>
          <w:p w14:paraId="77E8DC31">
            <w:pPr>
              <w:widowControl/>
              <w:spacing w:line="360" w:lineRule="auto"/>
              <w:ind w:firstLine="960" w:firstLineChars="400"/>
              <w:jc w:val="left"/>
              <w:rPr>
                <w:color w:val="auto"/>
                <w:kern w:val="0"/>
                <w:sz w:val="24"/>
              </w:rPr>
            </w:pPr>
            <w:r>
              <w:rPr>
                <w:color w:val="auto"/>
                <w:kern w:val="0"/>
                <w:sz w:val="24"/>
              </w:rPr>
              <w:t>TL</w:t>
            </w:r>
            <w:r>
              <w:rPr>
                <w:color w:val="auto"/>
                <w:kern w:val="0"/>
                <w:sz w:val="24"/>
                <w:vertAlign w:val="subscript"/>
              </w:rPr>
              <w:t>i</w:t>
            </w:r>
            <w:r>
              <w:rPr>
                <w:color w:val="auto"/>
                <w:kern w:val="0"/>
                <w:sz w:val="24"/>
              </w:rPr>
              <w:t>—</w:t>
            </w:r>
            <w:r>
              <w:rPr>
                <w:rFonts w:hint="eastAsia"/>
                <w:color w:val="auto"/>
                <w:kern w:val="0"/>
                <w:sz w:val="24"/>
              </w:rPr>
              <w:t>围护结构</w:t>
            </w:r>
            <w:r>
              <w:rPr>
                <w:color w:val="auto"/>
                <w:kern w:val="0"/>
                <w:sz w:val="24"/>
              </w:rPr>
              <w:t>i</w:t>
            </w:r>
            <w:r>
              <w:rPr>
                <w:rFonts w:hint="eastAsia"/>
                <w:color w:val="auto"/>
                <w:kern w:val="0"/>
                <w:sz w:val="24"/>
              </w:rPr>
              <w:t>倍频带的隔声量，</w:t>
            </w:r>
            <w:r>
              <w:rPr>
                <w:color w:val="auto"/>
                <w:kern w:val="0"/>
                <w:sz w:val="24"/>
              </w:rPr>
              <w:t>dB</w:t>
            </w:r>
            <w:r>
              <w:rPr>
                <w:rFonts w:hint="eastAsia"/>
                <w:color w:val="auto"/>
                <w:kern w:val="0"/>
                <w:sz w:val="24"/>
              </w:rPr>
              <w:t xml:space="preserve">。 </w:t>
            </w:r>
          </w:p>
          <w:p w14:paraId="70C42076">
            <w:pPr>
              <w:widowControl/>
              <w:spacing w:line="360" w:lineRule="auto"/>
              <w:ind w:firstLine="480" w:firstLineChars="200"/>
              <w:jc w:val="left"/>
              <w:rPr>
                <w:color w:val="auto"/>
                <w:kern w:val="0"/>
                <w:sz w:val="24"/>
              </w:rPr>
            </w:pPr>
            <w:r>
              <w:rPr>
                <w:rFonts w:hint="eastAsia"/>
                <w:color w:val="auto"/>
                <w:kern w:val="0"/>
                <w:sz w:val="24"/>
              </w:rPr>
              <w:t xml:space="preserve">④将室外声级 </w:t>
            </w:r>
            <w:r>
              <w:rPr>
                <w:color w:val="auto"/>
                <w:kern w:val="0"/>
                <w:sz w:val="24"/>
              </w:rPr>
              <w:t>LP2</w:t>
            </w:r>
            <w:r>
              <w:rPr>
                <w:rFonts w:hint="eastAsia"/>
                <w:color w:val="auto"/>
                <w:kern w:val="0"/>
                <w:sz w:val="24"/>
                <w:lang w:eastAsia="zh-CN"/>
              </w:rPr>
              <w:t>（</w:t>
            </w:r>
            <w:r>
              <w:rPr>
                <w:color w:val="auto"/>
                <w:kern w:val="0"/>
                <w:sz w:val="24"/>
              </w:rPr>
              <w:t>T</w:t>
            </w:r>
            <w:r>
              <w:rPr>
                <w:rFonts w:hint="eastAsia"/>
                <w:color w:val="auto"/>
                <w:kern w:val="0"/>
                <w:sz w:val="24"/>
                <w:lang w:eastAsia="zh-CN"/>
              </w:rPr>
              <w:t>）</w:t>
            </w:r>
            <w:r>
              <w:rPr>
                <w:rFonts w:hint="eastAsia"/>
                <w:color w:val="auto"/>
                <w:kern w:val="0"/>
                <w:sz w:val="24"/>
              </w:rPr>
              <w:t>和透声面积换算成等效的室外声源，计算等效的室外声源</w:t>
            </w:r>
            <w:r>
              <w:rPr>
                <w:rFonts w:hint="eastAsia"/>
                <w:color w:val="auto"/>
                <w:kern w:val="0"/>
                <w:sz w:val="24"/>
                <w:lang w:eastAsia="zh-CN"/>
              </w:rPr>
              <w:t>（</w:t>
            </w:r>
            <w:r>
              <w:rPr>
                <w:color w:val="auto"/>
                <w:kern w:val="0"/>
                <w:sz w:val="24"/>
              </w:rPr>
              <w:t>Lw</w:t>
            </w:r>
            <w:r>
              <w:rPr>
                <w:rFonts w:hint="eastAsia"/>
                <w:color w:val="auto"/>
                <w:kern w:val="0"/>
                <w:sz w:val="24"/>
                <w:lang w:eastAsia="zh-CN"/>
              </w:rPr>
              <w:t>）</w:t>
            </w:r>
            <w:r>
              <w:rPr>
                <w:rFonts w:hint="eastAsia"/>
                <w:color w:val="auto"/>
                <w:kern w:val="0"/>
                <w:sz w:val="24"/>
              </w:rPr>
              <w:t>：</w:t>
            </w:r>
          </w:p>
          <w:p w14:paraId="011CB28B">
            <w:pPr>
              <w:widowControl/>
              <w:spacing w:line="360" w:lineRule="auto"/>
              <w:ind w:firstLine="560" w:firstLineChars="200"/>
              <w:jc w:val="center"/>
              <w:rPr>
                <w:color w:val="auto"/>
                <w:kern w:val="0"/>
                <w:sz w:val="28"/>
                <w:szCs w:val="28"/>
              </w:rPr>
            </w:pPr>
            <w:r>
              <w:rPr>
                <w:rFonts w:hint="eastAsia"/>
                <w:i/>
                <w:iCs/>
                <w:color w:val="auto"/>
                <w:kern w:val="0"/>
                <w:sz w:val="28"/>
                <w:szCs w:val="28"/>
              </w:rPr>
              <w:t>L</w:t>
            </w:r>
            <w:r>
              <w:rPr>
                <w:rFonts w:hint="eastAsia"/>
                <w:i/>
                <w:iCs/>
                <w:color w:val="auto"/>
                <w:kern w:val="0"/>
                <w:sz w:val="28"/>
                <w:szCs w:val="28"/>
                <w:vertAlign w:val="subscript"/>
              </w:rPr>
              <w:t xml:space="preserve">W </w:t>
            </w:r>
            <w:r>
              <w:rPr>
                <w:rFonts w:hint="eastAsia"/>
                <w:color w:val="auto"/>
                <w:kern w:val="0"/>
                <w:sz w:val="28"/>
                <w:szCs w:val="28"/>
              </w:rPr>
              <w:t xml:space="preserve">= </w:t>
            </w:r>
            <w:r>
              <w:rPr>
                <w:rFonts w:hint="eastAsia"/>
                <w:i/>
                <w:iCs/>
                <w:color w:val="auto"/>
                <w:kern w:val="0"/>
                <w:sz w:val="28"/>
                <w:szCs w:val="28"/>
              </w:rPr>
              <w:t>L</w:t>
            </w:r>
            <w:r>
              <w:rPr>
                <w:rFonts w:hint="eastAsia"/>
                <w:i/>
                <w:iCs/>
                <w:color w:val="auto"/>
                <w:kern w:val="0"/>
                <w:sz w:val="28"/>
                <w:szCs w:val="28"/>
                <w:vertAlign w:val="subscript"/>
              </w:rPr>
              <w:t>P2</w:t>
            </w:r>
            <w:r>
              <w:rPr>
                <w:rFonts w:hint="eastAsia"/>
                <w:color w:val="auto"/>
                <w:kern w:val="0"/>
                <w:sz w:val="28"/>
                <w:szCs w:val="28"/>
                <w:lang w:eastAsia="zh-CN"/>
              </w:rPr>
              <w:t>（</w:t>
            </w:r>
            <w:r>
              <w:rPr>
                <w:rFonts w:hint="eastAsia"/>
                <w:i/>
                <w:iCs/>
                <w:color w:val="auto"/>
                <w:kern w:val="0"/>
                <w:sz w:val="28"/>
                <w:szCs w:val="28"/>
              </w:rPr>
              <w:t>T</w:t>
            </w:r>
            <w:r>
              <w:rPr>
                <w:rFonts w:hint="eastAsia"/>
                <w:color w:val="auto"/>
                <w:kern w:val="0"/>
                <w:sz w:val="28"/>
                <w:szCs w:val="28"/>
                <w:lang w:eastAsia="zh-CN"/>
              </w:rPr>
              <w:t>）</w:t>
            </w:r>
            <w:r>
              <w:rPr>
                <w:rFonts w:hint="eastAsia"/>
                <w:color w:val="auto"/>
                <w:kern w:val="0"/>
                <w:sz w:val="28"/>
                <w:szCs w:val="28"/>
              </w:rPr>
              <w:t xml:space="preserve"> + 10lg</w:t>
            </w:r>
            <w:r>
              <w:rPr>
                <w:rFonts w:hint="eastAsia"/>
                <w:i/>
                <w:iCs/>
                <w:color w:val="auto"/>
                <w:kern w:val="0"/>
                <w:sz w:val="28"/>
                <w:szCs w:val="28"/>
              </w:rPr>
              <w:t>S</w:t>
            </w:r>
          </w:p>
          <w:p w14:paraId="45A8B230">
            <w:pPr>
              <w:spacing w:line="360" w:lineRule="auto"/>
              <w:ind w:firstLine="480" w:firstLineChars="200"/>
              <w:rPr>
                <w:color w:val="auto"/>
                <w:sz w:val="24"/>
              </w:rPr>
            </w:pPr>
            <w:r>
              <w:rPr>
                <w:color w:val="auto"/>
                <w:sz w:val="24"/>
              </w:rPr>
              <w:t xml:space="preserve">式中： </w:t>
            </w:r>
          </w:p>
          <w:p w14:paraId="3AD8853A">
            <w:pPr>
              <w:spacing w:line="360" w:lineRule="auto"/>
              <w:ind w:firstLine="1200" w:firstLineChars="500"/>
              <w:rPr>
                <w:color w:val="auto"/>
                <w:sz w:val="24"/>
              </w:rPr>
            </w:pPr>
            <w:r>
              <w:rPr>
                <w:color w:val="auto"/>
                <w:sz w:val="24"/>
              </w:rPr>
              <w:t>S—透声面积，m</w:t>
            </w:r>
            <w:r>
              <w:rPr>
                <w:color w:val="auto"/>
                <w:sz w:val="24"/>
                <w:vertAlign w:val="superscript"/>
              </w:rPr>
              <w:t>2</w:t>
            </w:r>
            <w:r>
              <w:rPr>
                <w:color w:val="auto"/>
                <w:sz w:val="24"/>
              </w:rPr>
              <w:t xml:space="preserve">。 </w:t>
            </w:r>
          </w:p>
          <w:p w14:paraId="73DD0096">
            <w:pPr>
              <w:spacing w:line="360" w:lineRule="auto"/>
              <w:ind w:firstLine="480" w:firstLineChars="200"/>
              <w:rPr>
                <w:color w:val="auto"/>
                <w:sz w:val="24"/>
              </w:rPr>
            </w:pPr>
            <w:r>
              <w:rPr>
                <w:color w:val="auto"/>
                <w:sz w:val="24"/>
              </w:rPr>
              <w:t xml:space="preserve">⑤然后按室外声源预测方法计算预测点处的 A 声级。 </w:t>
            </w:r>
          </w:p>
          <w:p w14:paraId="263C2FDE">
            <w:pPr>
              <w:spacing w:line="360" w:lineRule="auto"/>
              <w:ind w:firstLine="480" w:firstLineChars="200"/>
              <w:rPr>
                <w:color w:val="auto"/>
                <w:sz w:val="24"/>
              </w:rPr>
            </w:pPr>
            <w:r>
              <w:rPr>
                <w:color w:val="auto"/>
                <w:sz w:val="24"/>
              </w:rPr>
              <w:t>⑥无指向性点声源几何发散衰减的基本公式：</w:t>
            </w:r>
          </w:p>
          <w:p w14:paraId="3823A168">
            <w:pPr>
              <w:pStyle w:val="7"/>
              <w:spacing w:line="360" w:lineRule="auto"/>
              <w:ind w:firstLine="0" w:firstLineChars="0"/>
              <w:jc w:val="center"/>
              <w:rPr>
                <w:rFonts w:hint="eastAsia" w:eastAsia="宋体"/>
                <w:color w:val="auto"/>
                <w:szCs w:val="28"/>
                <w:lang w:eastAsia="zh-CN"/>
              </w:rPr>
            </w:pPr>
            <w:r>
              <w:rPr>
                <w:i/>
                <w:iCs/>
                <w:color w:val="auto"/>
                <w:szCs w:val="28"/>
              </w:rPr>
              <w:t>L</w:t>
            </w:r>
            <w:r>
              <w:rPr>
                <w:i/>
                <w:iCs/>
                <w:color w:val="auto"/>
                <w:szCs w:val="28"/>
                <w:vertAlign w:val="subscript"/>
              </w:rPr>
              <w:t>P</w:t>
            </w:r>
            <w:r>
              <w:rPr>
                <w:rFonts w:hint="eastAsia"/>
                <w:color w:val="auto"/>
                <w:szCs w:val="28"/>
                <w:lang w:eastAsia="zh-CN"/>
              </w:rPr>
              <w:t>（</w:t>
            </w:r>
            <w:r>
              <w:rPr>
                <w:i/>
                <w:iCs/>
                <w:color w:val="auto"/>
                <w:szCs w:val="28"/>
              </w:rPr>
              <w:t>r</w:t>
            </w:r>
            <w:r>
              <w:rPr>
                <w:rFonts w:hint="eastAsia"/>
                <w:color w:val="auto"/>
                <w:szCs w:val="28"/>
                <w:lang w:eastAsia="zh-CN"/>
              </w:rPr>
              <w:t>）</w:t>
            </w:r>
            <w:r>
              <w:rPr>
                <w:color w:val="auto"/>
                <w:szCs w:val="28"/>
              </w:rPr>
              <w:t xml:space="preserve"> = </w:t>
            </w:r>
            <w:r>
              <w:rPr>
                <w:i/>
                <w:iCs/>
                <w:color w:val="auto"/>
                <w:szCs w:val="28"/>
              </w:rPr>
              <w:t>L</w:t>
            </w:r>
            <w:r>
              <w:rPr>
                <w:i/>
                <w:iCs/>
                <w:color w:val="auto"/>
                <w:szCs w:val="28"/>
                <w:vertAlign w:val="subscript"/>
              </w:rPr>
              <w:t>P</w:t>
            </w:r>
            <w:r>
              <w:rPr>
                <w:rFonts w:hint="eastAsia"/>
                <w:color w:val="auto"/>
                <w:szCs w:val="28"/>
                <w:lang w:eastAsia="zh-CN"/>
              </w:rPr>
              <w:t>（</w:t>
            </w:r>
            <w:r>
              <w:rPr>
                <w:i/>
                <w:iCs/>
                <w:color w:val="auto"/>
                <w:szCs w:val="28"/>
              </w:rPr>
              <w:t>r</w:t>
            </w:r>
            <w:r>
              <w:rPr>
                <w:i/>
                <w:iCs/>
                <w:color w:val="auto"/>
                <w:szCs w:val="28"/>
                <w:vertAlign w:val="subscript"/>
              </w:rPr>
              <w:t>0</w:t>
            </w:r>
            <w:r>
              <w:rPr>
                <w:rFonts w:hint="eastAsia"/>
                <w:color w:val="auto"/>
                <w:szCs w:val="28"/>
                <w:lang w:eastAsia="zh-CN"/>
              </w:rPr>
              <w:t>）</w:t>
            </w:r>
            <w:r>
              <w:rPr>
                <w:color w:val="auto"/>
                <w:szCs w:val="28"/>
              </w:rPr>
              <w:t xml:space="preserve"> - 20lg</w:t>
            </w:r>
            <w:r>
              <w:rPr>
                <w:rFonts w:hint="eastAsia"/>
                <w:color w:val="auto"/>
                <w:szCs w:val="28"/>
                <w:lang w:eastAsia="zh-CN"/>
              </w:rPr>
              <w:t>（</w:t>
            </w:r>
            <w:r>
              <w:rPr>
                <w:i/>
                <w:iCs/>
                <w:color w:val="auto"/>
                <w:szCs w:val="28"/>
              </w:rPr>
              <w:t>r</w:t>
            </w:r>
            <w:r>
              <w:rPr>
                <w:color w:val="auto"/>
                <w:szCs w:val="28"/>
              </w:rPr>
              <w:t>/</w:t>
            </w:r>
            <w:r>
              <w:rPr>
                <w:i/>
                <w:iCs/>
                <w:color w:val="auto"/>
                <w:szCs w:val="28"/>
              </w:rPr>
              <w:t>r</w:t>
            </w:r>
            <w:r>
              <w:rPr>
                <w:i/>
                <w:iCs/>
                <w:color w:val="auto"/>
                <w:szCs w:val="28"/>
                <w:vertAlign w:val="subscript"/>
              </w:rPr>
              <w:t>0</w:t>
            </w:r>
            <w:r>
              <w:rPr>
                <w:rFonts w:hint="eastAsia"/>
                <w:color w:val="auto"/>
                <w:szCs w:val="28"/>
                <w:lang w:eastAsia="zh-CN"/>
              </w:rPr>
              <w:t>）</w:t>
            </w:r>
          </w:p>
          <w:p w14:paraId="0BF5AD5E">
            <w:pPr>
              <w:spacing w:line="360" w:lineRule="auto"/>
              <w:ind w:firstLine="480" w:firstLineChars="200"/>
              <w:rPr>
                <w:color w:val="auto"/>
                <w:sz w:val="24"/>
              </w:rPr>
            </w:pPr>
            <w:r>
              <w:rPr>
                <w:rFonts w:hint="eastAsia"/>
                <w:color w:val="auto"/>
                <w:sz w:val="24"/>
              </w:rPr>
              <w:t>如果声源处于半自由声场，则：</w:t>
            </w:r>
          </w:p>
          <w:p w14:paraId="50FEDDF0">
            <w:pPr>
              <w:pStyle w:val="7"/>
              <w:spacing w:line="360" w:lineRule="auto"/>
              <w:ind w:firstLine="0" w:firstLineChars="0"/>
              <w:jc w:val="center"/>
              <w:rPr>
                <w:color w:val="auto"/>
                <w:sz w:val="24"/>
                <w:szCs w:val="24"/>
                <w:lang w:eastAsia="en-US"/>
              </w:rPr>
            </w:pPr>
            <w:r>
              <w:rPr>
                <w:i/>
                <w:iCs/>
                <w:color w:val="auto"/>
                <w:szCs w:val="28"/>
              </w:rPr>
              <w:t>L</w:t>
            </w:r>
            <w:r>
              <w:rPr>
                <w:i/>
                <w:iCs/>
                <w:color w:val="auto"/>
                <w:szCs w:val="28"/>
                <w:vertAlign w:val="subscript"/>
              </w:rPr>
              <w:t>P</w:t>
            </w:r>
            <w:r>
              <w:rPr>
                <w:rFonts w:hint="eastAsia"/>
                <w:color w:val="auto"/>
                <w:szCs w:val="28"/>
                <w:lang w:eastAsia="zh-CN"/>
              </w:rPr>
              <w:t>（</w:t>
            </w:r>
            <w:r>
              <w:rPr>
                <w:i/>
                <w:iCs/>
                <w:color w:val="auto"/>
                <w:szCs w:val="28"/>
              </w:rPr>
              <w:t>r</w:t>
            </w:r>
            <w:r>
              <w:rPr>
                <w:rFonts w:hint="eastAsia"/>
                <w:color w:val="auto"/>
                <w:szCs w:val="28"/>
                <w:lang w:eastAsia="zh-CN"/>
              </w:rPr>
              <w:t>）</w:t>
            </w:r>
            <w:r>
              <w:rPr>
                <w:color w:val="auto"/>
                <w:szCs w:val="28"/>
              </w:rPr>
              <w:t xml:space="preserve"> = </w:t>
            </w:r>
            <w:r>
              <w:rPr>
                <w:i/>
                <w:iCs/>
                <w:color w:val="auto"/>
                <w:szCs w:val="28"/>
              </w:rPr>
              <w:t>L</w:t>
            </w:r>
            <w:r>
              <w:rPr>
                <w:rFonts w:hint="eastAsia"/>
                <w:i/>
                <w:iCs/>
                <w:color w:val="auto"/>
                <w:szCs w:val="28"/>
                <w:vertAlign w:val="subscript"/>
              </w:rPr>
              <w:t>W</w:t>
            </w:r>
            <w:r>
              <w:rPr>
                <w:color w:val="auto"/>
                <w:szCs w:val="28"/>
              </w:rPr>
              <w:t xml:space="preserve"> - 20lg</w:t>
            </w:r>
            <w:r>
              <w:rPr>
                <w:rFonts w:hint="eastAsia"/>
                <w:color w:val="auto"/>
                <w:szCs w:val="28"/>
                <w:lang w:eastAsia="zh-CN"/>
              </w:rPr>
              <w:t>（</w:t>
            </w:r>
            <w:r>
              <w:rPr>
                <w:i/>
                <w:iCs/>
                <w:color w:val="auto"/>
                <w:szCs w:val="28"/>
              </w:rPr>
              <w:t>r</w:t>
            </w:r>
            <w:r>
              <w:rPr>
                <w:rFonts w:hint="eastAsia"/>
                <w:color w:val="auto"/>
                <w:szCs w:val="28"/>
                <w:lang w:eastAsia="zh-CN"/>
              </w:rPr>
              <w:t>）</w:t>
            </w:r>
            <w:r>
              <w:rPr>
                <w:rFonts w:hint="eastAsia"/>
                <w:color w:val="auto"/>
                <w:szCs w:val="28"/>
              </w:rPr>
              <w:t>-8</w:t>
            </w:r>
          </w:p>
          <w:p w14:paraId="27B583B4">
            <w:pPr>
              <w:spacing w:line="360" w:lineRule="auto"/>
              <w:ind w:firstLine="480" w:firstLineChars="200"/>
              <w:rPr>
                <w:color w:val="auto"/>
                <w:sz w:val="24"/>
              </w:rPr>
            </w:pPr>
            <w:r>
              <w:rPr>
                <w:rFonts w:hint="eastAsia"/>
                <w:color w:val="auto"/>
                <w:sz w:val="24"/>
              </w:rPr>
              <w:t xml:space="preserve">⑦噪声贡献值计算 </w:t>
            </w:r>
          </w:p>
          <w:p w14:paraId="349000E8">
            <w:pPr>
              <w:spacing w:line="360" w:lineRule="auto"/>
              <w:ind w:firstLine="480" w:firstLineChars="200"/>
              <w:rPr>
                <w:color w:val="auto"/>
                <w:sz w:val="24"/>
              </w:rPr>
            </w:pPr>
            <w:r>
              <w:rPr>
                <w:rFonts w:hint="eastAsia"/>
                <w:color w:val="auto"/>
                <w:sz w:val="24"/>
              </w:rPr>
              <w:t>设第</w:t>
            </w:r>
            <w:r>
              <w:rPr>
                <w:color w:val="auto"/>
                <w:sz w:val="24"/>
              </w:rPr>
              <w:t>i</w:t>
            </w:r>
            <w:r>
              <w:rPr>
                <w:rFonts w:hint="eastAsia"/>
                <w:color w:val="auto"/>
                <w:sz w:val="24"/>
              </w:rPr>
              <w:t>个室外声源在预测点产生的</w:t>
            </w:r>
            <w:r>
              <w:rPr>
                <w:color w:val="auto"/>
                <w:sz w:val="24"/>
              </w:rPr>
              <w:t>A</w:t>
            </w:r>
            <w:r>
              <w:rPr>
                <w:rFonts w:hint="eastAsia"/>
                <w:color w:val="auto"/>
                <w:sz w:val="24"/>
              </w:rPr>
              <w:t>声级为</w:t>
            </w:r>
            <w:r>
              <w:rPr>
                <w:color w:val="auto"/>
                <w:sz w:val="24"/>
              </w:rPr>
              <w:t>L</w:t>
            </w:r>
            <w:r>
              <w:rPr>
                <w:color w:val="auto"/>
                <w:sz w:val="24"/>
                <w:vertAlign w:val="subscript"/>
              </w:rPr>
              <w:t>Ai</w:t>
            </w:r>
            <w:r>
              <w:rPr>
                <w:rFonts w:hint="eastAsia"/>
                <w:color w:val="auto"/>
                <w:sz w:val="24"/>
              </w:rPr>
              <w:t>，在</w:t>
            </w:r>
            <w:r>
              <w:rPr>
                <w:color w:val="auto"/>
                <w:sz w:val="24"/>
              </w:rPr>
              <w:t>T</w:t>
            </w:r>
            <w:r>
              <w:rPr>
                <w:rFonts w:hint="eastAsia"/>
                <w:color w:val="auto"/>
                <w:sz w:val="24"/>
              </w:rPr>
              <w:t>时间内该声源工作时间为</w:t>
            </w:r>
            <w:r>
              <w:rPr>
                <w:color w:val="auto"/>
                <w:sz w:val="24"/>
              </w:rPr>
              <w:t>t</w:t>
            </w:r>
            <w:r>
              <w:rPr>
                <w:color w:val="auto"/>
                <w:sz w:val="24"/>
                <w:vertAlign w:val="subscript"/>
              </w:rPr>
              <w:t>i</w:t>
            </w:r>
            <w:r>
              <w:rPr>
                <w:rFonts w:hint="eastAsia"/>
                <w:color w:val="auto"/>
                <w:sz w:val="24"/>
              </w:rPr>
              <w:t>；第</w:t>
            </w:r>
            <w:r>
              <w:rPr>
                <w:color w:val="auto"/>
                <w:sz w:val="24"/>
              </w:rPr>
              <w:t>j</w:t>
            </w:r>
            <w:r>
              <w:rPr>
                <w:rFonts w:hint="eastAsia"/>
                <w:color w:val="auto"/>
                <w:sz w:val="24"/>
              </w:rPr>
              <w:t>个等效室外声源在预测点产生的</w:t>
            </w:r>
            <w:r>
              <w:rPr>
                <w:color w:val="auto"/>
                <w:sz w:val="24"/>
              </w:rPr>
              <w:t>A</w:t>
            </w:r>
            <w:r>
              <w:rPr>
                <w:rFonts w:hint="eastAsia"/>
                <w:color w:val="auto"/>
                <w:sz w:val="24"/>
              </w:rPr>
              <w:t>声级为</w:t>
            </w:r>
            <w:r>
              <w:rPr>
                <w:color w:val="auto"/>
                <w:sz w:val="24"/>
              </w:rPr>
              <w:t>L</w:t>
            </w:r>
            <w:r>
              <w:rPr>
                <w:color w:val="auto"/>
                <w:sz w:val="24"/>
                <w:vertAlign w:val="subscript"/>
              </w:rPr>
              <w:t>Aj</w:t>
            </w:r>
            <w:r>
              <w:rPr>
                <w:rFonts w:hint="eastAsia"/>
                <w:color w:val="auto"/>
                <w:sz w:val="24"/>
              </w:rPr>
              <w:t>，在</w:t>
            </w:r>
            <w:r>
              <w:rPr>
                <w:color w:val="auto"/>
                <w:sz w:val="24"/>
              </w:rPr>
              <w:t>T</w:t>
            </w:r>
            <w:r>
              <w:rPr>
                <w:rFonts w:hint="eastAsia"/>
                <w:color w:val="auto"/>
                <w:sz w:val="24"/>
              </w:rPr>
              <w:t>时间内该声源工作时间为</w:t>
            </w:r>
            <w:r>
              <w:rPr>
                <w:color w:val="auto"/>
                <w:sz w:val="24"/>
              </w:rPr>
              <w:t>t</w:t>
            </w:r>
            <w:r>
              <w:rPr>
                <w:color w:val="auto"/>
                <w:sz w:val="24"/>
                <w:vertAlign w:val="subscript"/>
              </w:rPr>
              <w:t>j</w:t>
            </w:r>
            <w:r>
              <w:rPr>
                <w:rFonts w:hint="eastAsia"/>
                <w:color w:val="auto"/>
                <w:sz w:val="24"/>
              </w:rPr>
              <w:t>，则拟建工程声源对预测点产生的贡献值（</w:t>
            </w:r>
            <w:r>
              <w:rPr>
                <w:color w:val="auto"/>
                <w:sz w:val="24"/>
              </w:rPr>
              <w:t>L</w:t>
            </w:r>
            <w:r>
              <w:rPr>
                <w:color w:val="auto"/>
                <w:sz w:val="24"/>
                <w:vertAlign w:val="subscript"/>
              </w:rPr>
              <w:t>eqg</w:t>
            </w:r>
            <w:r>
              <w:rPr>
                <w:rFonts w:hint="eastAsia"/>
                <w:color w:val="auto"/>
                <w:sz w:val="24"/>
              </w:rPr>
              <w:t>）为：</w:t>
            </w:r>
          </w:p>
          <w:p w14:paraId="7AB1CD61">
            <w:pPr>
              <w:widowControl/>
              <w:spacing w:line="360" w:lineRule="auto"/>
              <w:ind w:firstLine="420" w:firstLineChars="200"/>
              <w:jc w:val="center"/>
              <w:rPr>
                <w:color w:val="auto"/>
              </w:rPr>
            </w:pPr>
            <w:r>
              <w:rPr>
                <w:color w:val="auto"/>
              </w:rPr>
              <w:drawing>
                <wp:inline distT="0" distB="0" distL="114300" distR="114300">
                  <wp:extent cx="3112135" cy="831850"/>
                  <wp:effectExtent l="0" t="0" r="12065" b="635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9"/>
                          <a:stretch>
                            <a:fillRect/>
                          </a:stretch>
                        </pic:blipFill>
                        <pic:spPr>
                          <a:xfrm>
                            <a:off x="0" y="0"/>
                            <a:ext cx="3112135" cy="831850"/>
                          </a:xfrm>
                          <a:prstGeom prst="rect">
                            <a:avLst/>
                          </a:prstGeom>
                          <a:noFill/>
                          <a:ln>
                            <a:noFill/>
                          </a:ln>
                        </pic:spPr>
                      </pic:pic>
                    </a:graphicData>
                  </a:graphic>
                </wp:inline>
              </w:drawing>
            </w:r>
          </w:p>
          <w:p w14:paraId="4802819E">
            <w:pPr>
              <w:spacing w:line="360" w:lineRule="auto"/>
              <w:ind w:firstLine="480" w:firstLineChars="200"/>
              <w:rPr>
                <w:color w:val="auto"/>
                <w:sz w:val="24"/>
              </w:rPr>
            </w:pPr>
            <w:r>
              <w:rPr>
                <w:rFonts w:hint="eastAsia"/>
                <w:color w:val="auto"/>
                <w:sz w:val="24"/>
              </w:rPr>
              <w:t xml:space="preserve">式中： </w:t>
            </w:r>
          </w:p>
          <w:p w14:paraId="23D97227">
            <w:pPr>
              <w:spacing w:line="360" w:lineRule="auto"/>
              <w:ind w:firstLine="960" w:firstLineChars="400"/>
              <w:rPr>
                <w:color w:val="auto"/>
                <w:sz w:val="24"/>
              </w:rPr>
            </w:pPr>
            <w:r>
              <w:rPr>
                <w:color w:val="auto"/>
                <w:sz w:val="24"/>
              </w:rPr>
              <w:t>tj—</w:t>
            </w:r>
            <w:r>
              <w:rPr>
                <w:rFonts w:hint="eastAsia"/>
                <w:color w:val="auto"/>
                <w:sz w:val="24"/>
              </w:rPr>
              <w:t>在</w:t>
            </w:r>
            <w:r>
              <w:rPr>
                <w:color w:val="auto"/>
                <w:sz w:val="24"/>
              </w:rPr>
              <w:t>T</w:t>
            </w:r>
            <w:r>
              <w:rPr>
                <w:rFonts w:hint="eastAsia"/>
                <w:color w:val="auto"/>
                <w:sz w:val="24"/>
              </w:rPr>
              <w:t>时间内</w:t>
            </w:r>
            <w:r>
              <w:rPr>
                <w:color w:val="auto"/>
                <w:sz w:val="24"/>
              </w:rPr>
              <w:t>j</w:t>
            </w:r>
            <w:r>
              <w:rPr>
                <w:rFonts w:hint="eastAsia"/>
                <w:color w:val="auto"/>
                <w:sz w:val="24"/>
              </w:rPr>
              <w:t>声源工作时间，</w:t>
            </w:r>
            <w:r>
              <w:rPr>
                <w:color w:val="auto"/>
                <w:sz w:val="24"/>
              </w:rPr>
              <w:t>s</w:t>
            </w:r>
            <w:r>
              <w:rPr>
                <w:rFonts w:hint="eastAsia"/>
                <w:color w:val="auto"/>
                <w:sz w:val="24"/>
              </w:rPr>
              <w:t xml:space="preserve">； </w:t>
            </w:r>
          </w:p>
          <w:p w14:paraId="15201F4F">
            <w:pPr>
              <w:spacing w:line="360" w:lineRule="auto"/>
              <w:ind w:firstLine="960" w:firstLineChars="400"/>
              <w:rPr>
                <w:color w:val="auto"/>
                <w:sz w:val="24"/>
              </w:rPr>
            </w:pPr>
            <w:r>
              <w:rPr>
                <w:color w:val="auto"/>
                <w:sz w:val="24"/>
              </w:rPr>
              <w:t>ti—</w:t>
            </w:r>
            <w:r>
              <w:rPr>
                <w:rFonts w:hint="eastAsia"/>
                <w:color w:val="auto"/>
                <w:sz w:val="24"/>
              </w:rPr>
              <w:t>在</w:t>
            </w:r>
            <w:r>
              <w:rPr>
                <w:color w:val="auto"/>
                <w:sz w:val="24"/>
              </w:rPr>
              <w:t>T</w:t>
            </w:r>
            <w:r>
              <w:rPr>
                <w:rFonts w:hint="eastAsia"/>
                <w:color w:val="auto"/>
                <w:sz w:val="24"/>
              </w:rPr>
              <w:t>时间</w:t>
            </w:r>
            <w:r>
              <w:rPr>
                <w:color w:val="auto"/>
                <w:sz w:val="24"/>
              </w:rPr>
              <w:t>i</w:t>
            </w:r>
            <w:r>
              <w:rPr>
                <w:rFonts w:hint="eastAsia"/>
                <w:color w:val="auto"/>
                <w:sz w:val="24"/>
              </w:rPr>
              <w:t>声源工作时间，</w:t>
            </w:r>
            <w:r>
              <w:rPr>
                <w:color w:val="auto"/>
                <w:sz w:val="24"/>
              </w:rPr>
              <w:t>s</w:t>
            </w:r>
            <w:r>
              <w:rPr>
                <w:rFonts w:hint="eastAsia"/>
                <w:color w:val="auto"/>
                <w:sz w:val="24"/>
              </w:rPr>
              <w:t xml:space="preserve">； </w:t>
            </w:r>
          </w:p>
          <w:p w14:paraId="725A7C7E">
            <w:pPr>
              <w:spacing w:line="360" w:lineRule="auto"/>
              <w:ind w:firstLine="960" w:firstLineChars="400"/>
              <w:rPr>
                <w:color w:val="auto"/>
                <w:sz w:val="24"/>
              </w:rPr>
            </w:pPr>
            <w:r>
              <w:rPr>
                <w:color w:val="auto"/>
                <w:sz w:val="24"/>
              </w:rPr>
              <w:t>T—</w:t>
            </w:r>
            <w:r>
              <w:rPr>
                <w:rFonts w:hint="eastAsia"/>
                <w:color w:val="auto"/>
                <w:sz w:val="24"/>
              </w:rPr>
              <w:t>用于计算等效声级的时间，</w:t>
            </w:r>
            <w:r>
              <w:rPr>
                <w:color w:val="auto"/>
                <w:sz w:val="24"/>
              </w:rPr>
              <w:t>s</w:t>
            </w:r>
            <w:r>
              <w:rPr>
                <w:rFonts w:hint="eastAsia"/>
                <w:color w:val="auto"/>
                <w:sz w:val="24"/>
              </w:rPr>
              <w:t xml:space="preserve">； </w:t>
            </w:r>
          </w:p>
          <w:p w14:paraId="673CAE11">
            <w:pPr>
              <w:spacing w:line="360" w:lineRule="auto"/>
              <w:ind w:firstLine="960" w:firstLineChars="400"/>
              <w:rPr>
                <w:color w:val="auto"/>
                <w:sz w:val="24"/>
              </w:rPr>
            </w:pPr>
            <w:r>
              <w:rPr>
                <w:color w:val="auto"/>
                <w:sz w:val="24"/>
              </w:rPr>
              <w:t>N—</w:t>
            </w:r>
            <w:r>
              <w:rPr>
                <w:rFonts w:hint="eastAsia"/>
                <w:color w:val="auto"/>
                <w:sz w:val="24"/>
              </w:rPr>
              <w:t xml:space="preserve">室外声源个数； </w:t>
            </w:r>
          </w:p>
          <w:p w14:paraId="13F5617C">
            <w:pPr>
              <w:spacing w:line="360" w:lineRule="auto"/>
              <w:ind w:firstLine="960" w:firstLineChars="400"/>
              <w:rPr>
                <w:color w:val="auto"/>
                <w:sz w:val="24"/>
              </w:rPr>
            </w:pPr>
            <w:r>
              <w:rPr>
                <w:color w:val="auto"/>
                <w:sz w:val="24"/>
              </w:rPr>
              <w:t>M—</w:t>
            </w:r>
            <w:r>
              <w:rPr>
                <w:rFonts w:hint="eastAsia"/>
                <w:color w:val="auto"/>
                <w:sz w:val="24"/>
              </w:rPr>
              <w:t>等效室外声源个数。</w:t>
            </w:r>
          </w:p>
          <w:p w14:paraId="4D56BC31">
            <w:pPr>
              <w:adjustRightInd w:val="0"/>
              <w:snapToGrid w:val="0"/>
              <w:spacing w:line="360" w:lineRule="auto"/>
              <w:ind w:firstLine="480" w:firstLineChars="200"/>
              <w:rPr>
                <w:color w:val="auto"/>
                <w:sz w:val="24"/>
              </w:rPr>
            </w:pPr>
            <w:r>
              <w:rPr>
                <w:color w:val="auto"/>
                <w:sz w:val="24"/>
              </w:rPr>
              <w:t>根据上述预测模式计算出各噪声源传播至厂界四周的总声压级，与《工业企业厂界环境噪声排放标准》（GB12348-2008）标准中2类标准进行比较，其结果见下表：</w:t>
            </w:r>
          </w:p>
          <w:p w14:paraId="38C7F2BB">
            <w:pPr>
              <w:adjustRightInd w:val="0"/>
              <w:snapToGrid w:val="0"/>
              <w:jc w:val="center"/>
              <w:rPr>
                <w:b/>
                <w:bCs/>
                <w:color w:val="auto"/>
                <w:szCs w:val="21"/>
              </w:rPr>
            </w:pPr>
            <w:r>
              <w:rPr>
                <w:b/>
                <w:bCs/>
                <w:color w:val="auto"/>
                <w:szCs w:val="21"/>
              </w:rPr>
              <w:t>表 4-</w:t>
            </w:r>
            <w:r>
              <w:rPr>
                <w:rFonts w:hint="eastAsia"/>
                <w:b/>
                <w:bCs/>
                <w:color w:val="auto"/>
                <w:szCs w:val="21"/>
              </w:rPr>
              <w:t>7</w:t>
            </w:r>
            <w:r>
              <w:rPr>
                <w:b/>
                <w:bCs/>
                <w:color w:val="auto"/>
                <w:szCs w:val="21"/>
              </w:rPr>
              <w:t>厂界噪声预测结果</w:t>
            </w:r>
            <w:r>
              <w:rPr>
                <w:b/>
                <w:bCs/>
                <w:color w:val="auto"/>
                <w:szCs w:val="21"/>
              </w:rPr>
              <w:tab/>
            </w:r>
            <w:r>
              <w:rPr>
                <w:b/>
                <w:bCs/>
                <w:color w:val="auto"/>
                <w:szCs w:val="21"/>
              </w:rPr>
              <w:t>单位：dB（A）</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416"/>
              <w:gridCol w:w="1145"/>
              <w:gridCol w:w="1014"/>
              <w:gridCol w:w="1518"/>
              <w:gridCol w:w="1550"/>
            </w:tblGrid>
            <w:tr w14:paraId="2704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71" w:type="dxa"/>
                  <w:vMerge w:val="restart"/>
                  <w:noWrap/>
                  <w:vAlign w:val="center"/>
                </w:tcPr>
                <w:p w14:paraId="4376F396">
                  <w:pPr>
                    <w:jc w:val="center"/>
                    <w:rPr>
                      <w:b/>
                      <w:bCs/>
                      <w:color w:val="auto"/>
                      <w:szCs w:val="21"/>
                    </w:rPr>
                  </w:pPr>
                  <w:r>
                    <w:rPr>
                      <w:b/>
                      <w:bCs/>
                      <w:color w:val="auto"/>
                      <w:szCs w:val="21"/>
                    </w:rPr>
                    <w:t>序号</w:t>
                  </w:r>
                </w:p>
              </w:tc>
              <w:tc>
                <w:tcPr>
                  <w:tcW w:w="1380" w:type="dxa"/>
                  <w:vMerge w:val="restart"/>
                  <w:noWrap/>
                  <w:vAlign w:val="center"/>
                </w:tcPr>
                <w:p w14:paraId="42981658">
                  <w:pPr>
                    <w:adjustRightInd w:val="0"/>
                    <w:snapToGrid w:val="0"/>
                    <w:ind w:left="-118" w:leftChars="-56" w:right="-97" w:rightChars="-46"/>
                    <w:jc w:val="center"/>
                    <w:rPr>
                      <w:b/>
                      <w:bCs/>
                      <w:color w:val="auto"/>
                      <w:szCs w:val="21"/>
                      <w:lang w:bidi="zh-CN"/>
                    </w:rPr>
                  </w:pPr>
                  <w:r>
                    <w:rPr>
                      <w:b/>
                      <w:bCs/>
                      <w:color w:val="auto"/>
                      <w:szCs w:val="21"/>
                      <w:lang w:bidi="zh-CN"/>
                    </w:rPr>
                    <w:t>位置</w:t>
                  </w:r>
                </w:p>
              </w:tc>
              <w:tc>
                <w:tcPr>
                  <w:tcW w:w="2103" w:type="dxa"/>
                  <w:gridSpan w:val="2"/>
                  <w:noWrap/>
                  <w:vAlign w:val="center"/>
                </w:tcPr>
                <w:p w14:paraId="12271E83">
                  <w:pPr>
                    <w:adjustRightInd w:val="0"/>
                    <w:snapToGrid w:val="0"/>
                    <w:ind w:left="-119" w:leftChars="-57" w:right="-107" w:rightChars="-51" w:hanging="1"/>
                    <w:jc w:val="center"/>
                    <w:rPr>
                      <w:b/>
                      <w:bCs/>
                      <w:color w:val="auto"/>
                      <w:szCs w:val="21"/>
                    </w:rPr>
                  </w:pPr>
                  <w:r>
                    <w:rPr>
                      <w:rFonts w:hint="eastAsia"/>
                      <w:b/>
                      <w:bCs/>
                      <w:color w:val="auto"/>
                      <w:szCs w:val="21"/>
                    </w:rPr>
                    <w:t>项目厂界贡献值</w:t>
                  </w:r>
                </w:p>
              </w:tc>
              <w:tc>
                <w:tcPr>
                  <w:tcW w:w="2989" w:type="dxa"/>
                  <w:gridSpan w:val="2"/>
                  <w:noWrap/>
                  <w:vAlign w:val="center"/>
                </w:tcPr>
                <w:p w14:paraId="18B84290">
                  <w:pPr>
                    <w:adjustRightInd w:val="0"/>
                    <w:snapToGrid w:val="0"/>
                    <w:ind w:left="-119" w:leftChars="-57" w:right="-107" w:rightChars="-51" w:hanging="1"/>
                    <w:jc w:val="center"/>
                    <w:rPr>
                      <w:b/>
                      <w:bCs/>
                      <w:color w:val="auto"/>
                      <w:szCs w:val="21"/>
                    </w:rPr>
                  </w:pPr>
                  <w:r>
                    <w:rPr>
                      <w:b/>
                      <w:bCs/>
                      <w:color w:val="auto"/>
                      <w:szCs w:val="21"/>
                    </w:rPr>
                    <w:t>标准值</w:t>
                  </w:r>
                </w:p>
              </w:tc>
            </w:tr>
            <w:tr w14:paraId="0F2A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71" w:type="dxa"/>
                  <w:vMerge w:val="continue"/>
                  <w:noWrap/>
                  <w:vAlign w:val="center"/>
                </w:tcPr>
                <w:p w14:paraId="6DCD182B">
                  <w:pPr>
                    <w:adjustRightInd w:val="0"/>
                    <w:snapToGrid w:val="0"/>
                    <w:ind w:firstLine="422" w:firstLineChars="200"/>
                    <w:jc w:val="center"/>
                    <w:rPr>
                      <w:b/>
                      <w:bCs/>
                      <w:color w:val="auto"/>
                      <w:szCs w:val="21"/>
                    </w:rPr>
                  </w:pPr>
                </w:p>
              </w:tc>
              <w:tc>
                <w:tcPr>
                  <w:tcW w:w="1380" w:type="dxa"/>
                  <w:vMerge w:val="continue"/>
                  <w:noWrap/>
                  <w:vAlign w:val="center"/>
                </w:tcPr>
                <w:p w14:paraId="1600A1F4">
                  <w:pPr>
                    <w:adjustRightInd w:val="0"/>
                    <w:snapToGrid w:val="0"/>
                    <w:ind w:firstLine="422" w:firstLineChars="200"/>
                    <w:jc w:val="center"/>
                    <w:rPr>
                      <w:b/>
                      <w:bCs/>
                      <w:color w:val="auto"/>
                      <w:szCs w:val="21"/>
                    </w:rPr>
                  </w:pPr>
                </w:p>
              </w:tc>
              <w:tc>
                <w:tcPr>
                  <w:tcW w:w="1116" w:type="dxa"/>
                  <w:noWrap/>
                  <w:vAlign w:val="center"/>
                </w:tcPr>
                <w:p w14:paraId="00E4283A">
                  <w:pPr>
                    <w:adjustRightInd w:val="0"/>
                    <w:snapToGrid w:val="0"/>
                    <w:ind w:left="-119" w:leftChars="-57" w:right="-107" w:rightChars="-51" w:hanging="1"/>
                    <w:jc w:val="center"/>
                    <w:rPr>
                      <w:b/>
                      <w:bCs/>
                      <w:color w:val="auto"/>
                      <w:szCs w:val="21"/>
                    </w:rPr>
                  </w:pPr>
                  <w:r>
                    <w:rPr>
                      <w:rFonts w:hint="eastAsia"/>
                      <w:b/>
                      <w:bCs/>
                      <w:color w:val="auto"/>
                      <w:szCs w:val="21"/>
                    </w:rPr>
                    <w:t>昼间</w:t>
                  </w:r>
                </w:p>
              </w:tc>
              <w:tc>
                <w:tcPr>
                  <w:tcW w:w="987" w:type="dxa"/>
                  <w:noWrap/>
                  <w:vAlign w:val="center"/>
                </w:tcPr>
                <w:p w14:paraId="7880E72E">
                  <w:pPr>
                    <w:adjustRightInd w:val="0"/>
                    <w:snapToGrid w:val="0"/>
                    <w:ind w:left="-119" w:leftChars="-57" w:right="-107" w:rightChars="-51" w:hanging="1"/>
                    <w:jc w:val="center"/>
                    <w:rPr>
                      <w:b/>
                      <w:bCs/>
                      <w:color w:val="auto"/>
                      <w:szCs w:val="21"/>
                    </w:rPr>
                  </w:pPr>
                  <w:r>
                    <w:rPr>
                      <w:rFonts w:hint="eastAsia"/>
                      <w:b/>
                      <w:bCs/>
                      <w:color w:val="auto"/>
                      <w:szCs w:val="21"/>
                    </w:rPr>
                    <w:t>夜间</w:t>
                  </w:r>
                </w:p>
              </w:tc>
              <w:tc>
                <w:tcPr>
                  <w:tcW w:w="1479" w:type="dxa"/>
                  <w:noWrap/>
                  <w:vAlign w:val="center"/>
                </w:tcPr>
                <w:p w14:paraId="723F9C05">
                  <w:pPr>
                    <w:adjustRightInd w:val="0"/>
                    <w:snapToGrid w:val="0"/>
                    <w:ind w:left="-119" w:leftChars="-57" w:right="-107" w:rightChars="-51" w:hanging="1"/>
                    <w:jc w:val="center"/>
                    <w:rPr>
                      <w:b/>
                      <w:bCs/>
                      <w:color w:val="auto"/>
                      <w:szCs w:val="21"/>
                    </w:rPr>
                  </w:pPr>
                  <w:r>
                    <w:rPr>
                      <w:b/>
                      <w:bCs/>
                      <w:color w:val="auto"/>
                      <w:szCs w:val="21"/>
                    </w:rPr>
                    <w:t>昼间</w:t>
                  </w:r>
                </w:p>
              </w:tc>
              <w:tc>
                <w:tcPr>
                  <w:tcW w:w="1510" w:type="dxa"/>
                  <w:noWrap/>
                  <w:vAlign w:val="center"/>
                </w:tcPr>
                <w:p w14:paraId="27A56324">
                  <w:pPr>
                    <w:adjustRightInd w:val="0"/>
                    <w:snapToGrid w:val="0"/>
                    <w:ind w:left="-119" w:leftChars="-57" w:right="-107" w:rightChars="-51" w:hanging="1"/>
                    <w:jc w:val="center"/>
                    <w:rPr>
                      <w:b/>
                      <w:bCs/>
                      <w:color w:val="auto"/>
                      <w:szCs w:val="21"/>
                    </w:rPr>
                  </w:pPr>
                  <w:r>
                    <w:rPr>
                      <w:rFonts w:hint="eastAsia"/>
                      <w:b/>
                      <w:bCs/>
                      <w:color w:val="auto"/>
                      <w:szCs w:val="21"/>
                    </w:rPr>
                    <w:t>夜间</w:t>
                  </w:r>
                </w:p>
              </w:tc>
            </w:tr>
            <w:tr w14:paraId="2D78A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71" w:type="dxa"/>
                  <w:noWrap/>
                  <w:vAlign w:val="center"/>
                </w:tcPr>
                <w:p w14:paraId="7EA2D6E7">
                  <w:pPr>
                    <w:adjustRightInd w:val="0"/>
                    <w:snapToGrid w:val="0"/>
                    <w:ind w:left="-119" w:leftChars="-57" w:right="-107" w:rightChars="-51" w:hanging="1"/>
                    <w:jc w:val="center"/>
                    <w:rPr>
                      <w:color w:val="auto"/>
                      <w:szCs w:val="21"/>
                    </w:rPr>
                  </w:pPr>
                  <w:r>
                    <w:rPr>
                      <w:color w:val="auto"/>
                      <w:szCs w:val="21"/>
                    </w:rPr>
                    <w:t>1</w:t>
                  </w:r>
                </w:p>
              </w:tc>
              <w:tc>
                <w:tcPr>
                  <w:tcW w:w="1380" w:type="dxa"/>
                  <w:noWrap/>
                  <w:vAlign w:val="center"/>
                </w:tcPr>
                <w:p w14:paraId="09F26C93">
                  <w:pPr>
                    <w:adjustRightInd w:val="0"/>
                    <w:snapToGrid w:val="0"/>
                    <w:ind w:left="-120" w:leftChars="-57" w:right="-107" w:rightChars="-51" w:firstLine="2"/>
                    <w:jc w:val="center"/>
                    <w:rPr>
                      <w:color w:val="auto"/>
                      <w:szCs w:val="21"/>
                    </w:rPr>
                  </w:pPr>
                  <w:r>
                    <w:rPr>
                      <w:color w:val="auto"/>
                      <w:szCs w:val="21"/>
                    </w:rPr>
                    <w:t>东厂界</w:t>
                  </w:r>
                </w:p>
              </w:tc>
              <w:tc>
                <w:tcPr>
                  <w:tcW w:w="1116" w:type="dxa"/>
                  <w:noWrap/>
                  <w:vAlign w:val="center"/>
                </w:tcPr>
                <w:p w14:paraId="06A7B2F0">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43</w:t>
                  </w:r>
                </w:p>
              </w:tc>
              <w:tc>
                <w:tcPr>
                  <w:tcW w:w="987" w:type="dxa"/>
                  <w:noWrap/>
                  <w:vAlign w:val="center"/>
                </w:tcPr>
                <w:p w14:paraId="247315E8">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43</w:t>
                  </w:r>
                </w:p>
              </w:tc>
              <w:tc>
                <w:tcPr>
                  <w:tcW w:w="1479" w:type="dxa"/>
                  <w:vMerge w:val="restart"/>
                  <w:noWrap/>
                  <w:vAlign w:val="center"/>
                </w:tcPr>
                <w:p w14:paraId="5981E9A9">
                  <w:pPr>
                    <w:adjustRightInd w:val="0"/>
                    <w:snapToGrid w:val="0"/>
                    <w:ind w:left="-119" w:leftChars="-57" w:right="-107" w:rightChars="-51" w:hanging="1"/>
                    <w:jc w:val="center"/>
                    <w:rPr>
                      <w:color w:val="auto"/>
                      <w:szCs w:val="21"/>
                    </w:rPr>
                  </w:pPr>
                  <w:r>
                    <w:rPr>
                      <w:color w:val="auto"/>
                      <w:szCs w:val="21"/>
                    </w:rPr>
                    <w:t>60</w:t>
                  </w:r>
                </w:p>
              </w:tc>
              <w:tc>
                <w:tcPr>
                  <w:tcW w:w="1510" w:type="dxa"/>
                  <w:vMerge w:val="restart"/>
                  <w:noWrap/>
                  <w:vAlign w:val="center"/>
                </w:tcPr>
                <w:p w14:paraId="5D3BB557">
                  <w:pPr>
                    <w:adjustRightInd w:val="0"/>
                    <w:snapToGrid w:val="0"/>
                    <w:ind w:left="-119" w:leftChars="-57" w:right="-107" w:rightChars="-51" w:hanging="1"/>
                    <w:jc w:val="center"/>
                    <w:rPr>
                      <w:color w:val="auto"/>
                      <w:szCs w:val="21"/>
                    </w:rPr>
                  </w:pPr>
                  <w:r>
                    <w:rPr>
                      <w:rFonts w:hint="eastAsia"/>
                      <w:color w:val="auto"/>
                      <w:szCs w:val="21"/>
                    </w:rPr>
                    <w:t>5</w:t>
                  </w:r>
                  <w:r>
                    <w:rPr>
                      <w:color w:val="auto"/>
                      <w:szCs w:val="21"/>
                    </w:rPr>
                    <w:t>0</w:t>
                  </w:r>
                </w:p>
              </w:tc>
            </w:tr>
            <w:tr w14:paraId="6493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71" w:type="dxa"/>
                  <w:noWrap/>
                  <w:vAlign w:val="center"/>
                </w:tcPr>
                <w:p w14:paraId="339CD930">
                  <w:pPr>
                    <w:adjustRightInd w:val="0"/>
                    <w:snapToGrid w:val="0"/>
                    <w:ind w:left="-119" w:leftChars="-57" w:right="-107" w:rightChars="-51" w:hanging="1"/>
                    <w:jc w:val="center"/>
                    <w:rPr>
                      <w:color w:val="auto"/>
                      <w:szCs w:val="21"/>
                    </w:rPr>
                  </w:pPr>
                  <w:r>
                    <w:rPr>
                      <w:color w:val="auto"/>
                      <w:szCs w:val="21"/>
                    </w:rPr>
                    <w:t>2</w:t>
                  </w:r>
                </w:p>
              </w:tc>
              <w:tc>
                <w:tcPr>
                  <w:tcW w:w="1380" w:type="dxa"/>
                  <w:noWrap/>
                  <w:vAlign w:val="center"/>
                </w:tcPr>
                <w:p w14:paraId="12F469E2">
                  <w:pPr>
                    <w:adjustRightInd w:val="0"/>
                    <w:snapToGrid w:val="0"/>
                    <w:ind w:left="-119" w:leftChars="-57" w:right="-107" w:rightChars="-51" w:hanging="1"/>
                    <w:jc w:val="center"/>
                    <w:rPr>
                      <w:color w:val="auto"/>
                      <w:szCs w:val="21"/>
                    </w:rPr>
                  </w:pPr>
                  <w:r>
                    <w:rPr>
                      <w:color w:val="auto"/>
                      <w:szCs w:val="21"/>
                    </w:rPr>
                    <w:t>南厂界</w:t>
                  </w:r>
                </w:p>
              </w:tc>
              <w:tc>
                <w:tcPr>
                  <w:tcW w:w="1116" w:type="dxa"/>
                  <w:noWrap/>
                  <w:vAlign w:val="center"/>
                </w:tcPr>
                <w:p w14:paraId="1389FCB6">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42</w:t>
                  </w:r>
                </w:p>
              </w:tc>
              <w:tc>
                <w:tcPr>
                  <w:tcW w:w="987" w:type="dxa"/>
                  <w:noWrap/>
                  <w:vAlign w:val="center"/>
                </w:tcPr>
                <w:p w14:paraId="26A09381">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42</w:t>
                  </w:r>
                </w:p>
              </w:tc>
              <w:tc>
                <w:tcPr>
                  <w:tcW w:w="1479" w:type="dxa"/>
                  <w:vMerge w:val="continue"/>
                  <w:noWrap/>
                  <w:vAlign w:val="center"/>
                </w:tcPr>
                <w:p w14:paraId="55ECF456">
                  <w:pPr>
                    <w:adjustRightInd w:val="0"/>
                    <w:snapToGrid w:val="0"/>
                    <w:ind w:firstLine="420" w:firstLineChars="200"/>
                    <w:jc w:val="center"/>
                    <w:rPr>
                      <w:color w:val="auto"/>
                      <w:szCs w:val="21"/>
                    </w:rPr>
                  </w:pPr>
                </w:p>
              </w:tc>
              <w:tc>
                <w:tcPr>
                  <w:tcW w:w="1510" w:type="dxa"/>
                  <w:vMerge w:val="continue"/>
                  <w:noWrap/>
                  <w:vAlign w:val="center"/>
                </w:tcPr>
                <w:p w14:paraId="4F7B9A12">
                  <w:pPr>
                    <w:adjustRightInd w:val="0"/>
                    <w:snapToGrid w:val="0"/>
                    <w:ind w:firstLine="420" w:firstLineChars="200"/>
                    <w:jc w:val="center"/>
                    <w:rPr>
                      <w:color w:val="auto"/>
                      <w:szCs w:val="21"/>
                    </w:rPr>
                  </w:pPr>
                </w:p>
              </w:tc>
            </w:tr>
            <w:tr w14:paraId="12E3C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71" w:type="dxa"/>
                  <w:noWrap/>
                  <w:vAlign w:val="center"/>
                </w:tcPr>
                <w:p w14:paraId="3C822363">
                  <w:pPr>
                    <w:adjustRightInd w:val="0"/>
                    <w:snapToGrid w:val="0"/>
                    <w:ind w:left="-119" w:leftChars="-57" w:right="-107" w:rightChars="-51" w:hanging="1"/>
                    <w:jc w:val="center"/>
                    <w:rPr>
                      <w:color w:val="auto"/>
                      <w:szCs w:val="21"/>
                    </w:rPr>
                  </w:pPr>
                  <w:r>
                    <w:rPr>
                      <w:color w:val="auto"/>
                      <w:szCs w:val="21"/>
                    </w:rPr>
                    <w:t>3</w:t>
                  </w:r>
                </w:p>
              </w:tc>
              <w:tc>
                <w:tcPr>
                  <w:tcW w:w="1380" w:type="dxa"/>
                  <w:noWrap/>
                  <w:vAlign w:val="center"/>
                </w:tcPr>
                <w:p w14:paraId="55C16189">
                  <w:pPr>
                    <w:adjustRightInd w:val="0"/>
                    <w:snapToGrid w:val="0"/>
                    <w:ind w:left="-119" w:leftChars="-57" w:right="-107" w:rightChars="-51" w:hanging="1"/>
                    <w:jc w:val="center"/>
                    <w:rPr>
                      <w:color w:val="auto"/>
                      <w:szCs w:val="21"/>
                    </w:rPr>
                  </w:pPr>
                  <w:r>
                    <w:rPr>
                      <w:color w:val="auto"/>
                      <w:szCs w:val="21"/>
                    </w:rPr>
                    <w:t>西厂界</w:t>
                  </w:r>
                </w:p>
              </w:tc>
              <w:tc>
                <w:tcPr>
                  <w:tcW w:w="1116" w:type="dxa"/>
                  <w:noWrap/>
                  <w:vAlign w:val="center"/>
                </w:tcPr>
                <w:p w14:paraId="6682046C">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43</w:t>
                  </w:r>
                </w:p>
              </w:tc>
              <w:tc>
                <w:tcPr>
                  <w:tcW w:w="987" w:type="dxa"/>
                  <w:noWrap/>
                  <w:vAlign w:val="center"/>
                </w:tcPr>
                <w:p w14:paraId="0F7C14DA">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43</w:t>
                  </w:r>
                </w:p>
              </w:tc>
              <w:tc>
                <w:tcPr>
                  <w:tcW w:w="1479" w:type="dxa"/>
                  <w:vMerge w:val="continue"/>
                  <w:noWrap/>
                  <w:vAlign w:val="center"/>
                </w:tcPr>
                <w:p w14:paraId="3E216C49">
                  <w:pPr>
                    <w:adjustRightInd w:val="0"/>
                    <w:snapToGrid w:val="0"/>
                    <w:ind w:firstLine="420" w:firstLineChars="200"/>
                    <w:jc w:val="center"/>
                    <w:rPr>
                      <w:color w:val="auto"/>
                      <w:szCs w:val="21"/>
                    </w:rPr>
                  </w:pPr>
                </w:p>
              </w:tc>
              <w:tc>
                <w:tcPr>
                  <w:tcW w:w="1510" w:type="dxa"/>
                  <w:vMerge w:val="continue"/>
                  <w:noWrap/>
                  <w:vAlign w:val="center"/>
                </w:tcPr>
                <w:p w14:paraId="04F52E70">
                  <w:pPr>
                    <w:adjustRightInd w:val="0"/>
                    <w:snapToGrid w:val="0"/>
                    <w:ind w:firstLine="420" w:firstLineChars="200"/>
                    <w:jc w:val="center"/>
                    <w:rPr>
                      <w:color w:val="auto"/>
                      <w:szCs w:val="21"/>
                    </w:rPr>
                  </w:pPr>
                </w:p>
              </w:tc>
            </w:tr>
            <w:tr w14:paraId="55EB0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71" w:type="dxa"/>
                  <w:noWrap/>
                  <w:vAlign w:val="center"/>
                </w:tcPr>
                <w:p w14:paraId="0BBF3509">
                  <w:pPr>
                    <w:adjustRightInd w:val="0"/>
                    <w:snapToGrid w:val="0"/>
                    <w:ind w:left="-119" w:leftChars="-57" w:right="-107" w:rightChars="-51" w:hanging="1"/>
                    <w:jc w:val="center"/>
                    <w:rPr>
                      <w:color w:val="auto"/>
                      <w:szCs w:val="21"/>
                    </w:rPr>
                  </w:pPr>
                  <w:r>
                    <w:rPr>
                      <w:color w:val="auto"/>
                      <w:szCs w:val="21"/>
                    </w:rPr>
                    <w:t>4</w:t>
                  </w:r>
                </w:p>
              </w:tc>
              <w:tc>
                <w:tcPr>
                  <w:tcW w:w="1380" w:type="dxa"/>
                  <w:noWrap/>
                  <w:vAlign w:val="center"/>
                </w:tcPr>
                <w:p w14:paraId="68FB421A">
                  <w:pPr>
                    <w:adjustRightInd w:val="0"/>
                    <w:snapToGrid w:val="0"/>
                    <w:ind w:left="-119" w:leftChars="-57" w:right="-107" w:rightChars="-51" w:hanging="1"/>
                    <w:jc w:val="center"/>
                    <w:rPr>
                      <w:color w:val="auto"/>
                      <w:szCs w:val="21"/>
                    </w:rPr>
                  </w:pPr>
                  <w:r>
                    <w:rPr>
                      <w:color w:val="auto"/>
                      <w:szCs w:val="21"/>
                    </w:rPr>
                    <w:t>北厂界</w:t>
                  </w:r>
                </w:p>
              </w:tc>
              <w:tc>
                <w:tcPr>
                  <w:tcW w:w="1116" w:type="dxa"/>
                  <w:noWrap/>
                  <w:vAlign w:val="center"/>
                </w:tcPr>
                <w:p w14:paraId="3B6D066C">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48</w:t>
                  </w:r>
                </w:p>
              </w:tc>
              <w:tc>
                <w:tcPr>
                  <w:tcW w:w="987" w:type="dxa"/>
                  <w:noWrap/>
                  <w:vAlign w:val="center"/>
                </w:tcPr>
                <w:p w14:paraId="49F0A7A4">
                  <w:pPr>
                    <w:adjustRightInd w:val="0"/>
                    <w:snapToGrid w:val="0"/>
                    <w:ind w:left="-119" w:leftChars="-57" w:right="-107" w:rightChars="-51" w:hanging="1"/>
                    <w:jc w:val="center"/>
                    <w:rPr>
                      <w:rFonts w:hint="default" w:eastAsia="宋体"/>
                      <w:color w:val="auto"/>
                      <w:szCs w:val="21"/>
                      <w:lang w:val="en-US" w:eastAsia="zh-CN"/>
                    </w:rPr>
                  </w:pPr>
                  <w:r>
                    <w:rPr>
                      <w:rFonts w:hint="eastAsia"/>
                      <w:color w:val="auto"/>
                      <w:szCs w:val="21"/>
                      <w:lang w:val="en-US" w:eastAsia="zh-CN"/>
                    </w:rPr>
                    <w:t>48</w:t>
                  </w:r>
                </w:p>
              </w:tc>
              <w:tc>
                <w:tcPr>
                  <w:tcW w:w="1479" w:type="dxa"/>
                  <w:vMerge w:val="continue"/>
                  <w:noWrap/>
                  <w:vAlign w:val="center"/>
                </w:tcPr>
                <w:p w14:paraId="7C3AE2EC">
                  <w:pPr>
                    <w:adjustRightInd w:val="0"/>
                    <w:snapToGrid w:val="0"/>
                    <w:ind w:firstLine="420" w:firstLineChars="200"/>
                    <w:jc w:val="center"/>
                    <w:rPr>
                      <w:color w:val="auto"/>
                      <w:szCs w:val="21"/>
                    </w:rPr>
                  </w:pPr>
                </w:p>
              </w:tc>
              <w:tc>
                <w:tcPr>
                  <w:tcW w:w="1510" w:type="dxa"/>
                  <w:vMerge w:val="continue"/>
                  <w:noWrap/>
                  <w:vAlign w:val="center"/>
                </w:tcPr>
                <w:p w14:paraId="21986D65">
                  <w:pPr>
                    <w:adjustRightInd w:val="0"/>
                    <w:snapToGrid w:val="0"/>
                    <w:ind w:firstLine="420" w:firstLineChars="200"/>
                    <w:jc w:val="center"/>
                    <w:rPr>
                      <w:color w:val="auto"/>
                      <w:szCs w:val="21"/>
                    </w:rPr>
                  </w:pPr>
                </w:p>
              </w:tc>
            </w:tr>
          </w:tbl>
          <w:p w14:paraId="0F88DA1C">
            <w:pPr>
              <w:adjustRightInd w:val="0"/>
              <w:snapToGrid w:val="0"/>
              <w:spacing w:beforeLines="50" w:line="360" w:lineRule="auto"/>
              <w:ind w:firstLine="480" w:firstLineChars="200"/>
              <w:rPr>
                <w:color w:val="auto"/>
                <w:sz w:val="24"/>
              </w:rPr>
            </w:pPr>
            <w:r>
              <w:rPr>
                <w:bCs/>
                <w:color w:val="auto"/>
                <w:sz w:val="24"/>
              </w:rPr>
              <w:t>预测结果表明，经建筑物的隔声、距离的衰减后，</w:t>
            </w:r>
            <w:r>
              <w:rPr>
                <w:rFonts w:hint="eastAsia"/>
                <w:bCs/>
                <w:color w:val="auto"/>
                <w:sz w:val="24"/>
              </w:rPr>
              <w:t>本项目</w:t>
            </w:r>
            <w:r>
              <w:rPr>
                <w:bCs/>
                <w:color w:val="auto"/>
                <w:sz w:val="24"/>
              </w:rPr>
              <w:t>厂界环境噪声能够满足《工业企业厂界环境噪声排放标准》</w:t>
            </w:r>
            <w:r>
              <w:rPr>
                <w:rFonts w:hint="eastAsia"/>
                <w:bCs/>
                <w:color w:val="auto"/>
                <w:sz w:val="24"/>
              </w:rPr>
              <w:t>（</w:t>
            </w:r>
            <w:r>
              <w:rPr>
                <w:bCs/>
                <w:color w:val="auto"/>
                <w:sz w:val="24"/>
              </w:rPr>
              <w:t>GB12348-2008</w:t>
            </w:r>
            <w:r>
              <w:rPr>
                <w:rFonts w:hint="eastAsia"/>
                <w:bCs/>
                <w:color w:val="auto"/>
                <w:sz w:val="24"/>
              </w:rPr>
              <w:t>）</w:t>
            </w:r>
            <w:r>
              <w:rPr>
                <w:bCs/>
                <w:color w:val="auto"/>
                <w:sz w:val="24"/>
              </w:rPr>
              <w:t>2类标准。</w:t>
            </w:r>
            <w:r>
              <w:rPr>
                <w:color w:val="auto"/>
                <w:sz w:val="24"/>
              </w:rPr>
              <w:t>项目设备噪声对周围声环境影响较小。</w:t>
            </w:r>
            <w:r>
              <w:rPr>
                <w:rFonts w:hint="eastAsia"/>
                <w:bCs/>
                <w:color w:val="auto"/>
                <w:sz w:val="24"/>
              </w:rPr>
              <w:t>本次环评建议建设单位</w:t>
            </w:r>
            <w:r>
              <w:rPr>
                <w:rFonts w:hint="eastAsia"/>
                <w:bCs/>
                <w:color w:val="auto"/>
                <w:sz w:val="24"/>
                <w:lang w:eastAsia="zh-CN"/>
              </w:rPr>
              <w:t>主要生产设备</w:t>
            </w:r>
            <w:r>
              <w:rPr>
                <w:rFonts w:hint="eastAsia"/>
                <w:bCs/>
                <w:color w:val="auto"/>
                <w:sz w:val="24"/>
              </w:rPr>
              <w:t>安装消音器，以保证最大程度减少机组噪声对周边环境的影响。</w:t>
            </w:r>
          </w:p>
          <w:p w14:paraId="079C5C18">
            <w:pPr>
              <w:spacing w:line="360" w:lineRule="auto"/>
              <w:ind w:firstLine="482" w:firstLineChars="200"/>
              <w:rPr>
                <w:b/>
                <w:bCs/>
                <w:color w:val="auto"/>
                <w:sz w:val="24"/>
              </w:rPr>
            </w:pPr>
            <w:r>
              <w:rPr>
                <w:rFonts w:hint="eastAsia"/>
                <w:b/>
                <w:bCs/>
                <w:color w:val="auto"/>
                <w:sz w:val="24"/>
              </w:rPr>
              <w:t>4、噪声监测计划</w:t>
            </w:r>
          </w:p>
          <w:p w14:paraId="143FDFA1">
            <w:pPr>
              <w:adjustRightInd w:val="0"/>
              <w:snapToGrid w:val="0"/>
              <w:spacing w:line="360" w:lineRule="auto"/>
              <w:ind w:firstLine="480" w:firstLineChars="200"/>
              <w:rPr>
                <w:b/>
                <w:bCs/>
                <w:color w:val="auto"/>
                <w:szCs w:val="21"/>
              </w:rPr>
            </w:pPr>
            <w:r>
              <w:rPr>
                <w:color w:val="auto"/>
                <w:sz w:val="24"/>
              </w:rPr>
              <w:t>根据《排污单位自行监测技术指南 总则》（HJ819-2017），制定本项目噪声监测计划如下：</w:t>
            </w:r>
          </w:p>
          <w:p w14:paraId="25484DBF">
            <w:pPr>
              <w:snapToGrid w:val="0"/>
              <w:jc w:val="center"/>
              <w:rPr>
                <w:b/>
                <w:bCs/>
                <w:color w:val="auto"/>
                <w:szCs w:val="21"/>
              </w:rPr>
            </w:pPr>
            <w:r>
              <w:rPr>
                <w:b/>
                <w:bCs/>
                <w:color w:val="auto"/>
                <w:szCs w:val="21"/>
              </w:rPr>
              <w:t>表4-</w:t>
            </w:r>
            <w:r>
              <w:rPr>
                <w:rFonts w:hint="eastAsia"/>
                <w:b/>
                <w:bCs/>
                <w:color w:val="auto"/>
                <w:szCs w:val="21"/>
              </w:rPr>
              <w:t>8</w:t>
            </w:r>
            <w:r>
              <w:rPr>
                <w:rFonts w:hint="eastAsia"/>
                <w:b/>
                <w:bCs/>
                <w:color w:val="auto"/>
                <w:szCs w:val="21"/>
                <w:lang w:val="en-US" w:eastAsia="zh-CN"/>
              </w:rPr>
              <w:t xml:space="preserve"> </w:t>
            </w:r>
            <w:r>
              <w:rPr>
                <w:b/>
                <w:bCs/>
                <w:color w:val="auto"/>
                <w:szCs w:val="21"/>
              </w:rPr>
              <w:t>噪声监测一览表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180"/>
              <w:gridCol w:w="2749"/>
              <w:gridCol w:w="2754"/>
            </w:tblGrid>
            <w:tr w14:paraId="7759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 w:type="pct"/>
                  <w:noWrap/>
                  <w:vAlign w:val="center"/>
                </w:tcPr>
                <w:p w14:paraId="0F86A2EC">
                  <w:pPr>
                    <w:adjustRightInd w:val="0"/>
                    <w:snapToGrid w:val="0"/>
                    <w:jc w:val="center"/>
                    <w:rPr>
                      <w:b/>
                      <w:bCs/>
                      <w:color w:val="auto"/>
                      <w:szCs w:val="21"/>
                    </w:rPr>
                  </w:pPr>
                  <w:r>
                    <w:rPr>
                      <w:b/>
                      <w:bCs/>
                      <w:color w:val="auto"/>
                      <w:szCs w:val="21"/>
                    </w:rPr>
                    <w:t>类别</w:t>
                  </w:r>
                </w:p>
              </w:tc>
              <w:tc>
                <w:tcPr>
                  <w:tcW w:w="714" w:type="pct"/>
                  <w:noWrap/>
                  <w:vAlign w:val="center"/>
                </w:tcPr>
                <w:p w14:paraId="71A20DE2">
                  <w:pPr>
                    <w:adjustRightInd w:val="0"/>
                    <w:snapToGrid w:val="0"/>
                    <w:jc w:val="center"/>
                    <w:rPr>
                      <w:b/>
                      <w:bCs/>
                      <w:color w:val="auto"/>
                      <w:szCs w:val="21"/>
                    </w:rPr>
                  </w:pPr>
                  <w:r>
                    <w:rPr>
                      <w:b/>
                      <w:bCs/>
                      <w:color w:val="auto"/>
                      <w:szCs w:val="21"/>
                    </w:rPr>
                    <w:t>监测点位</w:t>
                  </w:r>
                </w:p>
              </w:tc>
              <w:tc>
                <w:tcPr>
                  <w:tcW w:w="1665" w:type="pct"/>
                  <w:noWrap/>
                  <w:vAlign w:val="center"/>
                </w:tcPr>
                <w:p w14:paraId="78F6FA62">
                  <w:pPr>
                    <w:adjustRightInd w:val="0"/>
                    <w:snapToGrid w:val="0"/>
                    <w:jc w:val="center"/>
                    <w:rPr>
                      <w:b/>
                      <w:bCs/>
                      <w:color w:val="auto"/>
                      <w:szCs w:val="21"/>
                    </w:rPr>
                  </w:pPr>
                  <w:r>
                    <w:rPr>
                      <w:b/>
                      <w:bCs/>
                      <w:color w:val="auto"/>
                      <w:szCs w:val="21"/>
                    </w:rPr>
                    <w:t>监测项目</w:t>
                  </w:r>
                </w:p>
              </w:tc>
              <w:tc>
                <w:tcPr>
                  <w:tcW w:w="1668" w:type="pct"/>
                  <w:noWrap/>
                  <w:vAlign w:val="center"/>
                </w:tcPr>
                <w:p w14:paraId="58DB9CDD">
                  <w:pPr>
                    <w:adjustRightInd w:val="0"/>
                    <w:snapToGrid w:val="0"/>
                    <w:jc w:val="center"/>
                    <w:rPr>
                      <w:b/>
                      <w:bCs/>
                      <w:color w:val="auto"/>
                      <w:szCs w:val="21"/>
                    </w:rPr>
                  </w:pPr>
                  <w:r>
                    <w:rPr>
                      <w:b/>
                      <w:bCs/>
                      <w:color w:val="auto"/>
                      <w:szCs w:val="21"/>
                    </w:rPr>
                    <w:t>监测频率</w:t>
                  </w:r>
                </w:p>
              </w:tc>
            </w:tr>
            <w:tr w14:paraId="668A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 w:type="pct"/>
                  <w:vMerge w:val="restart"/>
                  <w:noWrap/>
                  <w:vAlign w:val="center"/>
                </w:tcPr>
                <w:p w14:paraId="702F5223">
                  <w:pPr>
                    <w:adjustRightInd w:val="0"/>
                    <w:snapToGrid w:val="0"/>
                    <w:jc w:val="center"/>
                    <w:rPr>
                      <w:color w:val="auto"/>
                      <w:szCs w:val="21"/>
                    </w:rPr>
                  </w:pPr>
                  <w:r>
                    <w:rPr>
                      <w:color w:val="auto"/>
                      <w:szCs w:val="21"/>
                    </w:rPr>
                    <w:t>厂界噪声</w:t>
                  </w:r>
                </w:p>
              </w:tc>
              <w:tc>
                <w:tcPr>
                  <w:tcW w:w="714" w:type="pct"/>
                  <w:noWrap/>
                  <w:vAlign w:val="center"/>
                </w:tcPr>
                <w:p w14:paraId="6D114641">
                  <w:pPr>
                    <w:adjustRightInd w:val="0"/>
                    <w:snapToGrid w:val="0"/>
                    <w:jc w:val="center"/>
                    <w:rPr>
                      <w:color w:val="auto"/>
                      <w:szCs w:val="21"/>
                    </w:rPr>
                  </w:pPr>
                  <w:r>
                    <w:rPr>
                      <w:rFonts w:hint="eastAsia"/>
                      <w:color w:val="auto"/>
                      <w:szCs w:val="21"/>
                    </w:rPr>
                    <w:t>东</w:t>
                  </w:r>
                  <w:r>
                    <w:rPr>
                      <w:color w:val="auto"/>
                      <w:szCs w:val="21"/>
                    </w:rPr>
                    <w:t>厂界</w:t>
                  </w:r>
                </w:p>
              </w:tc>
              <w:tc>
                <w:tcPr>
                  <w:tcW w:w="1665" w:type="pct"/>
                  <w:vMerge w:val="restart"/>
                  <w:noWrap/>
                  <w:vAlign w:val="center"/>
                </w:tcPr>
                <w:p w14:paraId="30EA7531">
                  <w:pPr>
                    <w:adjustRightInd w:val="0"/>
                    <w:snapToGrid w:val="0"/>
                    <w:jc w:val="center"/>
                    <w:rPr>
                      <w:color w:val="auto"/>
                      <w:szCs w:val="21"/>
                    </w:rPr>
                  </w:pPr>
                  <w:r>
                    <w:rPr>
                      <w:color w:val="auto"/>
                      <w:szCs w:val="21"/>
                    </w:rPr>
                    <w:t>等效连续A声级</w:t>
                  </w:r>
                </w:p>
              </w:tc>
              <w:tc>
                <w:tcPr>
                  <w:tcW w:w="1668" w:type="pct"/>
                  <w:vMerge w:val="restart"/>
                  <w:noWrap/>
                  <w:vAlign w:val="center"/>
                </w:tcPr>
                <w:p w14:paraId="7A64B785">
                  <w:pPr>
                    <w:adjustRightInd w:val="0"/>
                    <w:snapToGrid w:val="0"/>
                    <w:jc w:val="center"/>
                    <w:rPr>
                      <w:color w:val="auto"/>
                      <w:szCs w:val="21"/>
                    </w:rPr>
                  </w:pPr>
                  <w:r>
                    <w:rPr>
                      <w:color w:val="auto"/>
                      <w:szCs w:val="21"/>
                    </w:rPr>
                    <w:t>1</w:t>
                  </w:r>
                  <w:r>
                    <w:rPr>
                      <w:rFonts w:hint="eastAsia"/>
                      <w:color w:val="auto"/>
                      <w:szCs w:val="21"/>
                    </w:rPr>
                    <w:t>季度</w:t>
                  </w:r>
                  <w:r>
                    <w:rPr>
                      <w:color w:val="auto"/>
                      <w:szCs w:val="21"/>
                    </w:rPr>
                    <w:t>/次</w:t>
                  </w:r>
                </w:p>
              </w:tc>
            </w:tr>
            <w:tr w14:paraId="5F0D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 w:type="pct"/>
                  <w:vMerge w:val="continue"/>
                  <w:noWrap/>
                  <w:vAlign w:val="center"/>
                </w:tcPr>
                <w:p w14:paraId="12AE8B49">
                  <w:pPr>
                    <w:adjustRightInd w:val="0"/>
                    <w:snapToGrid w:val="0"/>
                    <w:jc w:val="center"/>
                    <w:rPr>
                      <w:color w:val="auto"/>
                      <w:szCs w:val="21"/>
                    </w:rPr>
                  </w:pPr>
                </w:p>
              </w:tc>
              <w:tc>
                <w:tcPr>
                  <w:tcW w:w="714" w:type="pct"/>
                  <w:noWrap/>
                  <w:vAlign w:val="center"/>
                </w:tcPr>
                <w:p w14:paraId="496185F7">
                  <w:pPr>
                    <w:adjustRightInd w:val="0"/>
                    <w:snapToGrid w:val="0"/>
                    <w:jc w:val="center"/>
                    <w:rPr>
                      <w:color w:val="auto"/>
                      <w:szCs w:val="21"/>
                    </w:rPr>
                  </w:pPr>
                  <w:r>
                    <w:rPr>
                      <w:rFonts w:hint="eastAsia"/>
                      <w:color w:val="auto"/>
                      <w:szCs w:val="21"/>
                    </w:rPr>
                    <w:t>南厂界</w:t>
                  </w:r>
                </w:p>
              </w:tc>
              <w:tc>
                <w:tcPr>
                  <w:tcW w:w="1665" w:type="pct"/>
                  <w:vMerge w:val="continue"/>
                  <w:noWrap/>
                  <w:vAlign w:val="center"/>
                </w:tcPr>
                <w:p w14:paraId="02CB9320">
                  <w:pPr>
                    <w:adjustRightInd w:val="0"/>
                    <w:snapToGrid w:val="0"/>
                    <w:jc w:val="center"/>
                    <w:rPr>
                      <w:color w:val="auto"/>
                      <w:szCs w:val="21"/>
                    </w:rPr>
                  </w:pPr>
                </w:p>
              </w:tc>
              <w:tc>
                <w:tcPr>
                  <w:tcW w:w="1668" w:type="pct"/>
                  <w:vMerge w:val="continue"/>
                  <w:noWrap/>
                  <w:vAlign w:val="center"/>
                </w:tcPr>
                <w:p w14:paraId="11E038F7">
                  <w:pPr>
                    <w:adjustRightInd w:val="0"/>
                    <w:snapToGrid w:val="0"/>
                    <w:jc w:val="center"/>
                    <w:rPr>
                      <w:color w:val="auto"/>
                      <w:szCs w:val="21"/>
                    </w:rPr>
                  </w:pPr>
                </w:p>
              </w:tc>
            </w:tr>
            <w:tr w14:paraId="27D2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 w:type="pct"/>
                  <w:vMerge w:val="continue"/>
                  <w:noWrap/>
                  <w:vAlign w:val="center"/>
                </w:tcPr>
                <w:p w14:paraId="446D75F4">
                  <w:pPr>
                    <w:adjustRightInd w:val="0"/>
                    <w:snapToGrid w:val="0"/>
                    <w:jc w:val="center"/>
                    <w:rPr>
                      <w:color w:val="auto"/>
                      <w:szCs w:val="21"/>
                    </w:rPr>
                  </w:pPr>
                </w:p>
              </w:tc>
              <w:tc>
                <w:tcPr>
                  <w:tcW w:w="714" w:type="pct"/>
                  <w:noWrap/>
                  <w:vAlign w:val="center"/>
                </w:tcPr>
                <w:p w14:paraId="35A54EA8">
                  <w:pPr>
                    <w:adjustRightInd w:val="0"/>
                    <w:snapToGrid w:val="0"/>
                    <w:jc w:val="center"/>
                    <w:rPr>
                      <w:color w:val="auto"/>
                      <w:szCs w:val="21"/>
                    </w:rPr>
                  </w:pPr>
                  <w:r>
                    <w:rPr>
                      <w:rFonts w:hint="eastAsia"/>
                      <w:color w:val="auto"/>
                      <w:szCs w:val="21"/>
                    </w:rPr>
                    <w:t>西厂界</w:t>
                  </w:r>
                </w:p>
              </w:tc>
              <w:tc>
                <w:tcPr>
                  <w:tcW w:w="1665" w:type="pct"/>
                  <w:vMerge w:val="continue"/>
                  <w:noWrap/>
                  <w:vAlign w:val="center"/>
                </w:tcPr>
                <w:p w14:paraId="2300764A">
                  <w:pPr>
                    <w:adjustRightInd w:val="0"/>
                    <w:snapToGrid w:val="0"/>
                    <w:jc w:val="center"/>
                    <w:rPr>
                      <w:color w:val="auto"/>
                      <w:szCs w:val="21"/>
                    </w:rPr>
                  </w:pPr>
                </w:p>
              </w:tc>
              <w:tc>
                <w:tcPr>
                  <w:tcW w:w="1668" w:type="pct"/>
                  <w:vMerge w:val="continue"/>
                  <w:noWrap/>
                  <w:vAlign w:val="center"/>
                </w:tcPr>
                <w:p w14:paraId="1DC5F260">
                  <w:pPr>
                    <w:adjustRightInd w:val="0"/>
                    <w:snapToGrid w:val="0"/>
                    <w:jc w:val="center"/>
                    <w:rPr>
                      <w:color w:val="auto"/>
                      <w:szCs w:val="21"/>
                    </w:rPr>
                  </w:pPr>
                </w:p>
              </w:tc>
            </w:tr>
            <w:tr w14:paraId="46BE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2" w:type="pct"/>
                  <w:vMerge w:val="continue"/>
                  <w:noWrap/>
                  <w:vAlign w:val="center"/>
                </w:tcPr>
                <w:p w14:paraId="54DF1202">
                  <w:pPr>
                    <w:adjustRightInd w:val="0"/>
                    <w:snapToGrid w:val="0"/>
                    <w:jc w:val="center"/>
                    <w:rPr>
                      <w:color w:val="auto"/>
                      <w:szCs w:val="21"/>
                    </w:rPr>
                  </w:pPr>
                </w:p>
              </w:tc>
              <w:tc>
                <w:tcPr>
                  <w:tcW w:w="714" w:type="pct"/>
                  <w:noWrap/>
                  <w:vAlign w:val="center"/>
                </w:tcPr>
                <w:p w14:paraId="614EBDBE">
                  <w:pPr>
                    <w:adjustRightInd w:val="0"/>
                    <w:snapToGrid w:val="0"/>
                    <w:jc w:val="center"/>
                    <w:rPr>
                      <w:color w:val="auto"/>
                      <w:szCs w:val="21"/>
                    </w:rPr>
                  </w:pPr>
                  <w:r>
                    <w:rPr>
                      <w:rFonts w:hint="eastAsia"/>
                      <w:color w:val="auto"/>
                      <w:szCs w:val="21"/>
                    </w:rPr>
                    <w:t>北厂界</w:t>
                  </w:r>
                </w:p>
              </w:tc>
              <w:tc>
                <w:tcPr>
                  <w:tcW w:w="1665" w:type="pct"/>
                  <w:vMerge w:val="continue"/>
                  <w:noWrap/>
                  <w:vAlign w:val="center"/>
                </w:tcPr>
                <w:p w14:paraId="293D8A91">
                  <w:pPr>
                    <w:adjustRightInd w:val="0"/>
                    <w:snapToGrid w:val="0"/>
                    <w:jc w:val="center"/>
                    <w:rPr>
                      <w:color w:val="auto"/>
                      <w:szCs w:val="21"/>
                    </w:rPr>
                  </w:pPr>
                </w:p>
              </w:tc>
              <w:tc>
                <w:tcPr>
                  <w:tcW w:w="1668" w:type="pct"/>
                  <w:vMerge w:val="continue"/>
                  <w:noWrap/>
                  <w:vAlign w:val="center"/>
                </w:tcPr>
                <w:p w14:paraId="77CC25F7">
                  <w:pPr>
                    <w:adjustRightInd w:val="0"/>
                    <w:snapToGrid w:val="0"/>
                    <w:jc w:val="center"/>
                    <w:rPr>
                      <w:color w:val="auto"/>
                      <w:szCs w:val="21"/>
                    </w:rPr>
                  </w:pPr>
                </w:p>
              </w:tc>
            </w:tr>
          </w:tbl>
          <w:p w14:paraId="59363289">
            <w:pPr>
              <w:widowControl/>
              <w:adjustRightInd w:val="0"/>
              <w:snapToGrid w:val="0"/>
              <w:spacing w:beforeLines="50" w:line="360" w:lineRule="auto"/>
              <w:jc w:val="left"/>
              <w:rPr>
                <w:color w:val="auto"/>
              </w:rPr>
            </w:pPr>
            <w:r>
              <w:rPr>
                <w:rFonts w:hint="eastAsia" w:ascii="宋体" w:hAnsi="宋体" w:cs="宋体"/>
                <w:b/>
                <w:bCs/>
                <w:color w:val="auto"/>
                <w:kern w:val="0"/>
                <w:sz w:val="24"/>
              </w:rPr>
              <w:t>四、固体废物</w:t>
            </w:r>
          </w:p>
          <w:p w14:paraId="0CDC14CF">
            <w:pPr>
              <w:adjustRightInd w:val="0"/>
              <w:snapToGrid w:val="0"/>
              <w:spacing w:line="360" w:lineRule="auto"/>
              <w:ind w:firstLine="480" w:firstLineChars="200"/>
              <w:rPr>
                <w:color w:val="auto"/>
                <w:sz w:val="24"/>
              </w:rPr>
            </w:pPr>
            <w:r>
              <w:rPr>
                <w:rFonts w:hint="eastAsia"/>
                <w:color w:val="auto"/>
                <w:sz w:val="24"/>
              </w:rPr>
              <w:t xml:space="preserve">1、固体废物污染源分析 </w:t>
            </w:r>
          </w:p>
          <w:p w14:paraId="4C765A06">
            <w:pPr>
              <w:pStyle w:val="12"/>
              <w:adjustRightInd w:val="0"/>
              <w:snapToGrid w:val="0"/>
              <w:spacing w:after="0" w:line="360" w:lineRule="auto"/>
              <w:ind w:left="0" w:leftChars="0" w:firstLine="480" w:firstLineChars="200"/>
              <w:rPr>
                <w:color w:val="auto"/>
              </w:rPr>
            </w:pPr>
            <w:r>
              <w:rPr>
                <w:rFonts w:hint="eastAsia"/>
                <w:color w:val="auto"/>
              </w:rPr>
              <w:t>（1）一般固体废物</w:t>
            </w:r>
          </w:p>
          <w:p w14:paraId="524335EC">
            <w:pPr>
              <w:adjustRightInd w:val="0"/>
              <w:snapToGrid w:val="0"/>
              <w:spacing w:line="360" w:lineRule="auto"/>
              <w:ind w:firstLine="480" w:firstLineChars="200"/>
              <w:rPr>
                <w:bCs/>
                <w:color w:val="auto"/>
                <w:sz w:val="24"/>
              </w:rPr>
            </w:pPr>
            <w:r>
              <w:rPr>
                <w:rFonts w:hint="eastAsia"/>
                <w:bCs/>
                <w:color w:val="auto"/>
                <w:sz w:val="24"/>
              </w:rPr>
              <w:t>①生活垃圾</w:t>
            </w:r>
          </w:p>
          <w:p w14:paraId="4365CFCE">
            <w:pPr>
              <w:adjustRightInd w:val="0"/>
              <w:snapToGrid w:val="0"/>
              <w:spacing w:line="360" w:lineRule="auto"/>
              <w:ind w:firstLine="480" w:firstLineChars="200"/>
              <w:rPr>
                <w:bCs/>
                <w:color w:val="auto"/>
                <w:sz w:val="24"/>
              </w:rPr>
            </w:pPr>
            <w:r>
              <w:rPr>
                <w:rFonts w:hint="eastAsia"/>
                <w:bCs/>
                <w:color w:val="auto"/>
                <w:sz w:val="24"/>
              </w:rPr>
              <w:t>项目劳动定员4</w:t>
            </w:r>
            <w:r>
              <w:rPr>
                <w:rFonts w:hint="eastAsia"/>
                <w:bCs/>
                <w:color w:val="auto"/>
                <w:sz w:val="24"/>
                <w:lang w:val="en-US" w:eastAsia="zh-CN"/>
              </w:rPr>
              <w:t>0</w:t>
            </w:r>
            <w:r>
              <w:rPr>
                <w:rFonts w:hint="eastAsia"/>
                <w:bCs/>
                <w:color w:val="auto"/>
                <w:sz w:val="24"/>
              </w:rPr>
              <w:t>人，年工作日3</w:t>
            </w:r>
            <w:r>
              <w:rPr>
                <w:rFonts w:hint="eastAsia"/>
                <w:bCs/>
                <w:color w:val="auto"/>
                <w:sz w:val="24"/>
                <w:lang w:val="en-US" w:eastAsia="zh-CN"/>
              </w:rPr>
              <w:t>00</w:t>
            </w:r>
            <w:r>
              <w:rPr>
                <w:rFonts w:hint="eastAsia"/>
                <w:bCs/>
                <w:color w:val="auto"/>
                <w:sz w:val="24"/>
              </w:rPr>
              <w:t>天，生活垃圾产生量按照0.5kg/人·d计算，产生生活垃圾量</w:t>
            </w:r>
            <w:r>
              <w:rPr>
                <w:rFonts w:hint="eastAsia"/>
                <w:bCs/>
                <w:color w:val="auto"/>
                <w:sz w:val="24"/>
                <w:lang w:val="en-US" w:eastAsia="zh-CN"/>
              </w:rPr>
              <w:t>6.000</w:t>
            </w:r>
            <w:r>
              <w:rPr>
                <w:rFonts w:hint="eastAsia"/>
                <w:bCs/>
                <w:color w:val="auto"/>
                <w:sz w:val="24"/>
              </w:rPr>
              <w:t>t/a，由环卫部门定期清运处理。</w:t>
            </w:r>
          </w:p>
          <w:p w14:paraId="183E2E47">
            <w:pPr>
              <w:adjustRightInd w:val="0"/>
              <w:snapToGrid w:val="0"/>
              <w:spacing w:line="360" w:lineRule="auto"/>
              <w:ind w:firstLine="480" w:firstLineChars="200"/>
              <w:rPr>
                <w:rFonts w:hint="eastAsia"/>
                <w:color w:val="auto"/>
                <w:sz w:val="24"/>
              </w:rPr>
            </w:pPr>
            <w:r>
              <w:rPr>
                <w:rFonts w:hint="eastAsia"/>
                <w:color w:val="auto"/>
                <w:sz w:val="24"/>
              </w:rPr>
              <w:t>②豆渣</w:t>
            </w:r>
          </w:p>
          <w:p w14:paraId="73AE1A75">
            <w:pPr>
              <w:adjustRightInd w:val="0"/>
              <w:snapToGrid w:val="0"/>
              <w:spacing w:line="360" w:lineRule="auto"/>
              <w:ind w:firstLine="480" w:firstLineChars="200"/>
              <w:rPr>
                <w:bCs/>
                <w:color w:val="auto"/>
                <w:sz w:val="24"/>
              </w:rPr>
            </w:pPr>
            <w:r>
              <w:rPr>
                <w:rFonts w:hint="eastAsia"/>
                <w:color w:val="auto"/>
                <w:sz w:val="24"/>
              </w:rPr>
              <w:t>磨浆、分离工序会产生豆渣，豆渣产生量约为黄豆使用量的20%，豆渣含水率为80%，则豆渣产生量为6000t/a；豆渣</w:t>
            </w:r>
            <w:r>
              <w:rPr>
                <w:rFonts w:hint="eastAsia"/>
                <w:color w:val="auto"/>
                <w:sz w:val="24"/>
                <w:lang w:val="en-US" w:eastAsia="zh-CN"/>
              </w:rPr>
              <w:t>经</w:t>
            </w:r>
            <w:r>
              <w:rPr>
                <w:rFonts w:hint="eastAsia"/>
                <w:color w:val="auto"/>
                <w:sz w:val="24"/>
              </w:rPr>
              <w:t>企业收集后</w:t>
            </w:r>
            <w:r>
              <w:rPr>
                <w:rFonts w:hint="eastAsia"/>
                <w:color w:val="auto"/>
                <w:sz w:val="24"/>
                <w:lang w:val="en-US" w:eastAsia="zh-CN"/>
              </w:rPr>
              <w:t>位于园区养殖区的饲料，日产日清</w:t>
            </w:r>
            <w:r>
              <w:rPr>
                <w:rFonts w:hint="eastAsia"/>
                <w:bCs/>
                <w:color w:val="auto"/>
                <w:sz w:val="24"/>
              </w:rPr>
              <w:t>。</w:t>
            </w:r>
          </w:p>
          <w:p w14:paraId="12B8AF5F">
            <w:pPr>
              <w:adjustRightInd w:val="0"/>
              <w:snapToGrid w:val="0"/>
              <w:spacing w:line="360" w:lineRule="auto"/>
              <w:ind w:firstLine="480" w:firstLineChars="200"/>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rPr>
              <w:t>③</w:t>
            </w:r>
            <w:r>
              <w:rPr>
                <w:rFonts w:hint="eastAsia" w:ascii="Times New Roman" w:hAnsi="Times New Roman" w:eastAsia="宋体" w:cs="Times New Roman"/>
                <w:color w:val="auto"/>
                <w:sz w:val="24"/>
                <w:lang w:val="en-US" w:eastAsia="zh-CN"/>
              </w:rPr>
              <w:t>不合格产品：不合格产品产生量参照《排放源统计调查排污核算方法和系数手 册》中《</w:t>
            </w:r>
            <w:r>
              <w:rPr>
                <w:rFonts w:hint="default" w:ascii="Times New Roman" w:hAnsi="Times New Roman" w:eastAsia="宋体" w:cs="Times New Roman"/>
                <w:color w:val="auto"/>
                <w:sz w:val="24"/>
                <w:lang w:val="en-US" w:eastAsia="zh-CN"/>
              </w:rPr>
              <w:t xml:space="preserve">1392 </w:t>
            </w:r>
            <w:r>
              <w:rPr>
                <w:rFonts w:hint="eastAsia" w:ascii="Times New Roman" w:hAnsi="Times New Roman" w:eastAsia="宋体" w:cs="Times New Roman"/>
                <w:color w:val="auto"/>
                <w:sz w:val="24"/>
                <w:lang w:val="en-US" w:eastAsia="zh-CN"/>
              </w:rPr>
              <w:t>豆制品制造行业系数手册》豆腐（≥</w:t>
            </w:r>
            <w:r>
              <w:rPr>
                <w:rFonts w:hint="default" w:ascii="Times New Roman" w:hAnsi="Times New Roman" w:eastAsia="宋体" w:cs="Times New Roman"/>
                <w:color w:val="auto"/>
                <w:sz w:val="24"/>
                <w:lang w:val="en-US" w:eastAsia="zh-CN"/>
              </w:rPr>
              <w:t>5t-</w:t>
            </w:r>
            <w:r>
              <w:rPr>
                <w:rFonts w:hint="eastAsia" w:ascii="Times New Roman" w:hAnsi="Times New Roman" w:eastAsia="宋体" w:cs="Times New Roman"/>
                <w:color w:val="auto"/>
                <w:sz w:val="24"/>
                <w:lang w:val="en-US" w:eastAsia="zh-CN"/>
              </w:rPr>
              <w:t>原料</w:t>
            </w:r>
            <w:r>
              <w:rPr>
                <w:rFonts w:hint="default" w:ascii="Times New Roman" w:hAnsi="Times New Roman" w:eastAsia="宋体" w:cs="Times New Roman"/>
                <w:color w:val="auto"/>
                <w:sz w:val="24"/>
                <w:lang w:val="en-US" w:eastAsia="zh-CN"/>
              </w:rPr>
              <w:t>/d</w:t>
            </w:r>
            <w:r>
              <w:rPr>
                <w:rFonts w:hint="eastAsia" w:ascii="Times New Roman" w:hAnsi="Times New Roman" w:eastAsia="宋体" w:cs="Times New Roman"/>
                <w:color w:val="auto"/>
                <w:sz w:val="24"/>
                <w:lang w:val="en-US" w:eastAsia="zh-CN"/>
              </w:rPr>
              <w:t>）产排污系数表，一般固废产排污系数</w:t>
            </w:r>
            <w:r>
              <w:rPr>
                <w:rFonts w:hint="default" w:ascii="Times New Roman" w:hAnsi="Times New Roman" w:eastAsia="宋体" w:cs="Times New Roman"/>
                <w:color w:val="auto"/>
                <w:sz w:val="24"/>
                <w:lang w:val="en-US" w:eastAsia="zh-CN"/>
              </w:rPr>
              <w:t>0.0025t/t-</w:t>
            </w:r>
            <w:r>
              <w:rPr>
                <w:rFonts w:hint="eastAsia" w:ascii="Times New Roman" w:hAnsi="Times New Roman" w:eastAsia="宋体" w:cs="Times New Roman"/>
                <w:color w:val="auto"/>
                <w:sz w:val="24"/>
                <w:lang w:val="en-US" w:eastAsia="zh-CN"/>
              </w:rPr>
              <w:t xml:space="preserve">原料，本项目原料黄豆年用量为 </w:t>
            </w:r>
            <w:r>
              <w:rPr>
                <w:rFonts w:hint="default" w:ascii="Times New Roman" w:hAnsi="Times New Roman" w:eastAsia="宋体" w:cs="Times New Roman"/>
                <w:color w:val="auto"/>
                <w:sz w:val="24"/>
                <w:lang w:val="en-US" w:eastAsia="zh-CN"/>
              </w:rPr>
              <w:t>6000t/a</w:t>
            </w:r>
            <w:r>
              <w:rPr>
                <w:rFonts w:hint="eastAsia" w:ascii="Times New Roman" w:hAnsi="Times New Roman" w:eastAsia="宋体" w:cs="Times New Roman"/>
                <w:color w:val="auto"/>
                <w:sz w:val="24"/>
                <w:lang w:val="en-US" w:eastAsia="zh-CN"/>
              </w:rPr>
              <w:t>，则产生不合格品</w:t>
            </w:r>
            <w:r>
              <w:rPr>
                <w:rFonts w:hint="default" w:ascii="Times New Roman" w:hAnsi="Times New Roman" w:eastAsia="宋体" w:cs="Times New Roman"/>
                <w:color w:val="auto"/>
                <w:sz w:val="24"/>
                <w:lang w:val="en-US" w:eastAsia="zh-CN"/>
              </w:rPr>
              <w:t>15t/a</w:t>
            </w:r>
            <w:r>
              <w:rPr>
                <w:rFonts w:hint="eastAsia" w:ascii="Times New Roman" w:hAnsi="Times New Roman" w:eastAsia="宋体" w:cs="Times New Roman"/>
                <w:color w:val="auto"/>
                <w:sz w:val="24"/>
                <w:lang w:val="en-US" w:eastAsia="zh-CN"/>
              </w:rPr>
              <w:t>，</w:t>
            </w:r>
            <w:r>
              <w:rPr>
                <w:rFonts w:hint="eastAsia"/>
                <w:color w:val="auto"/>
                <w:sz w:val="24"/>
                <w:lang w:val="en-US" w:eastAsia="zh-CN"/>
              </w:rPr>
              <w:t>经</w:t>
            </w:r>
            <w:r>
              <w:rPr>
                <w:rFonts w:hint="eastAsia"/>
                <w:color w:val="auto"/>
                <w:sz w:val="24"/>
              </w:rPr>
              <w:t>企业收集后</w:t>
            </w:r>
            <w:r>
              <w:rPr>
                <w:rFonts w:hint="eastAsia"/>
                <w:color w:val="auto"/>
                <w:sz w:val="24"/>
                <w:lang w:val="en-US" w:eastAsia="zh-CN"/>
              </w:rPr>
              <w:t>位于园区养殖区的饲料，日产日清</w:t>
            </w:r>
            <w:r>
              <w:rPr>
                <w:rFonts w:hint="eastAsia" w:ascii="Times New Roman" w:hAnsi="Times New Roman" w:eastAsia="宋体" w:cs="Times New Roman"/>
                <w:color w:val="auto"/>
                <w:sz w:val="24"/>
                <w:lang w:val="en-US" w:eastAsia="zh-CN"/>
              </w:rPr>
              <w:t>。</w:t>
            </w:r>
          </w:p>
          <w:p w14:paraId="5D21B422">
            <w:pPr>
              <w:adjustRightInd w:val="0"/>
              <w:snapToGrid w:val="0"/>
              <w:spacing w:line="360" w:lineRule="auto"/>
              <w:ind w:firstLine="480" w:firstLineChars="200"/>
              <w:rPr>
                <w:rFonts w:hint="eastAsia"/>
                <w:bCs/>
                <w:color w:val="auto"/>
                <w:sz w:val="24"/>
              </w:rPr>
            </w:pPr>
            <w:r>
              <w:rPr>
                <w:rFonts w:hint="eastAsia"/>
                <w:bCs/>
                <w:color w:val="auto"/>
                <w:sz w:val="24"/>
              </w:rPr>
              <w:t>④废包装材料</w:t>
            </w:r>
          </w:p>
          <w:p w14:paraId="27D83E0F">
            <w:pPr>
              <w:adjustRightInd w:val="0"/>
              <w:snapToGrid w:val="0"/>
              <w:spacing w:line="360" w:lineRule="auto"/>
              <w:ind w:firstLine="480" w:firstLineChars="200"/>
              <w:rPr>
                <w:bCs/>
                <w:color w:val="auto"/>
                <w:sz w:val="24"/>
              </w:rPr>
            </w:pPr>
            <w:r>
              <w:rPr>
                <w:rFonts w:hint="eastAsia"/>
                <w:bCs/>
                <w:color w:val="auto"/>
                <w:sz w:val="24"/>
              </w:rPr>
              <w:t>包装过程中产生的废包装袋主要为黄豆、石膏、内酯及消泡剂包装袋。本项目黄豆年用量为6000t/a，包装规格均为50kg/袋，每个包装袋约0.02kg；石膏年用量为100t/a，包装规格均为20kg/袋，每个包装袋约0.01kg；内酯及消泡剂年用量为12t/a，包装规格均为1kg/袋，每个包装袋约0.002kg；经计算得，废包装材料产生量约为 2.474t/a，由企业收集后外售处置。</w:t>
            </w:r>
          </w:p>
          <w:p w14:paraId="09289252">
            <w:pPr>
              <w:adjustRightInd w:val="0"/>
              <w:snapToGrid w:val="0"/>
              <w:spacing w:line="360" w:lineRule="auto"/>
              <w:ind w:firstLine="480" w:firstLineChars="200"/>
              <w:rPr>
                <w:rFonts w:hint="eastAsia"/>
                <w:bCs/>
                <w:color w:val="auto"/>
                <w:sz w:val="24"/>
              </w:rPr>
            </w:pPr>
            <w:r>
              <w:rPr>
                <w:rFonts w:hint="eastAsia"/>
                <w:bCs/>
                <w:color w:val="auto"/>
                <w:sz w:val="24"/>
              </w:rPr>
              <w:t>⑤废RO反渗透膜</w:t>
            </w:r>
          </w:p>
          <w:p w14:paraId="3ABDF82E">
            <w:pPr>
              <w:adjustRightInd w:val="0"/>
              <w:snapToGrid w:val="0"/>
              <w:spacing w:line="360" w:lineRule="auto"/>
              <w:ind w:firstLine="480" w:firstLineChars="200"/>
              <w:rPr>
                <w:color w:val="auto"/>
                <w:sz w:val="24"/>
              </w:rPr>
            </w:pPr>
            <w:r>
              <w:rPr>
                <w:rFonts w:hint="eastAsia"/>
                <w:bCs/>
                <w:color w:val="auto"/>
                <w:sz w:val="24"/>
              </w:rPr>
              <w:t>本项目锅炉房设置</w:t>
            </w:r>
            <w:r>
              <w:rPr>
                <w:rFonts w:hint="eastAsia"/>
                <w:bCs/>
                <w:color w:val="auto"/>
                <w:sz w:val="24"/>
                <w:lang w:val="en-US" w:eastAsia="zh-CN"/>
              </w:rPr>
              <w:t>1</w:t>
            </w:r>
            <w:r>
              <w:rPr>
                <w:rFonts w:hint="eastAsia"/>
                <w:bCs/>
                <w:color w:val="auto"/>
                <w:sz w:val="24"/>
              </w:rPr>
              <w:t>台2t/h软水制备机，制备过程定期更换RO反渗透膜。软水制备机每季度更换一次，每次更换废滤芯约5kg，则废RO反渗透膜产生量约为</w:t>
            </w:r>
            <w:r>
              <w:rPr>
                <w:rFonts w:hint="eastAsia"/>
                <w:bCs/>
                <w:color w:val="auto"/>
                <w:sz w:val="24"/>
                <w:lang w:val="en-US" w:eastAsia="zh-CN"/>
              </w:rPr>
              <w:t>0.02</w:t>
            </w:r>
            <w:r>
              <w:rPr>
                <w:rFonts w:hint="eastAsia"/>
                <w:bCs/>
                <w:color w:val="auto"/>
                <w:sz w:val="24"/>
              </w:rPr>
              <w:t>t/a，属于一般固废，更换时由厂家直接回收</w:t>
            </w:r>
            <w:r>
              <w:rPr>
                <w:rFonts w:hint="eastAsia"/>
                <w:color w:val="auto"/>
                <w:sz w:val="24"/>
              </w:rPr>
              <w:t xml:space="preserve">。 </w:t>
            </w:r>
          </w:p>
          <w:p w14:paraId="0873B492">
            <w:pPr>
              <w:pStyle w:val="12"/>
              <w:adjustRightInd w:val="0"/>
              <w:snapToGrid w:val="0"/>
              <w:spacing w:after="0" w:line="360" w:lineRule="auto"/>
              <w:ind w:left="0" w:leftChars="0" w:firstLine="480" w:firstLineChars="200"/>
              <w:rPr>
                <w:color w:val="auto"/>
              </w:rPr>
            </w:pPr>
            <w:r>
              <w:rPr>
                <w:rFonts w:hint="eastAsia"/>
                <w:color w:val="auto"/>
              </w:rPr>
              <w:t>（2）危险废物</w:t>
            </w:r>
          </w:p>
          <w:p w14:paraId="1FB1BD66">
            <w:pPr>
              <w:adjustRightInd w:val="0"/>
              <w:snapToGrid w:val="0"/>
              <w:spacing w:line="360" w:lineRule="auto"/>
              <w:ind w:firstLine="480" w:firstLineChars="200"/>
              <w:rPr>
                <w:color w:val="auto"/>
                <w:sz w:val="24"/>
              </w:rPr>
            </w:pPr>
            <w:r>
              <w:rPr>
                <w:rFonts w:hint="eastAsia"/>
                <w:color w:val="auto"/>
                <w:sz w:val="24"/>
              </w:rPr>
              <w:t>根据本项目生产工艺及《国家危险废物名录（2021 年版）》、《固体废物鉴别标准通则》（GB 34330-2017）、《一般固体废物分类与代码》（GB/T 39198-2020）等相关文件进行工业固体废物及危险废物的判定，项目固废的危险废物属性</w:t>
            </w:r>
            <w:r>
              <w:rPr>
                <w:rFonts w:hint="eastAsia"/>
                <w:color w:val="auto"/>
                <w:sz w:val="24"/>
                <w:lang w:val="en-US" w:eastAsia="zh-CN"/>
              </w:rPr>
              <w:t>均不属于危废，因此本项目无危废产生</w:t>
            </w:r>
            <w:r>
              <w:rPr>
                <w:rFonts w:hint="eastAsia"/>
                <w:color w:val="auto"/>
                <w:sz w:val="24"/>
              </w:rPr>
              <w:t>。</w:t>
            </w:r>
          </w:p>
          <w:p w14:paraId="3680DBAB">
            <w:pPr>
              <w:jc w:val="center"/>
              <w:rPr>
                <w:rStyle w:val="33"/>
                <w:color w:val="auto"/>
                <w:kern w:val="0"/>
                <w:szCs w:val="20"/>
              </w:rPr>
            </w:pPr>
            <w:r>
              <w:rPr>
                <w:rFonts w:hint="eastAsia"/>
                <w:b/>
                <w:color w:val="auto"/>
              </w:rPr>
              <w:t>表</w:t>
            </w:r>
            <w:r>
              <w:rPr>
                <w:b/>
                <w:color w:val="auto"/>
              </w:rPr>
              <w:t>4-</w:t>
            </w:r>
            <w:r>
              <w:rPr>
                <w:rFonts w:hint="eastAsia"/>
                <w:b/>
                <w:color w:val="auto"/>
              </w:rPr>
              <w:t>9</w:t>
            </w:r>
            <w:r>
              <w:rPr>
                <w:b/>
                <w:color w:val="auto"/>
              </w:rPr>
              <w:t xml:space="preserve">  一般固体废物汇总表</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7"/>
              <w:gridCol w:w="835"/>
              <w:gridCol w:w="758"/>
              <w:gridCol w:w="707"/>
              <w:gridCol w:w="696"/>
              <w:gridCol w:w="946"/>
              <w:gridCol w:w="542"/>
              <w:gridCol w:w="964"/>
              <w:gridCol w:w="771"/>
              <w:gridCol w:w="818"/>
              <w:gridCol w:w="785"/>
            </w:tblGrid>
            <w:tr w14:paraId="3CE4D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59" w:type="pct"/>
                  <w:tcBorders>
                    <w:tl2br w:val="nil"/>
                    <w:tr2bl w:val="nil"/>
                  </w:tcBorders>
                  <w:noWrap/>
                  <w:vAlign w:val="center"/>
                </w:tcPr>
                <w:p w14:paraId="33C9AD59">
                  <w:pPr>
                    <w:adjustRightInd w:val="0"/>
                    <w:snapToGrid w:val="0"/>
                    <w:spacing w:before="60" w:after="60"/>
                    <w:jc w:val="center"/>
                    <w:rPr>
                      <w:b/>
                      <w:bCs/>
                      <w:color w:val="auto"/>
                      <w:sz w:val="21"/>
                      <w:szCs w:val="21"/>
                    </w:rPr>
                  </w:pPr>
                  <w:r>
                    <w:rPr>
                      <w:b/>
                      <w:bCs/>
                      <w:color w:val="auto"/>
                      <w:sz w:val="21"/>
                      <w:szCs w:val="21"/>
                    </w:rPr>
                    <w:t>序号</w:t>
                  </w:r>
                </w:p>
              </w:tc>
              <w:tc>
                <w:tcPr>
                  <w:tcW w:w="506" w:type="pct"/>
                  <w:tcBorders>
                    <w:tl2br w:val="nil"/>
                    <w:tr2bl w:val="nil"/>
                  </w:tcBorders>
                  <w:noWrap/>
                  <w:vAlign w:val="center"/>
                </w:tcPr>
                <w:p w14:paraId="668840E6">
                  <w:pPr>
                    <w:adjustRightInd w:val="0"/>
                    <w:snapToGrid w:val="0"/>
                    <w:spacing w:before="60" w:after="60"/>
                    <w:jc w:val="center"/>
                    <w:rPr>
                      <w:b/>
                      <w:bCs/>
                      <w:color w:val="auto"/>
                      <w:sz w:val="21"/>
                      <w:szCs w:val="21"/>
                    </w:rPr>
                  </w:pPr>
                  <w:r>
                    <w:rPr>
                      <w:b/>
                      <w:bCs/>
                      <w:color w:val="auto"/>
                      <w:sz w:val="21"/>
                      <w:szCs w:val="21"/>
                    </w:rPr>
                    <w:t>固废名称</w:t>
                  </w:r>
                </w:p>
              </w:tc>
              <w:tc>
                <w:tcPr>
                  <w:tcW w:w="459" w:type="pct"/>
                  <w:tcBorders>
                    <w:tl2br w:val="nil"/>
                    <w:tr2bl w:val="nil"/>
                  </w:tcBorders>
                  <w:noWrap/>
                  <w:vAlign w:val="center"/>
                </w:tcPr>
                <w:p w14:paraId="660B3935">
                  <w:pPr>
                    <w:adjustRightInd w:val="0"/>
                    <w:snapToGrid w:val="0"/>
                    <w:spacing w:before="60" w:after="60"/>
                    <w:jc w:val="center"/>
                    <w:rPr>
                      <w:b/>
                      <w:bCs/>
                      <w:color w:val="auto"/>
                      <w:sz w:val="21"/>
                      <w:szCs w:val="21"/>
                    </w:rPr>
                  </w:pPr>
                  <w:r>
                    <w:rPr>
                      <w:b/>
                      <w:bCs/>
                      <w:color w:val="auto"/>
                      <w:sz w:val="21"/>
                      <w:szCs w:val="21"/>
                    </w:rPr>
                    <w:t>产生环节</w:t>
                  </w:r>
                </w:p>
              </w:tc>
              <w:tc>
                <w:tcPr>
                  <w:tcW w:w="428" w:type="pct"/>
                  <w:tcBorders>
                    <w:tl2br w:val="nil"/>
                    <w:tr2bl w:val="nil"/>
                  </w:tcBorders>
                  <w:noWrap/>
                  <w:vAlign w:val="center"/>
                </w:tcPr>
                <w:p w14:paraId="442712B7">
                  <w:pPr>
                    <w:adjustRightInd w:val="0"/>
                    <w:snapToGrid w:val="0"/>
                    <w:spacing w:before="60" w:after="60"/>
                    <w:jc w:val="center"/>
                    <w:rPr>
                      <w:b/>
                      <w:bCs/>
                      <w:color w:val="auto"/>
                      <w:sz w:val="21"/>
                      <w:szCs w:val="21"/>
                    </w:rPr>
                  </w:pPr>
                  <w:r>
                    <w:rPr>
                      <w:b/>
                      <w:bCs/>
                      <w:color w:val="auto"/>
                      <w:sz w:val="21"/>
                      <w:szCs w:val="21"/>
                    </w:rPr>
                    <w:t>属性</w:t>
                  </w:r>
                </w:p>
              </w:tc>
              <w:tc>
                <w:tcPr>
                  <w:tcW w:w="421" w:type="pct"/>
                  <w:tcBorders>
                    <w:tl2br w:val="nil"/>
                    <w:tr2bl w:val="nil"/>
                  </w:tcBorders>
                  <w:noWrap/>
                  <w:vAlign w:val="center"/>
                </w:tcPr>
                <w:p w14:paraId="163D66A1">
                  <w:pPr>
                    <w:adjustRightInd w:val="0"/>
                    <w:snapToGrid w:val="0"/>
                    <w:spacing w:before="60" w:after="60"/>
                    <w:jc w:val="center"/>
                    <w:rPr>
                      <w:b/>
                      <w:bCs/>
                      <w:color w:val="auto"/>
                      <w:sz w:val="21"/>
                      <w:szCs w:val="21"/>
                    </w:rPr>
                  </w:pPr>
                  <w:r>
                    <w:rPr>
                      <w:b/>
                      <w:bCs/>
                      <w:color w:val="auto"/>
                      <w:sz w:val="21"/>
                      <w:szCs w:val="21"/>
                    </w:rPr>
                    <w:t>物理性状</w:t>
                  </w:r>
                </w:p>
              </w:tc>
              <w:tc>
                <w:tcPr>
                  <w:tcW w:w="573" w:type="pct"/>
                  <w:tcBorders>
                    <w:tl2br w:val="nil"/>
                    <w:tr2bl w:val="nil"/>
                  </w:tcBorders>
                  <w:noWrap/>
                  <w:vAlign w:val="center"/>
                </w:tcPr>
                <w:p w14:paraId="7108B315">
                  <w:pPr>
                    <w:adjustRightInd w:val="0"/>
                    <w:snapToGrid w:val="0"/>
                    <w:spacing w:before="60" w:after="60"/>
                    <w:jc w:val="center"/>
                    <w:rPr>
                      <w:b/>
                      <w:bCs/>
                      <w:color w:val="auto"/>
                      <w:sz w:val="21"/>
                      <w:szCs w:val="21"/>
                    </w:rPr>
                  </w:pPr>
                  <w:r>
                    <w:rPr>
                      <w:b/>
                      <w:color w:val="auto"/>
                      <w:sz w:val="21"/>
                      <w:szCs w:val="21"/>
                    </w:rPr>
                    <w:t>主要成分/有害成分</w:t>
                  </w:r>
                </w:p>
              </w:tc>
              <w:tc>
                <w:tcPr>
                  <w:tcW w:w="328" w:type="pct"/>
                  <w:tcBorders>
                    <w:tl2br w:val="nil"/>
                    <w:tr2bl w:val="nil"/>
                  </w:tcBorders>
                  <w:noWrap/>
                  <w:vAlign w:val="center"/>
                </w:tcPr>
                <w:p w14:paraId="53066AD7">
                  <w:pPr>
                    <w:adjustRightInd w:val="0"/>
                    <w:snapToGrid w:val="0"/>
                    <w:spacing w:before="60" w:after="60"/>
                    <w:jc w:val="center"/>
                    <w:rPr>
                      <w:b/>
                      <w:bCs/>
                      <w:color w:val="auto"/>
                      <w:sz w:val="21"/>
                      <w:szCs w:val="21"/>
                    </w:rPr>
                  </w:pPr>
                  <w:r>
                    <w:rPr>
                      <w:b/>
                      <w:bCs/>
                      <w:color w:val="auto"/>
                      <w:sz w:val="21"/>
                      <w:szCs w:val="21"/>
                    </w:rPr>
                    <w:t>危险特性</w:t>
                  </w:r>
                </w:p>
              </w:tc>
              <w:tc>
                <w:tcPr>
                  <w:tcW w:w="584" w:type="pct"/>
                  <w:tcBorders>
                    <w:tl2br w:val="nil"/>
                    <w:tr2bl w:val="nil"/>
                  </w:tcBorders>
                  <w:noWrap/>
                  <w:vAlign w:val="center"/>
                </w:tcPr>
                <w:p w14:paraId="3B5E2C49">
                  <w:pPr>
                    <w:adjustRightInd w:val="0"/>
                    <w:snapToGrid w:val="0"/>
                    <w:spacing w:before="60" w:after="60"/>
                    <w:jc w:val="center"/>
                    <w:rPr>
                      <w:b/>
                      <w:bCs/>
                      <w:color w:val="auto"/>
                      <w:sz w:val="21"/>
                      <w:szCs w:val="21"/>
                    </w:rPr>
                  </w:pPr>
                  <w:r>
                    <w:rPr>
                      <w:b/>
                      <w:bCs/>
                      <w:color w:val="auto"/>
                      <w:sz w:val="21"/>
                      <w:szCs w:val="21"/>
                    </w:rPr>
                    <w:t>产生量（t/a）</w:t>
                  </w:r>
                </w:p>
              </w:tc>
              <w:tc>
                <w:tcPr>
                  <w:tcW w:w="467" w:type="pct"/>
                  <w:tcBorders>
                    <w:tl2br w:val="nil"/>
                    <w:tr2bl w:val="nil"/>
                  </w:tcBorders>
                  <w:noWrap/>
                  <w:vAlign w:val="center"/>
                </w:tcPr>
                <w:p w14:paraId="25753A1D">
                  <w:pPr>
                    <w:adjustRightInd w:val="0"/>
                    <w:snapToGrid w:val="0"/>
                    <w:spacing w:before="60" w:after="60"/>
                    <w:jc w:val="center"/>
                    <w:rPr>
                      <w:b/>
                      <w:bCs/>
                      <w:color w:val="auto"/>
                      <w:sz w:val="21"/>
                      <w:szCs w:val="21"/>
                    </w:rPr>
                  </w:pPr>
                  <w:r>
                    <w:rPr>
                      <w:b/>
                      <w:bCs/>
                      <w:color w:val="auto"/>
                      <w:sz w:val="21"/>
                      <w:szCs w:val="21"/>
                    </w:rPr>
                    <w:t>贮存方式</w:t>
                  </w:r>
                </w:p>
              </w:tc>
              <w:tc>
                <w:tcPr>
                  <w:tcW w:w="496" w:type="pct"/>
                  <w:tcBorders>
                    <w:tl2br w:val="nil"/>
                    <w:tr2bl w:val="nil"/>
                  </w:tcBorders>
                  <w:noWrap/>
                  <w:vAlign w:val="center"/>
                </w:tcPr>
                <w:p w14:paraId="551CAD84">
                  <w:pPr>
                    <w:adjustRightInd w:val="0"/>
                    <w:snapToGrid w:val="0"/>
                    <w:spacing w:before="60" w:after="60"/>
                    <w:jc w:val="center"/>
                    <w:rPr>
                      <w:b/>
                      <w:bCs/>
                      <w:color w:val="auto"/>
                      <w:sz w:val="21"/>
                      <w:szCs w:val="21"/>
                    </w:rPr>
                  </w:pPr>
                  <w:r>
                    <w:rPr>
                      <w:b/>
                      <w:bCs/>
                      <w:color w:val="auto"/>
                      <w:sz w:val="21"/>
                      <w:szCs w:val="21"/>
                    </w:rPr>
                    <w:t>利用处置方式和去向</w:t>
                  </w:r>
                </w:p>
              </w:tc>
              <w:tc>
                <w:tcPr>
                  <w:tcW w:w="475" w:type="pct"/>
                  <w:tcBorders>
                    <w:tl2br w:val="nil"/>
                    <w:tr2bl w:val="nil"/>
                  </w:tcBorders>
                  <w:noWrap/>
                  <w:vAlign w:val="center"/>
                </w:tcPr>
                <w:p w14:paraId="1F3CB7DD">
                  <w:pPr>
                    <w:adjustRightInd w:val="0"/>
                    <w:snapToGrid w:val="0"/>
                    <w:spacing w:before="60" w:after="60"/>
                    <w:jc w:val="center"/>
                    <w:rPr>
                      <w:b/>
                      <w:bCs/>
                      <w:color w:val="auto"/>
                      <w:sz w:val="21"/>
                      <w:szCs w:val="21"/>
                    </w:rPr>
                  </w:pPr>
                  <w:r>
                    <w:rPr>
                      <w:b/>
                      <w:bCs/>
                      <w:color w:val="auto"/>
                      <w:sz w:val="21"/>
                      <w:szCs w:val="21"/>
                    </w:rPr>
                    <w:t>利用或处置量（t/a）</w:t>
                  </w:r>
                </w:p>
              </w:tc>
            </w:tr>
            <w:tr w14:paraId="276D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59" w:type="pct"/>
                  <w:tcBorders>
                    <w:tl2br w:val="nil"/>
                    <w:tr2bl w:val="nil"/>
                  </w:tcBorders>
                  <w:noWrap/>
                  <w:vAlign w:val="center"/>
                </w:tcPr>
                <w:p w14:paraId="7C570F47">
                  <w:pPr>
                    <w:adjustRightInd w:val="0"/>
                    <w:snapToGrid w:val="0"/>
                    <w:spacing w:before="60" w:after="60"/>
                    <w:jc w:val="center"/>
                    <w:rPr>
                      <w:color w:val="auto"/>
                      <w:sz w:val="21"/>
                      <w:szCs w:val="21"/>
                    </w:rPr>
                  </w:pPr>
                  <w:r>
                    <w:rPr>
                      <w:rFonts w:hint="eastAsia"/>
                      <w:color w:val="auto"/>
                      <w:sz w:val="21"/>
                      <w:szCs w:val="21"/>
                    </w:rPr>
                    <w:t>1</w:t>
                  </w:r>
                </w:p>
              </w:tc>
              <w:tc>
                <w:tcPr>
                  <w:tcW w:w="506" w:type="pct"/>
                  <w:tcBorders>
                    <w:tl2br w:val="nil"/>
                    <w:tr2bl w:val="nil"/>
                  </w:tcBorders>
                  <w:noWrap/>
                  <w:vAlign w:val="center"/>
                </w:tcPr>
                <w:p w14:paraId="3A4702C6">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生活垃圾</w:t>
                  </w:r>
                </w:p>
              </w:tc>
              <w:tc>
                <w:tcPr>
                  <w:tcW w:w="459" w:type="pct"/>
                  <w:tcBorders>
                    <w:tl2br w:val="nil"/>
                    <w:tr2bl w:val="nil"/>
                  </w:tcBorders>
                  <w:noWrap/>
                  <w:vAlign w:val="center"/>
                </w:tcPr>
                <w:p w14:paraId="012A6482">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员工生活</w:t>
                  </w:r>
                </w:p>
              </w:tc>
              <w:tc>
                <w:tcPr>
                  <w:tcW w:w="428" w:type="pct"/>
                  <w:tcBorders>
                    <w:tl2br w:val="nil"/>
                    <w:tr2bl w:val="nil"/>
                  </w:tcBorders>
                  <w:noWrap/>
                  <w:vAlign w:val="center"/>
                </w:tcPr>
                <w:p w14:paraId="169098C1">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一般固废</w:t>
                  </w:r>
                </w:p>
              </w:tc>
              <w:tc>
                <w:tcPr>
                  <w:tcW w:w="421" w:type="pct"/>
                  <w:tcBorders>
                    <w:tl2br w:val="nil"/>
                    <w:tr2bl w:val="nil"/>
                  </w:tcBorders>
                  <w:noWrap/>
                  <w:vAlign w:val="center"/>
                </w:tcPr>
                <w:p w14:paraId="0B3E7C38">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color w:val="auto"/>
                      <w:sz w:val="21"/>
                      <w:szCs w:val="21"/>
                    </w:rPr>
                    <w:t>固态</w:t>
                  </w:r>
                </w:p>
              </w:tc>
              <w:tc>
                <w:tcPr>
                  <w:tcW w:w="573" w:type="pct"/>
                  <w:tcBorders>
                    <w:tl2br w:val="nil"/>
                    <w:tr2bl w:val="nil"/>
                  </w:tcBorders>
                  <w:noWrap/>
                  <w:vAlign w:val="center"/>
                </w:tcPr>
                <w:p w14:paraId="322E6945">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w:t>
                  </w:r>
                </w:p>
              </w:tc>
              <w:tc>
                <w:tcPr>
                  <w:tcW w:w="328" w:type="pct"/>
                  <w:tcBorders>
                    <w:tl2br w:val="nil"/>
                    <w:tr2bl w:val="nil"/>
                  </w:tcBorders>
                  <w:noWrap/>
                  <w:vAlign w:val="center"/>
                </w:tcPr>
                <w:p w14:paraId="7A11BACD">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w:t>
                  </w:r>
                </w:p>
              </w:tc>
              <w:tc>
                <w:tcPr>
                  <w:tcW w:w="584" w:type="pct"/>
                  <w:tcBorders>
                    <w:tl2br w:val="nil"/>
                    <w:tr2bl w:val="nil"/>
                  </w:tcBorders>
                  <w:noWrap/>
                  <w:vAlign w:val="center"/>
                </w:tcPr>
                <w:p w14:paraId="28D71749">
                  <w:pPr>
                    <w:adjustRightInd w:val="0"/>
                    <w:snapToGrid w:val="0"/>
                    <w:spacing w:before="60" w:after="6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c>
                <w:tcPr>
                  <w:tcW w:w="467" w:type="pct"/>
                  <w:tcBorders>
                    <w:tl2br w:val="nil"/>
                    <w:tr2bl w:val="nil"/>
                  </w:tcBorders>
                  <w:noWrap/>
                  <w:vAlign w:val="center"/>
                </w:tcPr>
                <w:p w14:paraId="5E4111BF">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w:t>
                  </w:r>
                </w:p>
              </w:tc>
              <w:tc>
                <w:tcPr>
                  <w:tcW w:w="496" w:type="pct"/>
                  <w:tcBorders>
                    <w:tl2br w:val="nil"/>
                    <w:tr2bl w:val="nil"/>
                  </w:tcBorders>
                  <w:noWrap/>
                  <w:vAlign w:val="center"/>
                </w:tcPr>
                <w:p w14:paraId="0F8520B8">
                  <w:pPr>
                    <w:adjustRightInd w:val="0"/>
                    <w:snapToGrid w:val="0"/>
                    <w:spacing w:before="60" w:after="60"/>
                    <w:jc w:val="center"/>
                    <w:rPr>
                      <w:rFonts w:ascii="Times New Roman" w:hAnsi="Times New Roman" w:eastAsia="宋体" w:cs="Times New Roman"/>
                      <w:color w:val="auto"/>
                      <w:kern w:val="2"/>
                      <w:sz w:val="21"/>
                      <w:szCs w:val="21"/>
                      <w:lang w:val="en-US" w:eastAsia="zh-CN" w:bidi="ar-SA"/>
                    </w:rPr>
                  </w:pPr>
                  <w:r>
                    <w:rPr>
                      <w:rFonts w:hint="eastAsia"/>
                      <w:color w:val="auto"/>
                      <w:sz w:val="21"/>
                      <w:szCs w:val="21"/>
                    </w:rPr>
                    <w:t>环卫部门回收</w:t>
                  </w:r>
                </w:p>
              </w:tc>
              <w:tc>
                <w:tcPr>
                  <w:tcW w:w="475" w:type="pct"/>
                  <w:tcBorders>
                    <w:tl2br w:val="nil"/>
                    <w:tr2bl w:val="nil"/>
                  </w:tcBorders>
                  <w:noWrap/>
                  <w:vAlign w:val="center"/>
                </w:tcPr>
                <w:p w14:paraId="53A5125D">
                  <w:pPr>
                    <w:adjustRightInd w:val="0"/>
                    <w:snapToGrid w:val="0"/>
                    <w:spacing w:before="60" w:after="60"/>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w:t>
                  </w:r>
                </w:p>
              </w:tc>
            </w:tr>
            <w:tr w14:paraId="4A4F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59" w:type="pct"/>
                  <w:tcBorders>
                    <w:tl2br w:val="nil"/>
                    <w:tr2bl w:val="nil"/>
                  </w:tcBorders>
                  <w:noWrap/>
                  <w:vAlign w:val="center"/>
                </w:tcPr>
                <w:p w14:paraId="3F9A305A">
                  <w:pPr>
                    <w:adjustRightInd w:val="0"/>
                    <w:snapToGrid w:val="0"/>
                    <w:spacing w:before="60" w:after="60"/>
                    <w:jc w:val="center"/>
                    <w:rPr>
                      <w:color w:val="auto"/>
                      <w:sz w:val="21"/>
                      <w:szCs w:val="21"/>
                    </w:rPr>
                  </w:pPr>
                  <w:r>
                    <w:rPr>
                      <w:rFonts w:hint="eastAsia"/>
                      <w:color w:val="auto"/>
                      <w:sz w:val="21"/>
                      <w:szCs w:val="21"/>
                    </w:rPr>
                    <w:t>2</w:t>
                  </w:r>
                </w:p>
              </w:tc>
              <w:tc>
                <w:tcPr>
                  <w:tcW w:w="506" w:type="pct"/>
                  <w:tcBorders>
                    <w:tl2br w:val="nil"/>
                    <w:tr2bl w:val="nil"/>
                  </w:tcBorders>
                  <w:noWrap/>
                  <w:vAlign w:val="center"/>
                </w:tcPr>
                <w:p w14:paraId="7FCDB6EF">
                  <w:pPr>
                    <w:adjustRightInd w:val="0"/>
                    <w:snapToGrid w:val="0"/>
                    <w:spacing w:before="60" w:after="60"/>
                    <w:jc w:val="center"/>
                    <w:rPr>
                      <w:color w:val="auto"/>
                      <w:sz w:val="21"/>
                      <w:szCs w:val="21"/>
                    </w:rPr>
                  </w:pPr>
                  <w:r>
                    <w:rPr>
                      <w:rFonts w:hint="eastAsia"/>
                      <w:color w:val="auto"/>
                      <w:sz w:val="21"/>
                      <w:szCs w:val="21"/>
                    </w:rPr>
                    <w:t>豆渣</w:t>
                  </w:r>
                </w:p>
              </w:tc>
              <w:tc>
                <w:tcPr>
                  <w:tcW w:w="459" w:type="pct"/>
                  <w:tcBorders>
                    <w:tl2br w:val="nil"/>
                    <w:tr2bl w:val="nil"/>
                  </w:tcBorders>
                  <w:noWrap/>
                  <w:vAlign w:val="center"/>
                </w:tcPr>
                <w:p w14:paraId="548815F7">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生产运营</w:t>
                  </w:r>
                </w:p>
              </w:tc>
              <w:tc>
                <w:tcPr>
                  <w:tcW w:w="428" w:type="pct"/>
                  <w:tcBorders>
                    <w:tl2br w:val="nil"/>
                    <w:tr2bl w:val="nil"/>
                  </w:tcBorders>
                  <w:noWrap/>
                  <w:vAlign w:val="center"/>
                </w:tcPr>
                <w:p w14:paraId="2B9A2A3A">
                  <w:pPr>
                    <w:adjustRightInd w:val="0"/>
                    <w:snapToGrid w:val="0"/>
                    <w:spacing w:before="60" w:after="60"/>
                    <w:jc w:val="center"/>
                    <w:rPr>
                      <w:color w:val="auto"/>
                      <w:sz w:val="21"/>
                      <w:szCs w:val="21"/>
                    </w:rPr>
                  </w:pPr>
                  <w:r>
                    <w:rPr>
                      <w:rFonts w:hint="eastAsia"/>
                      <w:color w:val="auto"/>
                      <w:sz w:val="21"/>
                      <w:szCs w:val="21"/>
                    </w:rPr>
                    <w:t>一般固废</w:t>
                  </w:r>
                </w:p>
              </w:tc>
              <w:tc>
                <w:tcPr>
                  <w:tcW w:w="421" w:type="pct"/>
                  <w:tcBorders>
                    <w:tl2br w:val="nil"/>
                    <w:tr2bl w:val="nil"/>
                  </w:tcBorders>
                  <w:noWrap/>
                  <w:vAlign w:val="center"/>
                </w:tcPr>
                <w:p w14:paraId="75202C2F">
                  <w:pPr>
                    <w:adjustRightInd w:val="0"/>
                    <w:snapToGrid w:val="0"/>
                    <w:spacing w:before="60" w:after="60"/>
                    <w:jc w:val="center"/>
                    <w:rPr>
                      <w:color w:val="auto"/>
                      <w:sz w:val="21"/>
                      <w:szCs w:val="21"/>
                    </w:rPr>
                  </w:pPr>
                  <w:r>
                    <w:rPr>
                      <w:color w:val="auto"/>
                      <w:sz w:val="21"/>
                      <w:szCs w:val="21"/>
                    </w:rPr>
                    <w:t>固态</w:t>
                  </w:r>
                </w:p>
              </w:tc>
              <w:tc>
                <w:tcPr>
                  <w:tcW w:w="573" w:type="pct"/>
                  <w:tcBorders>
                    <w:tl2br w:val="nil"/>
                    <w:tr2bl w:val="nil"/>
                  </w:tcBorders>
                  <w:noWrap/>
                  <w:vAlign w:val="center"/>
                </w:tcPr>
                <w:p w14:paraId="5F8A8895">
                  <w:pPr>
                    <w:adjustRightInd w:val="0"/>
                    <w:snapToGrid w:val="0"/>
                    <w:spacing w:before="60" w:after="60"/>
                    <w:jc w:val="center"/>
                    <w:rPr>
                      <w:color w:val="auto"/>
                      <w:sz w:val="21"/>
                      <w:szCs w:val="21"/>
                    </w:rPr>
                  </w:pPr>
                  <w:r>
                    <w:rPr>
                      <w:rFonts w:hint="eastAsia"/>
                      <w:color w:val="auto"/>
                      <w:sz w:val="21"/>
                      <w:szCs w:val="21"/>
                    </w:rPr>
                    <w:t>/</w:t>
                  </w:r>
                </w:p>
              </w:tc>
              <w:tc>
                <w:tcPr>
                  <w:tcW w:w="328" w:type="pct"/>
                  <w:tcBorders>
                    <w:tl2br w:val="nil"/>
                    <w:tr2bl w:val="nil"/>
                  </w:tcBorders>
                  <w:noWrap/>
                  <w:vAlign w:val="center"/>
                </w:tcPr>
                <w:p w14:paraId="491CB74F">
                  <w:pPr>
                    <w:adjustRightInd w:val="0"/>
                    <w:snapToGrid w:val="0"/>
                    <w:spacing w:before="60" w:after="60"/>
                    <w:jc w:val="center"/>
                    <w:rPr>
                      <w:color w:val="auto"/>
                      <w:sz w:val="21"/>
                      <w:szCs w:val="21"/>
                    </w:rPr>
                  </w:pPr>
                  <w:r>
                    <w:rPr>
                      <w:rFonts w:hint="eastAsia"/>
                      <w:color w:val="auto"/>
                      <w:sz w:val="21"/>
                      <w:szCs w:val="21"/>
                    </w:rPr>
                    <w:t>/</w:t>
                  </w:r>
                </w:p>
              </w:tc>
              <w:tc>
                <w:tcPr>
                  <w:tcW w:w="584" w:type="pct"/>
                  <w:tcBorders>
                    <w:tl2br w:val="nil"/>
                    <w:tr2bl w:val="nil"/>
                  </w:tcBorders>
                  <w:noWrap/>
                  <w:vAlign w:val="center"/>
                </w:tcPr>
                <w:p w14:paraId="290560D1">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6000</w:t>
                  </w:r>
                </w:p>
              </w:tc>
              <w:tc>
                <w:tcPr>
                  <w:tcW w:w="467" w:type="pct"/>
                  <w:tcBorders>
                    <w:tl2br w:val="nil"/>
                    <w:tr2bl w:val="nil"/>
                  </w:tcBorders>
                  <w:noWrap/>
                  <w:vAlign w:val="center"/>
                </w:tcPr>
                <w:p w14:paraId="0B310D79">
                  <w:pPr>
                    <w:adjustRightInd w:val="0"/>
                    <w:snapToGrid w:val="0"/>
                    <w:spacing w:before="60" w:after="60"/>
                    <w:jc w:val="center"/>
                    <w:rPr>
                      <w:color w:val="auto"/>
                      <w:sz w:val="21"/>
                      <w:szCs w:val="21"/>
                    </w:rPr>
                  </w:pPr>
                  <w:r>
                    <w:rPr>
                      <w:rFonts w:hint="eastAsia"/>
                      <w:color w:val="auto"/>
                      <w:sz w:val="21"/>
                      <w:szCs w:val="21"/>
                    </w:rPr>
                    <w:t>/</w:t>
                  </w:r>
                </w:p>
              </w:tc>
              <w:tc>
                <w:tcPr>
                  <w:tcW w:w="496" w:type="pct"/>
                  <w:tcBorders>
                    <w:tl2br w:val="nil"/>
                    <w:tr2bl w:val="nil"/>
                  </w:tcBorders>
                  <w:noWrap/>
                  <w:vAlign w:val="center"/>
                </w:tcPr>
                <w:p w14:paraId="031A7F5B">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作为园区养殖饲料</w:t>
                  </w:r>
                </w:p>
              </w:tc>
              <w:tc>
                <w:tcPr>
                  <w:tcW w:w="475" w:type="pct"/>
                  <w:tcBorders>
                    <w:tl2br w:val="nil"/>
                    <w:tr2bl w:val="nil"/>
                  </w:tcBorders>
                  <w:noWrap/>
                  <w:vAlign w:val="center"/>
                </w:tcPr>
                <w:p w14:paraId="292EF891">
                  <w:pPr>
                    <w:adjustRightInd w:val="0"/>
                    <w:snapToGrid w:val="0"/>
                    <w:spacing w:before="60" w:after="60"/>
                    <w:jc w:val="center"/>
                    <w:rPr>
                      <w:color w:val="auto"/>
                      <w:sz w:val="21"/>
                      <w:szCs w:val="21"/>
                    </w:rPr>
                  </w:pPr>
                  <w:r>
                    <w:rPr>
                      <w:rFonts w:hint="eastAsia"/>
                      <w:color w:val="auto"/>
                      <w:sz w:val="21"/>
                      <w:szCs w:val="21"/>
                      <w:lang w:val="en-US" w:eastAsia="zh-CN"/>
                    </w:rPr>
                    <w:t>6000</w:t>
                  </w:r>
                </w:p>
              </w:tc>
            </w:tr>
            <w:tr w14:paraId="071F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59" w:type="pct"/>
                  <w:tcBorders>
                    <w:tl2br w:val="nil"/>
                    <w:tr2bl w:val="nil"/>
                  </w:tcBorders>
                  <w:noWrap/>
                  <w:vAlign w:val="center"/>
                </w:tcPr>
                <w:p w14:paraId="29B5232C">
                  <w:pPr>
                    <w:adjustRightInd w:val="0"/>
                    <w:snapToGrid w:val="0"/>
                    <w:spacing w:before="60" w:after="60"/>
                    <w:jc w:val="center"/>
                    <w:rPr>
                      <w:rFonts w:hint="eastAsia" w:eastAsia="宋体"/>
                      <w:color w:val="auto"/>
                      <w:sz w:val="21"/>
                      <w:szCs w:val="21"/>
                      <w:lang w:val="en-US" w:eastAsia="zh-CN"/>
                    </w:rPr>
                  </w:pPr>
                  <w:r>
                    <w:rPr>
                      <w:rFonts w:hint="eastAsia"/>
                      <w:color w:val="auto"/>
                      <w:sz w:val="21"/>
                      <w:szCs w:val="21"/>
                      <w:lang w:val="en-US" w:eastAsia="zh-CN"/>
                    </w:rPr>
                    <w:t>3</w:t>
                  </w:r>
                </w:p>
              </w:tc>
              <w:tc>
                <w:tcPr>
                  <w:tcW w:w="506" w:type="pct"/>
                  <w:tcBorders>
                    <w:tl2br w:val="nil"/>
                    <w:tr2bl w:val="nil"/>
                  </w:tcBorders>
                  <w:noWrap/>
                  <w:vAlign w:val="center"/>
                </w:tcPr>
                <w:p w14:paraId="2DA7D5FC">
                  <w:pPr>
                    <w:adjustRightInd w:val="0"/>
                    <w:snapToGrid w:val="0"/>
                    <w:spacing w:before="60" w:after="60"/>
                    <w:jc w:val="center"/>
                    <w:rPr>
                      <w:rFonts w:hint="eastAsia"/>
                      <w:color w:val="auto"/>
                      <w:sz w:val="21"/>
                      <w:szCs w:val="21"/>
                    </w:rPr>
                  </w:pPr>
                  <w:r>
                    <w:rPr>
                      <w:rFonts w:hint="eastAsia"/>
                      <w:color w:val="auto"/>
                      <w:sz w:val="21"/>
                      <w:szCs w:val="21"/>
                    </w:rPr>
                    <w:t>不合格产品</w:t>
                  </w:r>
                </w:p>
              </w:tc>
              <w:tc>
                <w:tcPr>
                  <w:tcW w:w="459" w:type="pct"/>
                  <w:tcBorders>
                    <w:tl2br w:val="nil"/>
                    <w:tr2bl w:val="nil"/>
                  </w:tcBorders>
                  <w:noWrap/>
                  <w:vAlign w:val="center"/>
                </w:tcPr>
                <w:p w14:paraId="4F6EC0AF">
                  <w:pPr>
                    <w:adjustRightInd w:val="0"/>
                    <w:snapToGrid w:val="0"/>
                    <w:spacing w:before="60" w:after="60"/>
                    <w:jc w:val="center"/>
                    <w:rPr>
                      <w:rFonts w:hint="eastAsia"/>
                      <w:color w:val="auto"/>
                      <w:sz w:val="21"/>
                      <w:szCs w:val="21"/>
                      <w:lang w:val="en-US" w:eastAsia="zh-CN"/>
                    </w:rPr>
                  </w:pPr>
                  <w:r>
                    <w:rPr>
                      <w:rFonts w:hint="eastAsia"/>
                      <w:color w:val="auto"/>
                      <w:sz w:val="21"/>
                      <w:szCs w:val="21"/>
                      <w:lang w:val="en-US" w:eastAsia="zh-CN"/>
                    </w:rPr>
                    <w:t>生产运营</w:t>
                  </w:r>
                </w:p>
              </w:tc>
              <w:tc>
                <w:tcPr>
                  <w:tcW w:w="428" w:type="pct"/>
                  <w:tcBorders>
                    <w:tl2br w:val="nil"/>
                    <w:tr2bl w:val="nil"/>
                  </w:tcBorders>
                  <w:noWrap/>
                  <w:vAlign w:val="center"/>
                </w:tcPr>
                <w:p w14:paraId="6F07EDD6">
                  <w:pPr>
                    <w:adjustRightInd w:val="0"/>
                    <w:snapToGrid w:val="0"/>
                    <w:spacing w:before="60" w:after="60"/>
                    <w:jc w:val="center"/>
                    <w:rPr>
                      <w:rFonts w:hint="eastAsia"/>
                      <w:color w:val="auto"/>
                      <w:sz w:val="21"/>
                      <w:szCs w:val="21"/>
                    </w:rPr>
                  </w:pPr>
                  <w:r>
                    <w:rPr>
                      <w:rFonts w:hint="eastAsia"/>
                      <w:color w:val="auto"/>
                      <w:sz w:val="21"/>
                      <w:szCs w:val="21"/>
                    </w:rPr>
                    <w:t>一般固废</w:t>
                  </w:r>
                </w:p>
              </w:tc>
              <w:tc>
                <w:tcPr>
                  <w:tcW w:w="421" w:type="pct"/>
                  <w:tcBorders>
                    <w:tl2br w:val="nil"/>
                    <w:tr2bl w:val="nil"/>
                  </w:tcBorders>
                  <w:noWrap/>
                  <w:vAlign w:val="center"/>
                </w:tcPr>
                <w:p w14:paraId="38EC5BB8">
                  <w:pPr>
                    <w:adjustRightInd w:val="0"/>
                    <w:snapToGrid w:val="0"/>
                    <w:spacing w:before="60" w:after="60"/>
                    <w:jc w:val="center"/>
                    <w:rPr>
                      <w:color w:val="auto"/>
                      <w:sz w:val="21"/>
                      <w:szCs w:val="21"/>
                    </w:rPr>
                  </w:pPr>
                  <w:r>
                    <w:rPr>
                      <w:color w:val="auto"/>
                      <w:sz w:val="21"/>
                      <w:szCs w:val="21"/>
                    </w:rPr>
                    <w:t>固态</w:t>
                  </w:r>
                </w:p>
              </w:tc>
              <w:tc>
                <w:tcPr>
                  <w:tcW w:w="573" w:type="pct"/>
                  <w:tcBorders>
                    <w:tl2br w:val="nil"/>
                    <w:tr2bl w:val="nil"/>
                  </w:tcBorders>
                  <w:noWrap/>
                  <w:vAlign w:val="center"/>
                </w:tcPr>
                <w:p w14:paraId="5C02BB36">
                  <w:pPr>
                    <w:adjustRightInd w:val="0"/>
                    <w:snapToGrid w:val="0"/>
                    <w:spacing w:before="60" w:after="60"/>
                    <w:jc w:val="center"/>
                    <w:rPr>
                      <w:rFonts w:hint="eastAsia"/>
                      <w:color w:val="auto"/>
                      <w:sz w:val="21"/>
                      <w:szCs w:val="21"/>
                    </w:rPr>
                  </w:pPr>
                  <w:r>
                    <w:rPr>
                      <w:rFonts w:hint="eastAsia"/>
                      <w:color w:val="auto"/>
                      <w:sz w:val="21"/>
                      <w:szCs w:val="21"/>
                    </w:rPr>
                    <w:t>/</w:t>
                  </w:r>
                </w:p>
              </w:tc>
              <w:tc>
                <w:tcPr>
                  <w:tcW w:w="328" w:type="pct"/>
                  <w:tcBorders>
                    <w:tl2br w:val="nil"/>
                    <w:tr2bl w:val="nil"/>
                  </w:tcBorders>
                  <w:noWrap/>
                  <w:vAlign w:val="center"/>
                </w:tcPr>
                <w:p w14:paraId="564B009F">
                  <w:pPr>
                    <w:adjustRightInd w:val="0"/>
                    <w:snapToGrid w:val="0"/>
                    <w:spacing w:before="60" w:after="60"/>
                    <w:jc w:val="center"/>
                    <w:rPr>
                      <w:rFonts w:hint="eastAsia"/>
                      <w:color w:val="auto"/>
                      <w:sz w:val="21"/>
                      <w:szCs w:val="21"/>
                    </w:rPr>
                  </w:pPr>
                  <w:r>
                    <w:rPr>
                      <w:rFonts w:hint="eastAsia"/>
                      <w:color w:val="auto"/>
                      <w:sz w:val="21"/>
                      <w:szCs w:val="21"/>
                    </w:rPr>
                    <w:t>/</w:t>
                  </w:r>
                </w:p>
              </w:tc>
              <w:tc>
                <w:tcPr>
                  <w:tcW w:w="584" w:type="pct"/>
                  <w:tcBorders>
                    <w:tl2br w:val="nil"/>
                    <w:tr2bl w:val="nil"/>
                  </w:tcBorders>
                  <w:noWrap/>
                  <w:vAlign w:val="center"/>
                </w:tcPr>
                <w:p w14:paraId="721EC4E1">
                  <w:pPr>
                    <w:adjustRightInd w:val="0"/>
                    <w:snapToGrid w:val="0"/>
                    <w:spacing w:before="60" w:after="60"/>
                    <w:jc w:val="center"/>
                    <w:rPr>
                      <w:rFonts w:hint="default"/>
                      <w:color w:val="auto"/>
                      <w:sz w:val="21"/>
                      <w:szCs w:val="21"/>
                      <w:lang w:val="en-US" w:eastAsia="zh-CN"/>
                    </w:rPr>
                  </w:pPr>
                  <w:r>
                    <w:rPr>
                      <w:rFonts w:hint="eastAsia"/>
                      <w:color w:val="auto"/>
                      <w:sz w:val="21"/>
                      <w:szCs w:val="21"/>
                      <w:lang w:val="en-US" w:eastAsia="zh-CN"/>
                    </w:rPr>
                    <w:t>15</w:t>
                  </w:r>
                </w:p>
              </w:tc>
              <w:tc>
                <w:tcPr>
                  <w:tcW w:w="467" w:type="pct"/>
                  <w:tcBorders>
                    <w:tl2br w:val="nil"/>
                    <w:tr2bl w:val="nil"/>
                  </w:tcBorders>
                  <w:noWrap/>
                  <w:vAlign w:val="center"/>
                </w:tcPr>
                <w:p w14:paraId="3043A83B">
                  <w:pPr>
                    <w:adjustRightInd w:val="0"/>
                    <w:snapToGrid w:val="0"/>
                    <w:spacing w:before="60" w:after="60"/>
                    <w:jc w:val="center"/>
                    <w:rPr>
                      <w:rFonts w:hint="eastAsia"/>
                      <w:color w:val="auto"/>
                      <w:sz w:val="21"/>
                      <w:szCs w:val="21"/>
                    </w:rPr>
                  </w:pPr>
                  <w:r>
                    <w:rPr>
                      <w:rFonts w:hint="eastAsia"/>
                      <w:color w:val="auto"/>
                      <w:sz w:val="21"/>
                      <w:szCs w:val="21"/>
                    </w:rPr>
                    <w:t>/</w:t>
                  </w:r>
                </w:p>
              </w:tc>
              <w:tc>
                <w:tcPr>
                  <w:tcW w:w="496" w:type="pct"/>
                  <w:tcBorders>
                    <w:tl2br w:val="nil"/>
                    <w:tr2bl w:val="nil"/>
                  </w:tcBorders>
                  <w:noWrap/>
                  <w:vAlign w:val="center"/>
                </w:tcPr>
                <w:p w14:paraId="0B5E2AFB">
                  <w:pPr>
                    <w:adjustRightInd w:val="0"/>
                    <w:snapToGrid w:val="0"/>
                    <w:spacing w:before="60" w:after="60"/>
                    <w:jc w:val="center"/>
                    <w:rPr>
                      <w:rFonts w:hint="eastAsia"/>
                      <w:color w:val="auto"/>
                      <w:sz w:val="21"/>
                      <w:szCs w:val="21"/>
                      <w:lang w:val="en-US" w:eastAsia="zh-CN"/>
                    </w:rPr>
                  </w:pPr>
                  <w:r>
                    <w:rPr>
                      <w:rFonts w:hint="eastAsia"/>
                      <w:color w:val="auto"/>
                      <w:sz w:val="21"/>
                      <w:szCs w:val="21"/>
                      <w:lang w:val="en-US" w:eastAsia="zh-CN"/>
                    </w:rPr>
                    <w:t>作为园区养殖饲料</w:t>
                  </w:r>
                </w:p>
              </w:tc>
              <w:tc>
                <w:tcPr>
                  <w:tcW w:w="475" w:type="pct"/>
                  <w:tcBorders>
                    <w:tl2br w:val="nil"/>
                    <w:tr2bl w:val="nil"/>
                  </w:tcBorders>
                  <w:noWrap/>
                  <w:vAlign w:val="center"/>
                </w:tcPr>
                <w:p w14:paraId="020C22C3">
                  <w:pPr>
                    <w:adjustRightInd w:val="0"/>
                    <w:snapToGrid w:val="0"/>
                    <w:spacing w:before="60" w:after="60"/>
                    <w:jc w:val="center"/>
                    <w:rPr>
                      <w:rFonts w:hint="default"/>
                      <w:color w:val="auto"/>
                      <w:sz w:val="21"/>
                      <w:szCs w:val="21"/>
                      <w:lang w:val="en-US" w:eastAsia="zh-CN"/>
                    </w:rPr>
                  </w:pPr>
                  <w:r>
                    <w:rPr>
                      <w:rFonts w:hint="eastAsia"/>
                      <w:color w:val="auto"/>
                      <w:sz w:val="21"/>
                      <w:szCs w:val="21"/>
                      <w:lang w:val="en-US" w:eastAsia="zh-CN"/>
                    </w:rPr>
                    <w:t>15</w:t>
                  </w:r>
                </w:p>
              </w:tc>
            </w:tr>
            <w:tr w14:paraId="70CE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59" w:type="pct"/>
                  <w:tcBorders>
                    <w:tl2br w:val="nil"/>
                    <w:tr2bl w:val="nil"/>
                  </w:tcBorders>
                  <w:noWrap/>
                  <w:vAlign w:val="center"/>
                </w:tcPr>
                <w:p w14:paraId="40BFE31D">
                  <w:pPr>
                    <w:adjustRightInd w:val="0"/>
                    <w:snapToGrid w:val="0"/>
                    <w:spacing w:before="60" w:after="60"/>
                    <w:jc w:val="center"/>
                    <w:rPr>
                      <w:rFonts w:hint="eastAsia" w:eastAsia="宋体"/>
                      <w:color w:val="auto"/>
                      <w:sz w:val="21"/>
                      <w:szCs w:val="21"/>
                      <w:lang w:val="en-US" w:eastAsia="zh-CN"/>
                    </w:rPr>
                  </w:pPr>
                  <w:r>
                    <w:rPr>
                      <w:rFonts w:hint="eastAsia"/>
                      <w:color w:val="auto"/>
                      <w:sz w:val="21"/>
                      <w:szCs w:val="21"/>
                      <w:lang w:val="en-US" w:eastAsia="zh-CN"/>
                    </w:rPr>
                    <w:t>4</w:t>
                  </w:r>
                </w:p>
              </w:tc>
              <w:tc>
                <w:tcPr>
                  <w:tcW w:w="506" w:type="pct"/>
                  <w:tcBorders>
                    <w:tl2br w:val="nil"/>
                    <w:tr2bl w:val="nil"/>
                  </w:tcBorders>
                  <w:noWrap/>
                  <w:vAlign w:val="center"/>
                </w:tcPr>
                <w:p w14:paraId="603A847F">
                  <w:pPr>
                    <w:adjustRightInd w:val="0"/>
                    <w:snapToGrid w:val="0"/>
                    <w:spacing w:before="60" w:after="60"/>
                    <w:jc w:val="center"/>
                    <w:rPr>
                      <w:rFonts w:hint="eastAsia"/>
                      <w:color w:val="auto"/>
                      <w:sz w:val="21"/>
                      <w:szCs w:val="21"/>
                    </w:rPr>
                  </w:pPr>
                  <w:r>
                    <w:rPr>
                      <w:rFonts w:hint="eastAsia"/>
                      <w:color w:val="auto"/>
                      <w:sz w:val="21"/>
                      <w:szCs w:val="21"/>
                    </w:rPr>
                    <w:t>废包装材料</w:t>
                  </w:r>
                </w:p>
              </w:tc>
              <w:tc>
                <w:tcPr>
                  <w:tcW w:w="459" w:type="pct"/>
                  <w:tcBorders>
                    <w:tl2br w:val="nil"/>
                    <w:tr2bl w:val="nil"/>
                  </w:tcBorders>
                  <w:noWrap/>
                  <w:vAlign w:val="center"/>
                </w:tcPr>
                <w:p w14:paraId="7558ED4F">
                  <w:pPr>
                    <w:adjustRightInd w:val="0"/>
                    <w:snapToGrid w:val="0"/>
                    <w:spacing w:before="60" w:after="60"/>
                    <w:jc w:val="center"/>
                    <w:rPr>
                      <w:rFonts w:hint="eastAsia"/>
                      <w:color w:val="auto"/>
                      <w:sz w:val="21"/>
                      <w:szCs w:val="21"/>
                      <w:lang w:val="en-US" w:eastAsia="zh-CN"/>
                    </w:rPr>
                  </w:pPr>
                  <w:r>
                    <w:rPr>
                      <w:rFonts w:hint="eastAsia"/>
                      <w:color w:val="auto"/>
                      <w:sz w:val="21"/>
                      <w:szCs w:val="21"/>
                      <w:lang w:val="en-US" w:eastAsia="zh-CN"/>
                    </w:rPr>
                    <w:t>生产运营</w:t>
                  </w:r>
                </w:p>
              </w:tc>
              <w:tc>
                <w:tcPr>
                  <w:tcW w:w="428" w:type="pct"/>
                  <w:tcBorders>
                    <w:tl2br w:val="nil"/>
                    <w:tr2bl w:val="nil"/>
                  </w:tcBorders>
                  <w:noWrap/>
                  <w:vAlign w:val="center"/>
                </w:tcPr>
                <w:p w14:paraId="3665EFEF">
                  <w:pPr>
                    <w:adjustRightInd w:val="0"/>
                    <w:snapToGrid w:val="0"/>
                    <w:spacing w:before="60" w:after="60"/>
                    <w:jc w:val="center"/>
                    <w:rPr>
                      <w:rFonts w:hint="eastAsia"/>
                      <w:color w:val="auto"/>
                      <w:sz w:val="21"/>
                      <w:szCs w:val="21"/>
                    </w:rPr>
                  </w:pPr>
                  <w:r>
                    <w:rPr>
                      <w:rFonts w:hint="eastAsia"/>
                      <w:color w:val="auto"/>
                      <w:sz w:val="21"/>
                      <w:szCs w:val="21"/>
                    </w:rPr>
                    <w:t>一般固废</w:t>
                  </w:r>
                </w:p>
              </w:tc>
              <w:tc>
                <w:tcPr>
                  <w:tcW w:w="421" w:type="pct"/>
                  <w:tcBorders>
                    <w:tl2br w:val="nil"/>
                    <w:tr2bl w:val="nil"/>
                  </w:tcBorders>
                  <w:noWrap/>
                  <w:vAlign w:val="center"/>
                </w:tcPr>
                <w:p w14:paraId="60235BAE">
                  <w:pPr>
                    <w:adjustRightInd w:val="0"/>
                    <w:snapToGrid w:val="0"/>
                    <w:spacing w:before="60" w:after="60"/>
                    <w:jc w:val="center"/>
                    <w:rPr>
                      <w:color w:val="auto"/>
                      <w:sz w:val="21"/>
                      <w:szCs w:val="21"/>
                    </w:rPr>
                  </w:pPr>
                  <w:r>
                    <w:rPr>
                      <w:color w:val="auto"/>
                      <w:sz w:val="21"/>
                      <w:szCs w:val="21"/>
                    </w:rPr>
                    <w:t>固态</w:t>
                  </w:r>
                </w:p>
              </w:tc>
              <w:tc>
                <w:tcPr>
                  <w:tcW w:w="573" w:type="pct"/>
                  <w:tcBorders>
                    <w:tl2br w:val="nil"/>
                    <w:tr2bl w:val="nil"/>
                  </w:tcBorders>
                  <w:noWrap/>
                  <w:vAlign w:val="center"/>
                </w:tcPr>
                <w:p w14:paraId="259FABFB">
                  <w:pPr>
                    <w:adjustRightInd w:val="0"/>
                    <w:snapToGrid w:val="0"/>
                    <w:spacing w:before="60" w:after="60"/>
                    <w:jc w:val="center"/>
                    <w:rPr>
                      <w:rFonts w:hint="eastAsia"/>
                      <w:color w:val="auto"/>
                      <w:sz w:val="21"/>
                      <w:szCs w:val="21"/>
                    </w:rPr>
                  </w:pPr>
                  <w:r>
                    <w:rPr>
                      <w:rFonts w:hint="eastAsia"/>
                      <w:color w:val="auto"/>
                      <w:sz w:val="21"/>
                      <w:szCs w:val="21"/>
                    </w:rPr>
                    <w:t>/</w:t>
                  </w:r>
                </w:p>
              </w:tc>
              <w:tc>
                <w:tcPr>
                  <w:tcW w:w="328" w:type="pct"/>
                  <w:tcBorders>
                    <w:tl2br w:val="nil"/>
                    <w:tr2bl w:val="nil"/>
                  </w:tcBorders>
                  <w:noWrap/>
                  <w:vAlign w:val="center"/>
                </w:tcPr>
                <w:p w14:paraId="7D9F80F8">
                  <w:pPr>
                    <w:adjustRightInd w:val="0"/>
                    <w:snapToGrid w:val="0"/>
                    <w:spacing w:before="60" w:after="60"/>
                    <w:jc w:val="center"/>
                    <w:rPr>
                      <w:rFonts w:hint="eastAsia"/>
                      <w:color w:val="auto"/>
                      <w:sz w:val="21"/>
                      <w:szCs w:val="21"/>
                    </w:rPr>
                  </w:pPr>
                  <w:r>
                    <w:rPr>
                      <w:rFonts w:hint="eastAsia"/>
                      <w:color w:val="auto"/>
                      <w:sz w:val="21"/>
                      <w:szCs w:val="21"/>
                    </w:rPr>
                    <w:t>/</w:t>
                  </w:r>
                </w:p>
              </w:tc>
              <w:tc>
                <w:tcPr>
                  <w:tcW w:w="584" w:type="pct"/>
                  <w:tcBorders>
                    <w:tl2br w:val="nil"/>
                    <w:tr2bl w:val="nil"/>
                  </w:tcBorders>
                  <w:noWrap/>
                  <w:vAlign w:val="center"/>
                </w:tcPr>
                <w:p w14:paraId="653A4C69">
                  <w:pPr>
                    <w:adjustRightInd w:val="0"/>
                    <w:snapToGrid w:val="0"/>
                    <w:spacing w:before="60" w:after="60"/>
                    <w:jc w:val="center"/>
                    <w:rPr>
                      <w:rFonts w:hint="default"/>
                      <w:color w:val="auto"/>
                      <w:sz w:val="21"/>
                      <w:szCs w:val="21"/>
                      <w:lang w:val="en-US" w:eastAsia="zh-CN"/>
                    </w:rPr>
                  </w:pPr>
                  <w:r>
                    <w:rPr>
                      <w:rFonts w:hint="eastAsia"/>
                      <w:color w:val="auto"/>
                      <w:sz w:val="21"/>
                      <w:szCs w:val="21"/>
                      <w:lang w:val="en-US" w:eastAsia="zh-CN"/>
                    </w:rPr>
                    <w:t>2.474</w:t>
                  </w:r>
                </w:p>
              </w:tc>
              <w:tc>
                <w:tcPr>
                  <w:tcW w:w="467" w:type="pct"/>
                  <w:tcBorders>
                    <w:tl2br w:val="nil"/>
                    <w:tr2bl w:val="nil"/>
                  </w:tcBorders>
                  <w:noWrap/>
                  <w:vAlign w:val="center"/>
                </w:tcPr>
                <w:p w14:paraId="1DD5891C">
                  <w:pPr>
                    <w:adjustRightInd w:val="0"/>
                    <w:snapToGrid w:val="0"/>
                    <w:spacing w:before="60" w:after="60"/>
                    <w:jc w:val="center"/>
                    <w:rPr>
                      <w:rFonts w:hint="eastAsia"/>
                      <w:color w:val="auto"/>
                      <w:sz w:val="21"/>
                      <w:szCs w:val="21"/>
                    </w:rPr>
                  </w:pPr>
                  <w:r>
                    <w:rPr>
                      <w:rFonts w:hint="eastAsia"/>
                      <w:color w:val="auto"/>
                      <w:sz w:val="21"/>
                      <w:szCs w:val="21"/>
                    </w:rPr>
                    <w:t>/</w:t>
                  </w:r>
                </w:p>
              </w:tc>
              <w:tc>
                <w:tcPr>
                  <w:tcW w:w="496" w:type="pct"/>
                  <w:tcBorders>
                    <w:tl2br w:val="nil"/>
                    <w:tr2bl w:val="nil"/>
                  </w:tcBorders>
                  <w:noWrap/>
                  <w:vAlign w:val="center"/>
                </w:tcPr>
                <w:p w14:paraId="6841DC19">
                  <w:pPr>
                    <w:adjustRightInd w:val="0"/>
                    <w:snapToGrid w:val="0"/>
                    <w:spacing w:before="60" w:after="60"/>
                    <w:jc w:val="center"/>
                    <w:rPr>
                      <w:rFonts w:hint="eastAsia"/>
                      <w:color w:val="auto"/>
                      <w:sz w:val="21"/>
                      <w:szCs w:val="21"/>
                      <w:lang w:val="en-US" w:eastAsia="zh-CN"/>
                    </w:rPr>
                  </w:pPr>
                  <w:r>
                    <w:rPr>
                      <w:rFonts w:hint="eastAsia"/>
                      <w:color w:val="auto"/>
                      <w:sz w:val="21"/>
                      <w:szCs w:val="21"/>
                    </w:rPr>
                    <w:t>外售综合利用</w:t>
                  </w:r>
                </w:p>
              </w:tc>
              <w:tc>
                <w:tcPr>
                  <w:tcW w:w="475" w:type="pct"/>
                  <w:tcBorders>
                    <w:tl2br w:val="nil"/>
                    <w:tr2bl w:val="nil"/>
                  </w:tcBorders>
                  <w:noWrap/>
                  <w:vAlign w:val="center"/>
                </w:tcPr>
                <w:p w14:paraId="7BC4A8E1">
                  <w:pPr>
                    <w:adjustRightInd w:val="0"/>
                    <w:snapToGrid w:val="0"/>
                    <w:spacing w:before="60" w:after="60"/>
                    <w:jc w:val="center"/>
                    <w:rPr>
                      <w:rFonts w:hint="default"/>
                      <w:color w:val="auto"/>
                      <w:sz w:val="21"/>
                      <w:szCs w:val="21"/>
                      <w:lang w:val="en-US" w:eastAsia="zh-CN"/>
                    </w:rPr>
                  </w:pPr>
                  <w:r>
                    <w:rPr>
                      <w:rFonts w:hint="eastAsia"/>
                      <w:color w:val="auto"/>
                      <w:sz w:val="21"/>
                      <w:szCs w:val="21"/>
                      <w:lang w:val="en-US" w:eastAsia="zh-CN"/>
                    </w:rPr>
                    <w:t>2.474</w:t>
                  </w:r>
                </w:p>
              </w:tc>
            </w:tr>
            <w:tr w14:paraId="5BFA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 w:type="pct"/>
                  <w:tcBorders>
                    <w:tl2br w:val="nil"/>
                    <w:tr2bl w:val="nil"/>
                  </w:tcBorders>
                  <w:noWrap/>
                  <w:vAlign w:val="center"/>
                </w:tcPr>
                <w:p w14:paraId="061692C3">
                  <w:pPr>
                    <w:adjustRightInd w:val="0"/>
                    <w:snapToGrid w:val="0"/>
                    <w:spacing w:before="60" w:after="60"/>
                    <w:jc w:val="center"/>
                    <w:rPr>
                      <w:rFonts w:hint="eastAsia" w:eastAsia="宋体"/>
                      <w:color w:val="auto"/>
                      <w:sz w:val="21"/>
                      <w:szCs w:val="21"/>
                      <w:lang w:val="en-US" w:eastAsia="zh-CN"/>
                    </w:rPr>
                  </w:pPr>
                  <w:r>
                    <w:rPr>
                      <w:rFonts w:hint="eastAsia"/>
                      <w:color w:val="auto"/>
                      <w:sz w:val="21"/>
                      <w:szCs w:val="21"/>
                      <w:lang w:val="en-US" w:eastAsia="zh-CN"/>
                    </w:rPr>
                    <w:t>5</w:t>
                  </w:r>
                </w:p>
              </w:tc>
              <w:tc>
                <w:tcPr>
                  <w:tcW w:w="506" w:type="pct"/>
                  <w:tcBorders>
                    <w:tl2br w:val="nil"/>
                    <w:tr2bl w:val="nil"/>
                  </w:tcBorders>
                  <w:noWrap/>
                  <w:vAlign w:val="center"/>
                </w:tcPr>
                <w:p w14:paraId="3E3C040A">
                  <w:pPr>
                    <w:adjustRightInd w:val="0"/>
                    <w:snapToGrid w:val="0"/>
                    <w:spacing w:before="60" w:after="60"/>
                    <w:jc w:val="center"/>
                    <w:rPr>
                      <w:rFonts w:hint="eastAsia"/>
                      <w:color w:val="auto"/>
                      <w:sz w:val="21"/>
                      <w:szCs w:val="21"/>
                    </w:rPr>
                  </w:pPr>
                  <w:r>
                    <w:rPr>
                      <w:rFonts w:hint="eastAsia"/>
                      <w:color w:val="auto"/>
                      <w:sz w:val="21"/>
                      <w:szCs w:val="21"/>
                    </w:rPr>
                    <w:t>废RO反渗透膜</w:t>
                  </w:r>
                </w:p>
              </w:tc>
              <w:tc>
                <w:tcPr>
                  <w:tcW w:w="459" w:type="pct"/>
                  <w:tcBorders>
                    <w:tl2br w:val="nil"/>
                    <w:tr2bl w:val="nil"/>
                  </w:tcBorders>
                  <w:noWrap/>
                  <w:vAlign w:val="center"/>
                </w:tcPr>
                <w:p w14:paraId="6291DAE7">
                  <w:pPr>
                    <w:adjustRightInd w:val="0"/>
                    <w:snapToGrid w:val="0"/>
                    <w:spacing w:before="60" w:after="60"/>
                    <w:jc w:val="center"/>
                    <w:rPr>
                      <w:rFonts w:hint="eastAsia"/>
                      <w:color w:val="auto"/>
                      <w:sz w:val="21"/>
                      <w:szCs w:val="21"/>
                      <w:lang w:val="en-US" w:eastAsia="zh-CN"/>
                    </w:rPr>
                  </w:pPr>
                  <w:r>
                    <w:rPr>
                      <w:rFonts w:hint="eastAsia"/>
                      <w:color w:val="auto"/>
                      <w:sz w:val="21"/>
                      <w:szCs w:val="21"/>
                      <w:lang w:val="en-US" w:eastAsia="zh-CN"/>
                    </w:rPr>
                    <w:t>生产运营</w:t>
                  </w:r>
                </w:p>
              </w:tc>
              <w:tc>
                <w:tcPr>
                  <w:tcW w:w="428" w:type="pct"/>
                  <w:tcBorders>
                    <w:tl2br w:val="nil"/>
                    <w:tr2bl w:val="nil"/>
                  </w:tcBorders>
                  <w:noWrap/>
                  <w:vAlign w:val="center"/>
                </w:tcPr>
                <w:p w14:paraId="7219895B">
                  <w:pPr>
                    <w:adjustRightInd w:val="0"/>
                    <w:snapToGrid w:val="0"/>
                    <w:spacing w:before="60" w:after="60"/>
                    <w:jc w:val="center"/>
                    <w:rPr>
                      <w:rFonts w:hint="eastAsia"/>
                      <w:color w:val="auto"/>
                      <w:sz w:val="21"/>
                      <w:szCs w:val="21"/>
                    </w:rPr>
                  </w:pPr>
                  <w:r>
                    <w:rPr>
                      <w:rFonts w:hint="eastAsia"/>
                      <w:color w:val="auto"/>
                      <w:sz w:val="21"/>
                      <w:szCs w:val="21"/>
                    </w:rPr>
                    <w:t>一般固废</w:t>
                  </w:r>
                </w:p>
              </w:tc>
              <w:tc>
                <w:tcPr>
                  <w:tcW w:w="421" w:type="pct"/>
                  <w:tcBorders>
                    <w:tl2br w:val="nil"/>
                    <w:tr2bl w:val="nil"/>
                  </w:tcBorders>
                  <w:noWrap/>
                  <w:vAlign w:val="center"/>
                </w:tcPr>
                <w:p w14:paraId="731A0AD7">
                  <w:pPr>
                    <w:adjustRightInd w:val="0"/>
                    <w:snapToGrid w:val="0"/>
                    <w:spacing w:before="60" w:after="60"/>
                    <w:jc w:val="center"/>
                    <w:rPr>
                      <w:color w:val="auto"/>
                      <w:sz w:val="21"/>
                      <w:szCs w:val="21"/>
                    </w:rPr>
                  </w:pPr>
                  <w:r>
                    <w:rPr>
                      <w:color w:val="auto"/>
                      <w:sz w:val="21"/>
                      <w:szCs w:val="21"/>
                    </w:rPr>
                    <w:t>固态</w:t>
                  </w:r>
                </w:p>
              </w:tc>
              <w:tc>
                <w:tcPr>
                  <w:tcW w:w="573" w:type="pct"/>
                  <w:tcBorders>
                    <w:tl2br w:val="nil"/>
                    <w:tr2bl w:val="nil"/>
                  </w:tcBorders>
                  <w:noWrap/>
                  <w:vAlign w:val="center"/>
                </w:tcPr>
                <w:p w14:paraId="79C658D7">
                  <w:pPr>
                    <w:adjustRightInd w:val="0"/>
                    <w:snapToGrid w:val="0"/>
                    <w:spacing w:before="60" w:after="60"/>
                    <w:jc w:val="center"/>
                    <w:rPr>
                      <w:rFonts w:hint="eastAsia"/>
                      <w:color w:val="auto"/>
                      <w:sz w:val="21"/>
                      <w:szCs w:val="21"/>
                    </w:rPr>
                  </w:pPr>
                  <w:r>
                    <w:rPr>
                      <w:rFonts w:hint="eastAsia"/>
                      <w:color w:val="auto"/>
                      <w:sz w:val="21"/>
                      <w:szCs w:val="21"/>
                    </w:rPr>
                    <w:t>/</w:t>
                  </w:r>
                </w:p>
              </w:tc>
              <w:tc>
                <w:tcPr>
                  <w:tcW w:w="328" w:type="pct"/>
                  <w:tcBorders>
                    <w:tl2br w:val="nil"/>
                    <w:tr2bl w:val="nil"/>
                  </w:tcBorders>
                  <w:noWrap/>
                  <w:vAlign w:val="center"/>
                </w:tcPr>
                <w:p w14:paraId="6432FCF7">
                  <w:pPr>
                    <w:adjustRightInd w:val="0"/>
                    <w:snapToGrid w:val="0"/>
                    <w:spacing w:before="60" w:after="60"/>
                    <w:jc w:val="center"/>
                    <w:rPr>
                      <w:rFonts w:hint="eastAsia"/>
                      <w:color w:val="auto"/>
                      <w:sz w:val="21"/>
                      <w:szCs w:val="21"/>
                    </w:rPr>
                  </w:pPr>
                  <w:r>
                    <w:rPr>
                      <w:rFonts w:hint="eastAsia"/>
                      <w:color w:val="auto"/>
                      <w:sz w:val="21"/>
                      <w:szCs w:val="21"/>
                    </w:rPr>
                    <w:t>/</w:t>
                  </w:r>
                </w:p>
              </w:tc>
              <w:tc>
                <w:tcPr>
                  <w:tcW w:w="584" w:type="pct"/>
                  <w:tcBorders>
                    <w:tl2br w:val="nil"/>
                    <w:tr2bl w:val="nil"/>
                  </w:tcBorders>
                  <w:noWrap/>
                  <w:vAlign w:val="center"/>
                </w:tcPr>
                <w:p w14:paraId="520C753C">
                  <w:pPr>
                    <w:adjustRightInd w:val="0"/>
                    <w:snapToGrid w:val="0"/>
                    <w:spacing w:before="60" w:after="60"/>
                    <w:jc w:val="center"/>
                    <w:rPr>
                      <w:rFonts w:hint="default"/>
                      <w:color w:val="auto"/>
                      <w:sz w:val="21"/>
                      <w:szCs w:val="21"/>
                      <w:lang w:val="en-US" w:eastAsia="zh-CN"/>
                    </w:rPr>
                  </w:pPr>
                  <w:r>
                    <w:rPr>
                      <w:rFonts w:hint="eastAsia"/>
                      <w:color w:val="auto"/>
                      <w:sz w:val="21"/>
                      <w:szCs w:val="21"/>
                      <w:lang w:val="en-US" w:eastAsia="zh-CN"/>
                    </w:rPr>
                    <w:t>0.02</w:t>
                  </w:r>
                </w:p>
              </w:tc>
              <w:tc>
                <w:tcPr>
                  <w:tcW w:w="467" w:type="pct"/>
                  <w:tcBorders>
                    <w:tl2br w:val="nil"/>
                    <w:tr2bl w:val="nil"/>
                  </w:tcBorders>
                  <w:noWrap/>
                  <w:vAlign w:val="center"/>
                </w:tcPr>
                <w:p w14:paraId="4326B755">
                  <w:pPr>
                    <w:adjustRightInd w:val="0"/>
                    <w:snapToGrid w:val="0"/>
                    <w:spacing w:before="60" w:after="60"/>
                    <w:jc w:val="center"/>
                    <w:rPr>
                      <w:rFonts w:hint="eastAsia"/>
                      <w:color w:val="auto"/>
                      <w:sz w:val="21"/>
                      <w:szCs w:val="21"/>
                    </w:rPr>
                  </w:pPr>
                  <w:r>
                    <w:rPr>
                      <w:rFonts w:hint="eastAsia"/>
                      <w:color w:val="auto"/>
                      <w:sz w:val="21"/>
                      <w:szCs w:val="21"/>
                    </w:rPr>
                    <w:t>/</w:t>
                  </w:r>
                </w:p>
              </w:tc>
              <w:tc>
                <w:tcPr>
                  <w:tcW w:w="496" w:type="pct"/>
                  <w:tcBorders>
                    <w:tl2br w:val="nil"/>
                    <w:tr2bl w:val="nil"/>
                  </w:tcBorders>
                  <w:noWrap/>
                  <w:vAlign w:val="center"/>
                </w:tcPr>
                <w:p w14:paraId="48DA7A0A">
                  <w:pPr>
                    <w:adjustRightInd w:val="0"/>
                    <w:snapToGrid w:val="0"/>
                    <w:spacing w:before="60" w:after="60"/>
                    <w:jc w:val="center"/>
                    <w:rPr>
                      <w:rFonts w:hint="eastAsia"/>
                      <w:color w:val="auto"/>
                      <w:sz w:val="21"/>
                      <w:szCs w:val="21"/>
                    </w:rPr>
                  </w:pPr>
                  <w:r>
                    <w:rPr>
                      <w:rFonts w:hint="eastAsia"/>
                      <w:color w:val="auto"/>
                      <w:sz w:val="21"/>
                      <w:szCs w:val="21"/>
                    </w:rPr>
                    <w:t>厂家回收处理</w:t>
                  </w:r>
                </w:p>
              </w:tc>
              <w:tc>
                <w:tcPr>
                  <w:tcW w:w="475" w:type="pct"/>
                  <w:tcBorders>
                    <w:tl2br w:val="nil"/>
                    <w:tr2bl w:val="nil"/>
                  </w:tcBorders>
                  <w:noWrap/>
                  <w:vAlign w:val="center"/>
                </w:tcPr>
                <w:p w14:paraId="765426CC">
                  <w:pPr>
                    <w:adjustRightInd w:val="0"/>
                    <w:snapToGrid w:val="0"/>
                    <w:spacing w:before="60" w:after="60"/>
                    <w:jc w:val="center"/>
                    <w:rPr>
                      <w:rFonts w:hint="default"/>
                      <w:color w:val="auto"/>
                      <w:sz w:val="21"/>
                      <w:szCs w:val="21"/>
                      <w:lang w:val="en-US" w:eastAsia="zh-CN"/>
                    </w:rPr>
                  </w:pPr>
                  <w:r>
                    <w:rPr>
                      <w:rFonts w:hint="eastAsia"/>
                      <w:color w:val="auto"/>
                      <w:sz w:val="21"/>
                      <w:szCs w:val="21"/>
                      <w:lang w:val="en-US" w:eastAsia="zh-CN"/>
                    </w:rPr>
                    <w:t>0.02</w:t>
                  </w:r>
                </w:p>
              </w:tc>
            </w:tr>
          </w:tbl>
          <w:p w14:paraId="270CAC3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b/>
                <w:bCs/>
                <w:color w:val="auto"/>
                <w:sz w:val="24"/>
              </w:rPr>
            </w:pPr>
            <w:r>
              <w:rPr>
                <w:b/>
                <w:bCs/>
                <w:color w:val="auto"/>
                <w:sz w:val="24"/>
              </w:rPr>
              <w:t>一般工业固体废物环境管理要求：</w:t>
            </w:r>
          </w:p>
          <w:p w14:paraId="4E63035A">
            <w:pPr>
              <w:spacing w:line="360" w:lineRule="auto"/>
              <w:ind w:firstLine="480" w:firstLineChars="200"/>
              <w:rPr>
                <w:color w:val="auto"/>
                <w:sz w:val="24"/>
              </w:rPr>
            </w:pPr>
            <w:r>
              <w:rPr>
                <w:rFonts w:hint="eastAsia"/>
                <w:color w:val="auto"/>
                <w:sz w:val="24"/>
              </w:rPr>
              <w:t>（1）</w:t>
            </w:r>
            <w:r>
              <w:rPr>
                <w:color w:val="auto"/>
                <w:sz w:val="24"/>
              </w:rPr>
              <w:t>委托利用/处置环节污染防控技术要求</w:t>
            </w:r>
          </w:p>
          <w:p w14:paraId="1EDB0868">
            <w:pPr>
              <w:spacing w:line="360" w:lineRule="auto"/>
              <w:ind w:firstLine="480" w:firstLineChars="200"/>
              <w:rPr>
                <w:color w:val="auto"/>
                <w:sz w:val="24"/>
              </w:rPr>
            </w:pPr>
            <w:r>
              <w:rPr>
                <w:rFonts w:hint="eastAsia"/>
                <w:color w:val="auto"/>
                <w:sz w:val="24"/>
              </w:rPr>
              <w:t>建设单位</w:t>
            </w:r>
            <w:r>
              <w:rPr>
                <w:color w:val="auto"/>
                <w:sz w:val="24"/>
              </w:rPr>
              <w:t>委托他人运输、利用、处置一般工业固体废物的，应落实《中华人民共和国固体废物污染环境防治法》等法律法规要求，对受托方的主体资格和技术能力进行核实，依法签订书面合同，在合同中约定污染防治要求等。</w:t>
            </w:r>
          </w:p>
          <w:p w14:paraId="3961D896">
            <w:pPr>
              <w:spacing w:line="360" w:lineRule="auto"/>
              <w:ind w:firstLine="480" w:firstLineChars="200"/>
              <w:rPr>
                <w:color w:val="auto"/>
                <w:sz w:val="24"/>
              </w:rPr>
            </w:pPr>
            <w:r>
              <w:rPr>
                <w:rFonts w:hint="eastAsia"/>
                <w:color w:val="auto"/>
                <w:sz w:val="24"/>
              </w:rPr>
              <w:t>（2）</w:t>
            </w:r>
            <w:r>
              <w:rPr>
                <w:color w:val="auto"/>
                <w:sz w:val="24"/>
              </w:rPr>
              <w:t>自行贮存设施污染防控技术要求</w:t>
            </w:r>
          </w:p>
          <w:p w14:paraId="52CD2BE7">
            <w:pPr>
              <w:spacing w:line="360" w:lineRule="auto"/>
              <w:ind w:firstLine="480" w:firstLineChars="200"/>
              <w:rPr>
                <w:color w:val="auto"/>
                <w:sz w:val="24"/>
              </w:rPr>
            </w:pPr>
            <w:r>
              <w:rPr>
                <w:color w:val="auto"/>
                <w:sz w:val="24"/>
              </w:rPr>
              <w:t>采用库房、包装工具（罐、桶、包装袋等）贮存一般工业固体废物的，贮存过程应满足相应防渗漏、防雨淋、防扬尘等环境保护要求；生活垃圾不得进入一般工业固体废物贮存场及填埋场；不相容的一般工业固体废物应设置不同的分区进行贮存和填埋作业；贮存场应设置清晰、完整的一般工业固体废物标志牌等。</w:t>
            </w:r>
          </w:p>
          <w:p w14:paraId="58C829FE">
            <w:pPr>
              <w:spacing w:line="360" w:lineRule="auto"/>
              <w:ind w:firstLine="480" w:firstLineChars="200"/>
              <w:rPr>
                <w:color w:val="auto"/>
                <w:sz w:val="24"/>
              </w:rPr>
            </w:pPr>
            <w:r>
              <w:rPr>
                <w:rFonts w:hint="eastAsia"/>
                <w:color w:val="auto"/>
                <w:sz w:val="24"/>
              </w:rPr>
              <w:t>（3）环境管理台账记录要求</w:t>
            </w:r>
          </w:p>
          <w:p w14:paraId="24172F32">
            <w:pPr>
              <w:spacing w:line="360" w:lineRule="auto"/>
              <w:ind w:firstLine="480" w:firstLineChars="200"/>
              <w:rPr>
                <w:rFonts w:hint="eastAsia"/>
                <w:color w:val="auto"/>
                <w:sz w:val="24"/>
                <w:lang w:eastAsia="zh-CN"/>
              </w:rPr>
            </w:pPr>
            <w:r>
              <w:rPr>
                <w:rFonts w:hint="eastAsia"/>
                <w:color w:val="auto"/>
                <w:sz w:val="24"/>
              </w:rPr>
              <w:t>排污单位应建立环境管理台账制度，一般工业固体废物环境管理台账记录应符合生态环境部规定的《一般工业固体废物管理台账制定指南（试行）》及管理文件要求</w:t>
            </w:r>
            <w:r>
              <w:rPr>
                <w:rFonts w:hint="eastAsia"/>
                <w:color w:val="auto"/>
                <w:sz w:val="24"/>
                <w:lang w:eastAsia="zh-CN"/>
              </w:rPr>
              <w:t>。</w:t>
            </w:r>
          </w:p>
          <w:p w14:paraId="381B2626">
            <w:pPr>
              <w:spacing w:line="360" w:lineRule="auto"/>
              <w:ind w:firstLine="480" w:firstLineChars="200"/>
              <w:rPr>
                <w:color w:val="auto"/>
                <w:sz w:val="24"/>
              </w:rPr>
            </w:pPr>
            <w:r>
              <w:rPr>
                <w:rFonts w:hint="eastAsia"/>
                <w:color w:val="auto"/>
                <w:sz w:val="24"/>
              </w:rPr>
              <w:t>（</w:t>
            </w:r>
            <w:r>
              <w:rPr>
                <w:rFonts w:hint="eastAsia"/>
                <w:color w:val="auto"/>
                <w:sz w:val="24"/>
                <w:lang w:val="en-US" w:eastAsia="zh-CN"/>
              </w:rPr>
              <w:t>4</w:t>
            </w:r>
            <w:r>
              <w:rPr>
                <w:rFonts w:hint="eastAsia"/>
                <w:color w:val="auto"/>
                <w:sz w:val="24"/>
              </w:rPr>
              <w:t>）</w:t>
            </w:r>
            <w:r>
              <w:rPr>
                <w:rFonts w:hint="eastAsia"/>
                <w:color w:val="auto"/>
                <w:sz w:val="24"/>
                <w:lang w:val="en-US" w:eastAsia="zh-CN"/>
              </w:rPr>
              <w:t>其他固废管理</w:t>
            </w:r>
            <w:r>
              <w:rPr>
                <w:rFonts w:hint="eastAsia"/>
                <w:color w:val="auto"/>
                <w:sz w:val="24"/>
              </w:rPr>
              <w:t>要求</w:t>
            </w:r>
          </w:p>
          <w:p w14:paraId="48A4A804">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由于本项目豆渣暂存间存放豆渣等易腐败固体废物，故豆渣暂存间应保持阴凉、干燥、通风、避光、清洁卫生等。</w:t>
            </w:r>
          </w:p>
          <w:p w14:paraId="470F23EF">
            <w:pPr>
              <w:spacing w:line="360" w:lineRule="auto"/>
              <w:ind w:firstLine="480" w:firstLineChars="200"/>
              <w:rPr>
                <w:rFonts w:hint="eastAsia" w:cs="Times New Roman"/>
                <w:color w:val="auto"/>
                <w:sz w:val="24"/>
                <w:lang w:eastAsia="zh-CN"/>
              </w:rPr>
            </w:pPr>
            <w:r>
              <w:rPr>
                <w:rFonts w:hint="eastAsia" w:ascii="Times New Roman" w:hAnsi="Times New Roman" w:eastAsia="宋体" w:cs="Times New Roman"/>
                <w:color w:val="auto"/>
                <w:sz w:val="24"/>
                <w:lang w:eastAsia="zh-CN"/>
              </w:rPr>
              <w:t>项目强化废物产生、收集、贮运各环节的管理，杜绝固废在厂区内的散失、渗漏。做好固体废物在厂区内的收集和储存相关防护工作，收集后进行有效处置。建立完善的规章制度，以降低固体废物散落对周围环境的影响。因此，本项目产生的固体废物经有效处理和处置后对环境影响较小</w:t>
            </w:r>
            <w:r>
              <w:rPr>
                <w:rFonts w:hint="eastAsia" w:cs="Times New Roman"/>
                <w:color w:val="auto"/>
                <w:sz w:val="24"/>
                <w:lang w:eastAsia="zh-CN"/>
              </w:rPr>
              <w:t>。</w:t>
            </w:r>
          </w:p>
          <w:p w14:paraId="3558C12A">
            <w:pPr>
              <w:spacing w:line="360" w:lineRule="auto"/>
              <w:rPr>
                <w:b/>
                <w:bCs/>
                <w:color w:val="auto"/>
                <w:sz w:val="24"/>
              </w:rPr>
            </w:pPr>
            <w:r>
              <w:rPr>
                <w:rFonts w:hint="eastAsia"/>
                <w:b/>
                <w:bCs/>
                <w:color w:val="auto"/>
                <w:sz w:val="24"/>
              </w:rPr>
              <w:t>五、土壤、地下水污染防治措施</w:t>
            </w:r>
          </w:p>
          <w:p w14:paraId="7AA83186">
            <w:pPr>
              <w:spacing w:line="360" w:lineRule="auto"/>
              <w:ind w:firstLine="482" w:firstLineChars="200"/>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lang w:val="en-US" w:eastAsia="zh-CN"/>
              </w:rPr>
              <w:t>5.1</w:t>
            </w:r>
            <w:r>
              <w:rPr>
                <w:rFonts w:hint="default" w:ascii="Times New Roman" w:hAnsi="Times New Roman" w:eastAsia="宋体" w:cs="Times New Roman"/>
                <w:b/>
                <w:bCs/>
                <w:color w:val="auto"/>
                <w:sz w:val="24"/>
                <w:lang w:eastAsia="zh-CN"/>
              </w:rPr>
              <w:t>污染源及</w:t>
            </w:r>
            <w:r>
              <w:rPr>
                <w:rFonts w:hint="eastAsia" w:ascii="Times New Roman" w:hAnsi="Times New Roman" w:eastAsia="宋体" w:cs="Times New Roman"/>
                <w:b/>
                <w:bCs/>
                <w:color w:val="auto"/>
                <w:sz w:val="24"/>
                <w:lang w:val="en-US" w:eastAsia="zh-CN"/>
              </w:rPr>
              <w:t>污染类型</w:t>
            </w:r>
          </w:p>
          <w:p w14:paraId="4D4F02A2">
            <w:pPr>
              <w:spacing w:line="360" w:lineRule="auto"/>
              <w:ind w:firstLine="480" w:firstLineChars="200"/>
              <w:rPr>
                <w:rFonts w:hint="default"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1、</w:t>
            </w:r>
            <w:r>
              <w:rPr>
                <w:rFonts w:hint="default" w:ascii="Times New Roman" w:hAnsi="Times New Roman" w:eastAsia="宋体" w:cs="Times New Roman"/>
                <w:color w:val="auto"/>
                <w:sz w:val="24"/>
                <w:lang w:eastAsia="zh-CN"/>
              </w:rPr>
              <w:t>项目地下水和土壤污染源、污染物类型见下表所示。</w:t>
            </w:r>
          </w:p>
          <w:p w14:paraId="77F60369">
            <w:pPr>
              <w:widowControl/>
              <w:adjustRightInd w:val="0"/>
              <w:snapToGrid w:val="0"/>
              <w:jc w:val="center"/>
              <w:rPr>
                <w:rFonts w:hint="default" w:ascii="Times New Roman" w:hAnsi="Times New Roman" w:eastAsia="宋体" w:cs="Times New Roman"/>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eastAsia" w:cs="Times New Roman"/>
                <w:b/>
                <w:bCs/>
                <w:color w:val="auto"/>
                <w:sz w:val="21"/>
                <w:szCs w:val="21"/>
                <w:highlight w:val="none"/>
                <w:lang w:val="en-US" w:eastAsia="zh-CN"/>
              </w:rPr>
              <w:t xml:space="preserve">4-10 </w:t>
            </w:r>
            <w:r>
              <w:rPr>
                <w:rFonts w:hint="eastAsia" w:ascii="Times New Roman" w:hAnsi="Times New Roman" w:eastAsia="宋体"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eastAsia="zh-CN"/>
              </w:rPr>
              <w:t>本项目</w:t>
            </w:r>
            <w:r>
              <w:rPr>
                <w:rFonts w:hint="default" w:ascii="Times New Roman" w:hAnsi="Times New Roman" w:eastAsia="宋体" w:cs="Times New Roman"/>
                <w:b/>
                <w:bCs/>
                <w:color w:val="auto"/>
                <w:sz w:val="21"/>
                <w:szCs w:val="21"/>
                <w:highlight w:val="none"/>
                <w:lang w:eastAsia="zh-CN"/>
              </w:rPr>
              <w:t>地下水和土壤污染源及途径识别一览表</w:t>
            </w:r>
          </w:p>
          <w:tbl>
            <w:tblPr>
              <w:tblStyle w:val="29"/>
              <w:tblW w:w="4995" w:type="pct"/>
              <w:jc w:val="center"/>
              <w:tblLayout w:type="fixed"/>
              <w:tblCellMar>
                <w:top w:w="0" w:type="dxa"/>
                <w:left w:w="10" w:type="dxa"/>
                <w:bottom w:w="0" w:type="dxa"/>
                <w:right w:w="10" w:type="dxa"/>
              </w:tblCellMar>
            </w:tblPr>
            <w:tblGrid>
              <w:gridCol w:w="711"/>
              <w:gridCol w:w="1616"/>
              <w:gridCol w:w="2980"/>
              <w:gridCol w:w="2951"/>
            </w:tblGrid>
            <w:tr w14:paraId="609C09B0">
              <w:tblPrEx>
                <w:tblCellMar>
                  <w:top w:w="0" w:type="dxa"/>
                  <w:left w:w="10" w:type="dxa"/>
                  <w:bottom w:w="0" w:type="dxa"/>
                  <w:right w:w="10" w:type="dxa"/>
                </w:tblCellMar>
              </w:tblPrEx>
              <w:trPr>
                <w:trHeight w:val="101" w:hRule="atLeast"/>
                <w:jc w:val="center"/>
              </w:trPr>
              <w:tc>
                <w:tcPr>
                  <w:tcW w:w="430" w:type="pct"/>
                  <w:tcBorders>
                    <w:top w:val="single" w:color="auto" w:sz="4" w:space="0"/>
                    <w:left w:val="single" w:color="auto" w:sz="4" w:space="0"/>
                    <w:bottom w:val="single" w:color="000000" w:sz="4" w:space="0"/>
                  </w:tcBorders>
                  <w:vAlign w:val="center"/>
                </w:tcPr>
                <w:p w14:paraId="77FEE019">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序号</w:t>
                  </w:r>
                </w:p>
              </w:tc>
              <w:tc>
                <w:tcPr>
                  <w:tcW w:w="978" w:type="pct"/>
                  <w:tcBorders>
                    <w:top w:val="single" w:color="auto" w:sz="4" w:space="0"/>
                    <w:left w:val="single" w:color="auto" w:sz="4" w:space="0"/>
                    <w:bottom w:val="single" w:color="000000" w:sz="4" w:space="0"/>
                  </w:tcBorders>
                  <w:vAlign w:val="center"/>
                </w:tcPr>
                <w:p w14:paraId="69538340">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污染源所属单元</w:t>
                  </w:r>
                </w:p>
              </w:tc>
              <w:tc>
                <w:tcPr>
                  <w:tcW w:w="1804" w:type="pct"/>
                  <w:tcBorders>
                    <w:top w:val="single" w:color="auto" w:sz="4" w:space="0"/>
                    <w:left w:val="single" w:color="auto" w:sz="4" w:space="0"/>
                    <w:bottom w:val="single" w:color="000000" w:sz="4" w:space="0"/>
                  </w:tcBorders>
                  <w:vAlign w:val="center"/>
                </w:tcPr>
                <w:p w14:paraId="55D56D02">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污染源</w:t>
                  </w:r>
                </w:p>
              </w:tc>
              <w:tc>
                <w:tcPr>
                  <w:tcW w:w="1786" w:type="pct"/>
                  <w:tcBorders>
                    <w:top w:val="single" w:color="auto" w:sz="4" w:space="0"/>
                    <w:left w:val="single" w:color="auto" w:sz="4" w:space="0"/>
                    <w:bottom w:val="single" w:color="000000" w:sz="4" w:space="0"/>
                  </w:tcBorders>
                  <w:vAlign w:val="center"/>
                </w:tcPr>
                <w:p w14:paraId="0365571E">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污染类型</w:t>
                  </w:r>
                </w:p>
              </w:tc>
            </w:tr>
            <w:tr w14:paraId="12410403">
              <w:tblPrEx>
                <w:tblCellMar>
                  <w:top w:w="0" w:type="dxa"/>
                  <w:left w:w="10" w:type="dxa"/>
                  <w:bottom w:w="0" w:type="dxa"/>
                  <w:right w:w="10" w:type="dxa"/>
                </w:tblCellMar>
              </w:tblPrEx>
              <w:trPr>
                <w:trHeight w:val="0" w:hRule="atLeast"/>
                <w:jc w:val="center"/>
              </w:trPr>
              <w:tc>
                <w:tcPr>
                  <w:tcW w:w="430" w:type="pct"/>
                  <w:tcBorders>
                    <w:top w:val="single" w:color="000000" w:sz="4" w:space="0"/>
                    <w:left w:val="single" w:color="000000" w:sz="4" w:space="0"/>
                    <w:bottom w:val="single" w:color="000000" w:sz="4" w:space="0"/>
                    <w:right w:val="single" w:color="000000" w:sz="4" w:space="0"/>
                  </w:tcBorders>
                  <w:vAlign w:val="center"/>
                </w:tcPr>
                <w:p w14:paraId="765ACB7F">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1</w:t>
                  </w:r>
                </w:p>
              </w:tc>
              <w:tc>
                <w:tcPr>
                  <w:tcW w:w="978" w:type="pct"/>
                  <w:tcBorders>
                    <w:top w:val="single" w:color="000000" w:sz="4" w:space="0"/>
                    <w:left w:val="single" w:color="000000" w:sz="4" w:space="0"/>
                    <w:bottom w:val="single" w:color="000000" w:sz="4" w:space="0"/>
                    <w:right w:val="single" w:color="000000" w:sz="4" w:space="0"/>
                  </w:tcBorders>
                  <w:vAlign w:val="center"/>
                </w:tcPr>
                <w:p w14:paraId="513862CC">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废水运输管道</w:t>
                  </w:r>
                </w:p>
              </w:tc>
              <w:tc>
                <w:tcPr>
                  <w:tcW w:w="1804" w:type="pct"/>
                  <w:tcBorders>
                    <w:top w:val="single" w:color="000000" w:sz="4" w:space="0"/>
                    <w:left w:val="single" w:color="000000" w:sz="4" w:space="0"/>
                    <w:bottom w:val="single" w:color="000000" w:sz="4" w:space="0"/>
                    <w:right w:val="single" w:color="000000" w:sz="4" w:space="0"/>
                  </w:tcBorders>
                  <w:vAlign w:val="center"/>
                </w:tcPr>
                <w:p w14:paraId="072E3BAB">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sz w:val="21"/>
                      <w:szCs w:val="21"/>
                      <w:highlight w:val="none"/>
                      <w:lang w:val="en-US" w:eastAsia="zh-CN"/>
                    </w:rPr>
                    <w:t>高浓度有机废液</w:t>
                  </w:r>
                </w:p>
              </w:tc>
              <w:tc>
                <w:tcPr>
                  <w:tcW w:w="1786" w:type="pct"/>
                  <w:tcBorders>
                    <w:top w:val="single" w:color="000000" w:sz="4" w:space="0"/>
                    <w:left w:val="single" w:color="000000" w:sz="4" w:space="0"/>
                    <w:bottom w:val="single" w:color="000000" w:sz="4" w:space="0"/>
                    <w:right w:val="single" w:color="000000" w:sz="4" w:space="0"/>
                  </w:tcBorders>
                  <w:vAlign w:val="center"/>
                </w:tcPr>
                <w:p w14:paraId="38E7BFF1">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eastAsia="宋体" w:cs="Times New Roman"/>
                      <w:color w:val="auto"/>
                      <w:kern w:val="2"/>
                      <w:sz w:val="21"/>
                      <w:szCs w:val="21"/>
                      <w:highlight w:val="none"/>
                      <w:lang w:eastAsia="zh-CN"/>
                    </w:rPr>
                  </w:pPr>
                  <w:r>
                    <w:rPr>
                      <w:rFonts w:hint="eastAsia" w:ascii="Times New Roman" w:hAnsi="Times New Roman" w:eastAsia="宋体" w:cs="Times New Roman"/>
                      <w:color w:val="auto"/>
                      <w:kern w:val="2"/>
                      <w:sz w:val="21"/>
                      <w:szCs w:val="21"/>
                      <w:highlight w:val="none"/>
                      <w:lang w:val="en-US" w:eastAsia="zh-CN"/>
                    </w:rPr>
                    <w:t>污染影响型、第</w:t>
                  </w:r>
                  <w:r>
                    <w:rPr>
                      <w:rFonts w:hint="eastAsia" w:cs="Times New Roman"/>
                      <w:color w:val="auto"/>
                      <w:kern w:val="2"/>
                      <w:sz w:val="21"/>
                      <w:szCs w:val="21"/>
                      <w:highlight w:val="none"/>
                      <w:lang w:val="en-US" w:eastAsia="zh-CN"/>
                    </w:rPr>
                    <w:t>八</w:t>
                  </w:r>
                  <w:r>
                    <w:rPr>
                      <w:rFonts w:hint="eastAsia" w:ascii="Times New Roman" w:hAnsi="Times New Roman" w:eastAsia="宋体" w:cs="Times New Roman"/>
                      <w:color w:val="auto"/>
                      <w:kern w:val="2"/>
                      <w:sz w:val="21"/>
                      <w:szCs w:val="21"/>
                      <w:highlight w:val="none"/>
                      <w:lang w:val="en-US" w:eastAsia="zh-CN"/>
                    </w:rPr>
                    <w:t>类水污染物</w:t>
                  </w:r>
                </w:p>
              </w:tc>
            </w:tr>
          </w:tbl>
          <w:p w14:paraId="5A493D2D">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val="en-US" w:eastAsia="zh-CN"/>
              </w:rPr>
              <w:t>2、</w:t>
            </w:r>
            <w:r>
              <w:rPr>
                <w:rFonts w:hint="default" w:ascii="Times New Roman" w:hAnsi="Times New Roman" w:eastAsia="宋体" w:cs="Times New Roman"/>
                <w:color w:val="auto"/>
                <w:sz w:val="24"/>
                <w:lang w:eastAsia="zh-CN"/>
              </w:rPr>
              <w:t>地下水、土壤污染的可能途径</w:t>
            </w:r>
            <w:r>
              <w:rPr>
                <w:rFonts w:hint="default" w:ascii="Times New Roman" w:hAnsi="Times New Roman" w:eastAsia="宋体" w:cs="Times New Roman"/>
                <w:color w:val="auto"/>
                <w:sz w:val="24"/>
                <w:lang w:eastAsia="zh-CN"/>
              </w:rPr>
              <w:tab/>
            </w:r>
          </w:p>
          <w:p w14:paraId="098404F0">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①废水对地下水、土壤环境影响</w:t>
            </w:r>
          </w:p>
          <w:p w14:paraId="0E8CB38B">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根据工程分析，项目废水主要为生活污水</w:t>
            </w:r>
            <w:r>
              <w:rPr>
                <w:rFonts w:hint="eastAsia" w:ascii="Times New Roman" w:hAnsi="Times New Roman" w:cs="Times New Roman"/>
                <w:color w:val="auto"/>
                <w:sz w:val="24"/>
                <w:lang w:val="en-US" w:eastAsia="zh-CN"/>
              </w:rPr>
              <w:t>和生产废水</w:t>
            </w:r>
            <w:r>
              <w:rPr>
                <w:rFonts w:hint="default"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eastAsia="zh-CN"/>
              </w:rPr>
              <w:t>生活污水经化粪池</w:t>
            </w:r>
            <w:r>
              <w:rPr>
                <w:rFonts w:hint="eastAsia" w:ascii="Times New Roman" w:hAnsi="Times New Roman" w:cs="Times New Roman"/>
                <w:color w:val="auto"/>
                <w:sz w:val="24"/>
                <w:lang w:val="en-US" w:eastAsia="zh-CN"/>
              </w:rPr>
              <w:t>处理</w:t>
            </w:r>
            <w:r>
              <w:rPr>
                <w:rFonts w:hint="eastAsia" w:ascii="Times New Roman" w:hAnsi="Times New Roman" w:eastAsia="宋体" w:cs="Times New Roman"/>
                <w:color w:val="auto"/>
                <w:sz w:val="24"/>
                <w:lang w:eastAsia="zh-CN"/>
              </w:rPr>
              <w:t>后</w:t>
            </w:r>
            <w:r>
              <w:rPr>
                <w:rFonts w:hint="eastAsia" w:ascii="Times New Roman" w:hAnsi="Times New Roman" w:cs="Times New Roman"/>
                <w:color w:val="auto"/>
                <w:sz w:val="24"/>
                <w:lang w:val="en-US" w:eastAsia="zh-CN"/>
              </w:rPr>
              <w:t>和生产废水一并排入秸秆粪便资源化利用（一期）项目沼气发电系统作为原料</w:t>
            </w:r>
            <w:r>
              <w:rPr>
                <w:rFonts w:hint="default" w:ascii="Times New Roman" w:hAnsi="Times New Roman" w:eastAsia="宋体" w:cs="Times New Roman"/>
                <w:color w:val="auto"/>
                <w:sz w:val="24"/>
                <w:lang w:eastAsia="zh-CN"/>
              </w:rPr>
              <w:t>，</w:t>
            </w:r>
            <w:r>
              <w:rPr>
                <w:rFonts w:hint="eastAsia" w:ascii="Times New Roman" w:hAnsi="Times New Roman" w:cs="Times New Roman"/>
                <w:color w:val="auto"/>
                <w:sz w:val="24"/>
                <w:lang w:val="en-US" w:eastAsia="zh-CN"/>
              </w:rPr>
              <w:t>本项目生产废水为高浓度有机废液，在泄露情况下可能会对</w:t>
            </w:r>
            <w:r>
              <w:rPr>
                <w:rFonts w:hint="default" w:ascii="Times New Roman" w:hAnsi="Times New Roman" w:eastAsia="宋体" w:cs="Times New Roman"/>
                <w:color w:val="auto"/>
                <w:sz w:val="24"/>
                <w:lang w:eastAsia="zh-CN"/>
              </w:rPr>
              <w:t>地下水、土壤产生不良影响。</w:t>
            </w:r>
          </w:p>
          <w:p w14:paraId="0299343C">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②废气对地下水、土壤环境影响</w:t>
            </w:r>
          </w:p>
          <w:p w14:paraId="475F3146">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val="en-US" w:eastAsia="zh-CN"/>
              </w:rPr>
              <w:t>本</w:t>
            </w:r>
            <w:r>
              <w:rPr>
                <w:rFonts w:hint="eastAsia" w:ascii="Times New Roman" w:hAnsi="Times New Roman" w:eastAsia="宋体" w:cs="Times New Roman"/>
                <w:color w:val="auto"/>
                <w:sz w:val="24"/>
                <w:lang w:eastAsia="zh-CN"/>
              </w:rPr>
              <w:t>项目排放的废气</w:t>
            </w:r>
            <w:r>
              <w:rPr>
                <w:rFonts w:hint="eastAsia" w:ascii="Times New Roman" w:hAnsi="Times New Roman" w:eastAsia="宋体" w:cs="Times New Roman"/>
                <w:color w:val="auto"/>
                <w:sz w:val="24"/>
                <w:lang w:val="en-US" w:eastAsia="zh-CN"/>
              </w:rPr>
              <w:t>主要为</w:t>
            </w:r>
            <w:r>
              <w:rPr>
                <w:rFonts w:hint="eastAsia" w:ascii="Times New Roman" w:hAnsi="Times New Roman" w:cs="Times New Roman"/>
                <w:color w:val="auto"/>
                <w:sz w:val="24"/>
                <w:lang w:val="en-US" w:eastAsia="zh-CN"/>
              </w:rPr>
              <w:t>颗粒物、二氧化硫、氮氧化物、氨气和硫化氢</w:t>
            </w:r>
            <w:r>
              <w:rPr>
                <w:rFonts w:hint="eastAsia" w:ascii="Times New Roman" w:hAnsi="Times New Roman" w:eastAsia="宋体" w:cs="Times New Roman"/>
                <w:color w:val="auto"/>
                <w:sz w:val="24"/>
                <w:lang w:val="en-US" w:eastAsia="zh-CN"/>
              </w:rPr>
              <w:t>，</w:t>
            </w:r>
            <w:r>
              <w:rPr>
                <w:rFonts w:hint="eastAsia" w:ascii="Times New Roman" w:hAnsi="Times New Roman" w:eastAsia="宋体" w:cs="Times New Roman"/>
                <w:color w:val="auto"/>
                <w:sz w:val="24"/>
                <w:lang w:eastAsia="zh-CN"/>
              </w:rPr>
              <w:t>不含有《有毒有害大气污染物名录》的污染物，不会对地下水、土壤产生不良影响。</w:t>
            </w:r>
          </w:p>
          <w:p w14:paraId="41F97DBC">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③物料</w:t>
            </w:r>
            <w:r>
              <w:rPr>
                <w:rFonts w:hint="eastAsia" w:ascii="Times New Roman" w:hAnsi="Times New Roman" w:eastAsia="宋体" w:cs="Times New Roman"/>
                <w:color w:val="auto"/>
                <w:sz w:val="24"/>
                <w:lang w:val="en-US" w:eastAsia="zh-CN"/>
              </w:rPr>
              <w:t>贮存</w:t>
            </w:r>
            <w:r>
              <w:rPr>
                <w:rFonts w:hint="default" w:ascii="Times New Roman" w:hAnsi="Times New Roman" w:eastAsia="宋体" w:cs="Times New Roman"/>
                <w:color w:val="auto"/>
                <w:sz w:val="24"/>
                <w:lang w:eastAsia="zh-CN"/>
              </w:rPr>
              <w:t>对地下水、土壤环境影响</w:t>
            </w:r>
          </w:p>
          <w:p w14:paraId="410EFCAD">
            <w:pPr>
              <w:spacing w:line="360" w:lineRule="auto"/>
              <w:ind w:firstLine="480" w:firstLineChars="20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w:t>
            </w:r>
            <w:r>
              <w:rPr>
                <w:rFonts w:hint="default" w:ascii="Times New Roman" w:hAnsi="Times New Roman" w:eastAsia="宋体" w:cs="Times New Roman"/>
                <w:color w:val="auto"/>
                <w:sz w:val="24"/>
                <w:lang w:eastAsia="zh-CN"/>
              </w:rPr>
              <w:t>项目的原辅材料基本以固态为主，分类</w:t>
            </w:r>
            <w:r>
              <w:rPr>
                <w:rFonts w:hint="eastAsia" w:ascii="Times New Roman" w:hAnsi="Times New Roman" w:eastAsia="宋体" w:cs="Times New Roman"/>
                <w:color w:val="auto"/>
                <w:sz w:val="24"/>
                <w:lang w:val="en-US" w:eastAsia="zh-CN"/>
              </w:rPr>
              <w:t>存放</w:t>
            </w:r>
            <w:r>
              <w:rPr>
                <w:rFonts w:hint="default" w:ascii="Times New Roman" w:hAnsi="Times New Roman" w:eastAsia="宋体" w:cs="Times New Roman"/>
                <w:color w:val="auto"/>
                <w:sz w:val="24"/>
                <w:lang w:eastAsia="zh-CN"/>
              </w:rPr>
              <w:t>，项目生产区域</w:t>
            </w:r>
            <w:r>
              <w:rPr>
                <w:rFonts w:hint="eastAsia" w:ascii="Times New Roman" w:hAnsi="Times New Roman" w:eastAsia="宋体" w:cs="Times New Roman"/>
                <w:color w:val="auto"/>
                <w:sz w:val="24"/>
                <w:lang w:val="en-US" w:eastAsia="zh-CN"/>
              </w:rPr>
              <w:t>地面</w:t>
            </w:r>
            <w:r>
              <w:rPr>
                <w:rFonts w:hint="default" w:ascii="Times New Roman" w:hAnsi="Times New Roman" w:eastAsia="宋体" w:cs="Times New Roman"/>
                <w:color w:val="auto"/>
                <w:sz w:val="24"/>
                <w:lang w:eastAsia="zh-CN"/>
              </w:rPr>
              <w:t>全部硬化，项目物料堆放不会对土壤产生不良影响。</w:t>
            </w:r>
            <w:r>
              <w:rPr>
                <w:rFonts w:hint="eastAsia" w:ascii="Times New Roman" w:hAnsi="Times New Roman" w:cs="Times New Roman"/>
                <w:color w:val="auto"/>
                <w:sz w:val="24"/>
                <w:lang w:val="en-US" w:eastAsia="zh-CN"/>
              </w:rPr>
              <w:t>项目基本无</w:t>
            </w:r>
            <w:r>
              <w:rPr>
                <w:rFonts w:hint="eastAsia" w:ascii="Times New Roman" w:hAnsi="Times New Roman" w:eastAsia="宋体" w:cs="Times New Roman"/>
                <w:color w:val="auto"/>
                <w:sz w:val="24"/>
                <w:lang w:val="en-US" w:eastAsia="zh-CN"/>
              </w:rPr>
              <w:t>液体物料</w:t>
            </w:r>
            <w:r>
              <w:rPr>
                <w:rFonts w:hint="default" w:ascii="Times New Roman" w:hAnsi="Times New Roman" w:eastAsia="宋体" w:cs="Times New Roman"/>
                <w:color w:val="auto"/>
                <w:sz w:val="24"/>
                <w:lang w:eastAsia="zh-CN"/>
              </w:rPr>
              <w:t>，不会产生淋溶废水</w:t>
            </w:r>
            <w:r>
              <w:rPr>
                <w:rFonts w:hint="eastAsia" w:ascii="Times New Roman" w:hAnsi="Times New Roman" w:eastAsia="宋体" w:cs="Times New Roman"/>
                <w:color w:val="auto"/>
                <w:sz w:val="24"/>
                <w:lang w:val="en-US" w:eastAsia="zh-CN"/>
              </w:rPr>
              <w:t>。因此物料贮存</w:t>
            </w:r>
            <w:r>
              <w:rPr>
                <w:rFonts w:hint="default" w:ascii="Times New Roman" w:hAnsi="Times New Roman" w:eastAsia="宋体" w:cs="Times New Roman"/>
                <w:color w:val="auto"/>
                <w:sz w:val="24"/>
                <w:lang w:val="en-US" w:eastAsia="zh-CN"/>
              </w:rPr>
              <w:t>不会对地下水、土壤产生不良影响。</w:t>
            </w:r>
          </w:p>
          <w:p w14:paraId="73981F14">
            <w:pPr>
              <w:pStyle w:val="61"/>
              <w:keepNext/>
              <w:keepLines/>
              <w:adjustRightInd w:val="0"/>
              <w:snapToGrid w:val="0"/>
              <w:spacing w:after="0" w:line="360" w:lineRule="auto"/>
              <w:ind w:firstLine="482"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val="en-US" w:eastAsia="zh-CN"/>
              </w:rPr>
              <w:t>5.2</w:t>
            </w:r>
            <w:r>
              <w:rPr>
                <w:rFonts w:hint="default" w:ascii="Times New Roman" w:hAnsi="Times New Roman" w:eastAsia="宋体" w:cs="Times New Roman"/>
                <w:b/>
                <w:bCs/>
                <w:color w:val="auto"/>
                <w:sz w:val="24"/>
                <w:szCs w:val="24"/>
                <w:highlight w:val="none"/>
              </w:rPr>
              <w:t>污染防控措施</w:t>
            </w:r>
          </w:p>
          <w:p w14:paraId="262D160C">
            <w:pPr>
              <w:spacing w:line="360" w:lineRule="auto"/>
              <w:ind w:firstLine="480" w:firstLineChars="200"/>
              <w:rPr>
                <w:rFonts w:hint="eastAsia"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本项目根据建设项目场地天然包气带防污性能、污染控制难易程度和污染物特性，按照《环境影响评价技术导则 地下水环境》（HJ610-2016）</w:t>
            </w:r>
            <w:r>
              <w:rPr>
                <w:rFonts w:hint="eastAsia"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《危险废物贮存污染控制标准》（GB18597-2023）</w:t>
            </w:r>
            <w:r>
              <w:rPr>
                <w:rFonts w:hint="default" w:ascii="Times New Roman" w:hAnsi="Times New Roman" w:eastAsia="宋体" w:cs="Times New Roman"/>
                <w:color w:val="auto"/>
                <w:sz w:val="24"/>
                <w:lang w:eastAsia="zh-CN"/>
              </w:rPr>
              <w:t>要求</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进行分区防控</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lang w:val="en-US" w:eastAsia="zh-CN"/>
              </w:rPr>
              <w:t>厂区</w:t>
            </w:r>
            <w:r>
              <w:rPr>
                <w:rFonts w:hint="eastAsia" w:ascii="Times New Roman" w:hAnsi="Times New Roman" w:eastAsia="宋体" w:cs="Times New Roman"/>
                <w:color w:val="auto"/>
                <w:sz w:val="24"/>
                <w:lang w:eastAsia="zh-CN"/>
              </w:rPr>
              <w:t>划分为重点防渗区</w:t>
            </w:r>
            <w:r>
              <w:rPr>
                <w:rFonts w:hint="eastAsia" w:ascii="Times New Roman" w:hAnsi="Times New Roman" w:eastAsia="宋体" w:cs="Times New Roman"/>
                <w:color w:val="auto"/>
                <w:sz w:val="24"/>
                <w:lang w:val="en-US" w:eastAsia="zh-CN"/>
              </w:rPr>
              <w:t>和</w:t>
            </w:r>
            <w:r>
              <w:rPr>
                <w:rFonts w:hint="eastAsia" w:ascii="Times New Roman" w:hAnsi="Times New Roman" w:eastAsia="宋体" w:cs="Times New Roman"/>
                <w:color w:val="auto"/>
                <w:sz w:val="24"/>
                <w:lang w:eastAsia="zh-CN"/>
              </w:rPr>
              <w:t>一般防渗区。</w:t>
            </w:r>
          </w:p>
          <w:p w14:paraId="40B9E6BB">
            <w:pPr>
              <w:spacing w:line="360" w:lineRule="auto"/>
              <w:ind w:firstLine="480" w:firstLineChars="200"/>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lang w:eastAsia="zh-CN"/>
              </w:rPr>
              <w:t>重点防渗区：废水运输管道</w:t>
            </w:r>
            <w:r>
              <w:rPr>
                <w:rFonts w:hint="eastAsia" w:ascii="Times New Roman" w:hAnsi="Times New Roman" w:cs="Times New Roman"/>
                <w:color w:val="auto"/>
                <w:sz w:val="24"/>
                <w:lang w:val="en-US" w:eastAsia="zh-CN"/>
              </w:rPr>
              <w:t>专用沟渠</w:t>
            </w:r>
            <w:r>
              <w:rPr>
                <w:rFonts w:hint="default" w:ascii="Times New Roman" w:hAnsi="Times New Roman" w:eastAsia="宋体" w:cs="Times New Roman"/>
                <w:color w:val="auto"/>
                <w:sz w:val="24"/>
                <w:lang w:eastAsia="zh-CN"/>
              </w:rPr>
              <w:t>进行重点防渗，裙脚应采取表面防渗措施；表面防渗材料应与所接触的物料或污染物相容，可采用抗渗混凝土、高密度聚乙烯膜、钠基膨润土防水毯或其他防渗性能等效的材料。</w:t>
            </w:r>
          </w:p>
          <w:p w14:paraId="5D802F94">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一般防渗区：重点防渗区之外</w:t>
            </w:r>
            <w:r>
              <w:rPr>
                <w:rFonts w:hint="eastAsia" w:ascii="Times New Roman" w:hAnsi="Times New Roman" w:eastAsia="宋体" w:cs="Times New Roman"/>
                <w:color w:val="auto"/>
                <w:sz w:val="24"/>
                <w:lang w:val="en-US" w:eastAsia="zh-CN"/>
              </w:rPr>
              <w:t>的</w:t>
            </w:r>
            <w:r>
              <w:rPr>
                <w:rFonts w:hint="eastAsia" w:ascii="Times New Roman" w:hAnsi="Times New Roman" w:eastAsia="宋体" w:cs="Times New Roman"/>
                <w:color w:val="auto"/>
                <w:sz w:val="24"/>
                <w:lang w:eastAsia="zh-CN"/>
              </w:rPr>
              <w:t>区域，</w:t>
            </w:r>
            <w:r>
              <w:rPr>
                <w:rFonts w:hint="eastAsia" w:ascii="Times New Roman" w:hAnsi="Times New Roman" w:eastAsia="宋体" w:cs="Times New Roman"/>
                <w:color w:val="auto"/>
                <w:sz w:val="24"/>
                <w:lang w:val="en-US" w:eastAsia="zh-CN"/>
              </w:rPr>
              <w:t>抗渗混凝土</w:t>
            </w:r>
            <w:r>
              <w:rPr>
                <w:rFonts w:hint="eastAsia" w:ascii="Times New Roman" w:hAnsi="Times New Roman" w:eastAsia="宋体" w:cs="Times New Roman"/>
                <w:color w:val="auto"/>
                <w:sz w:val="24"/>
                <w:lang w:eastAsia="zh-CN"/>
              </w:rPr>
              <w:t>硬化处理。</w:t>
            </w:r>
          </w:p>
          <w:p w14:paraId="207C7214">
            <w:pPr>
              <w:widowControl/>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eastAsia" w:cs="Times New Roman"/>
                <w:b/>
                <w:bCs/>
                <w:color w:val="auto"/>
                <w:sz w:val="21"/>
                <w:szCs w:val="21"/>
                <w:highlight w:val="none"/>
                <w:lang w:val="en-US" w:eastAsia="zh-CN"/>
              </w:rPr>
              <w:t>11</w:t>
            </w:r>
            <w:r>
              <w:rPr>
                <w:rFonts w:hint="eastAsia" w:ascii="Times New Roman" w:hAnsi="Times New Roman" w:eastAsia="宋体" w:cs="Times New Roman"/>
                <w:b/>
                <w:bCs/>
                <w:color w:val="auto"/>
                <w:sz w:val="21"/>
                <w:szCs w:val="21"/>
                <w:highlight w:val="none"/>
                <w:lang w:val="en-US" w:eastAsia="zh-CN"/>
              </w:rPr>
              <w:t xml:space="preserve">  </w:t>
            </w:r>
            <w:r>
              <w:rPr>
                <w:rFonts w:hint="eastAsia" w:ascii="Times New Roman" w:hAnsi="Times New Roman" w:eastAsia="宋体" w:cs="Times New Roman"/>
                <w:b/>
                <w:bCs/>
                <w:color w:val="auto"/>
                <w:sz w:val="21"/>
                <w:szCs w:val="21"/>
                <w:highlight w:val="none"/>
                <w:lang w:eastAsia="zh-CN"/>
              </w:rPr>
              <w:t>本项目</w:t>
            </w:r>
            <w:r>
              <w:rPr>
                <w:rFonts w:hint="default" w:ascii="Times New Roman" w:hAnsi="Times New Roman" w:eastAsia="宋体" w:cs="Times New Roman"/>
                <w:b/>
                <w:bCs/>
                <w:color w:val="auto"/>
                <w:sz w:val="21"/>
                <w:szCs w:val="21"/>
                <w:highlight w:val="none"/>
                <w:lang w:eastAsia="zh-CN"/>
              </w:rPr>
              <w:t>厂区分区污染防治措施一览表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7"/>
              <w:gridCol w:w="1030"/>
              <w:gridCol w:w="994"/>
              <w:gridCol w:w="1426"/>
              <w:gridCol w:w="2084"/>
              <w:gridCol w:w="2302"/>
            </w:tblGrid>
            <w:tr w14:paraId="7A54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252" w:type="pct"/>
                  <w:vAlign w:val="center"/>
                </w:tcPr>
                <w:p w14:paraId="34727709">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序号</w:t>
                  </w:r>
                </w:p>
              </w:tc>
              <w:tc>
                <w:tcPr>
                  <w:tcW w:w="623" w:type="pct"/>
                  <w:vAlign w:val="center"/>
                </w:tcPr>
                <w:p w14:paraId="47691B67">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装置、单元名称</w:t>
                  </w:r>
                </w:p>
              </w:tc>
              <w:tc>
                <w:tcPr>
                  <w:tcW w:w="602" w:type="pct"/>
                  <w:vAlign w:val="center"/>
                </w:tcPr>
                <w:p w14:paraId="4A252754">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防渗区域及部位</w:t>
                  </w:r>
                </w:p>
              </w:tc>
              <w:tc>
                <w:tcPr>
                  <w:tcW w:w="864" w:type="pct"/>
                  <w:vAlign w:val="center"/>
                </w:tcPr>
                <w:p w14:paraId="63235B21">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防渗标准</w:t>
                  </w:r>
                </w:p>
              </w:tc>
              <w:tc>
                <w:tcPr>
                  <w:tcW w:w="1262" w:type="pct"/>
                  <w:vAlign w:val="center"/>
                </w:tcPr>
                <w:p w14:paraId="5B6CFAFF">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防渗系数要求</w:t>
                  </w:r>
                </w:p>
              </w:tc>
              <w:tc>
                <w:tcPr>
                  <w:tcW w:w="1394" w:type="pct"/>
                  <w:vAlign w:val="center"/>
                </w:tcPr>
                <w:p w14:paraId="7A0BDFB9">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防渗措施</w:t>
                  </w:r>
                </w:p>
              </w:tc>
            </w:tr>
            <w:tr w14:paraId="1E48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252" w:type="pct"/>
                  <w:vAlign w:val="center"/>
                </w:tcPr>
                <w:p w14:paraId="66ED3BC4">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1</w:t>
                  </w:r>
                </w:p>
              </w:tc>
              <w:tc>
                <w:tcPr>
                  <w:tcW w:w="623" w:type="pct"/>
                  <w:vAlign w:val="center"/>
                </w:tcPr>
                <w:p w14:paraId="4E21AA2E">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生产区</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一般固废</w:t>
                  </w:r>
                  <w:r>
                    <w:rPr>
                      <w:rFonts w:hint="eastAsia" w:ascii="Times New Roman" w:hAnsi="Times New Roman" w:cs="Times New Roman"/>
                      <w:color w:val="auto"/>
                      <w:sz w:val="21"/>
                      <w:szCs w:val="21"/>
                      <w:highlight w:val="none"/>
                      <w:lang w:val="en-US" w:eastAsia="zh-CN"/>
                    </w:rPr>
                    <w:t>区</w:t>
                  </w:r>
                  <w:r>
                    <w:rPr>
                      <w:rFonts w:hint="default" w:ascii="Times New Roman" w:hAnsi="Times New Roman" w:cs="Times New Roman"/>
                      <w:color w:val="auto"/>
                      <w:sz w:val="21"/>
                      <w:szCs w:val="21"/>
                      <w:highlight w:val="none"/>
                      <w:lang w:val="en-US" w:eastAsia="zh-CN"/>
                    </w:rPr>
                    <w:t>、办公区</w:t>
                  </w:r>
                </w:p>
              </w:tc>
              <w:tc>
                <w:tcPr>
                  <w:tcW w:w="602" w:type="pct"/>
                  <w:vAlign w:val="center"/>
                </w:tcPr>
                <w:p w14:paraId="2F157A2A">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地面</w:t>
                  </w:r>
                </w:p>
              </w:tc>
              <w:tc>
                <w:tcPr>
                  <w:tcW w:w="864" w:type="pct"/>
                  <w:vAlign w:val="center"/>
                </w:tcPr>
                <w:p w14:paraId="4787D0E2">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HJ610-2016</w:t>
                  </w:r>
                  <w:r>
                    <w:rPr>
                      <w:rFonts w:hint="eastAsia" w:ascii="Times New Roman" w:hAnsi="Times New Roman" w:cs="Times New Roman"/>
                      <w:color w:val="auto"/>
                      <w:sz w:val="21"/>
                      <w:szCs w:val="21"/>
                      <w:highlight w:val="none"/>
                      <w:lang w:val="en-US" w:eastAsia="zh-CN"/>
                    </w:rPr>
                    <w:t>一般</w:t>
                  </w:r>
                  <w:r>
                    <w:rPr>
                      <w:rFonts w:hint="default" w:ascii="Times New Roman" w:hAnsi="Times New Roman" w:cs="Times New Roman"/>
                      <w:color w:val="auto"/>
                      <w:sz w:val="21"/>
                      <w:szCs w:val="21"/>
                      <w:highlight w:val="none"/>
                      <w:lang w:val="en-US" w:eastAsia="zh-CN"/>
                    </w:rPr>
                    <w:t>防渗</w:t>
                  </w:r>
                </w:p>
              </w:tc>
              <w:tc>
                <w:tcPr>
                  <w:tcW w:w="1262" w:type="pct"/>
                  <w:vAlign w:val="center"/>
                </w:tcPr>
                <w:p w14:paraId="7DB95FF0">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等效黏土防渗层 Mb≥1.5m，</w:t>
                  </w:r>
                </w:p>
                <w:p w14:paraId="7B99FFBE">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K≤1×10-7cm/s</w:t>
                  </w:r>
                </w:p>
              </w:tc>
              <w:tc>
                <w:tcPr>
                  <w:tcW w:w="1394" w:type="pct"/>
                  <w:vAlign w:val="center"/>
                </w:tcPr>
                <w:p w14:paraId="15333F25">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抗渗混凝土</w:t>
                  </w:r>
                </w:p>
              </w:tc>
            </w:tr>
            <w:tr w14:paraId="4AD5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trPr>
              <w:tc>
                <w:tcPr>
                  <w:tcW w:w="252" w:type="pct"/>
                  <w:vAlign w:val="center"/>
                </w:tcPr>
                <w:p w14:paraId="007C0CF0">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w:t>
                  </w:r>
                </w:p>
              </w:tc>
              <w:tc>
                <w:tcPr>
                  <w:tcW w:w="623" w:type="pct"/>
                  <w:vAlign w:val="center"/>
                </w:tcPr>
                <w:p w14:paraId="08F88A8B">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废水运输管道专用沟渠</w:t>
                  </w:r>
                </w:p>
              </w:tc>
              <w:tc>
                <w:tcPr>
                  <w:tcW w:w="602" w:type="pct"/>
                  <w:vAlign w:val="center"/>
                </w:tcPr>
                <w:p w14:paraId="15167BA4">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地面基础</w:t>
                  </w:r>
                </w:p>
              </w:tc>
              <w:tc>
                <w:tcPr>
                  <w:tcW w:w="864" w:type="pct"/>
                  <w:vAlign w:val="center"/>
                </w:tcPr>
                <w:p w14:paraId="2A3E3B33">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GB18597-2023</w:t>
                  </w:r>
                </w:p>
                <w:p w14:paraId="43C594E6">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重点防渗</w:t>
                  </w:r>
                </w:p>
              </w:tc>
              <w:tc>
                <w:tcPr>
                  <w:tcW w:w="1262" w:type="pct"/>
                  <w:vAlign w:val="center"/>
                </w:tcPr>
                <w:p w14:paraId="30BEA77B">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K≤10-</w:t>
                  </w:r>
                  <w:r>
                    <w:rPr>
                      <w:rFonts w:hint="eastAsia" w:ascii="Times New Roman" w:hAnsi="Times New Roman" w:cs="Times New Roman"/>
                      <w:color w:val="auto"/>
                      <w:sz w:val="21"/>
                      <w:szCs w:val="21"/>
                      <w:highlight w:val="none"/>
                      <w:lang w:val="en-US" w:eastAsia="zh-CN"/>
                    </w:rPr>
                    <w:t>10</w:t>
                  </w:r>
                  <w:r>
                    <w:rPr>
                      <w:rFonts w:hint="default" w:ascii="Times New Roman" w:hAnsi="Times New Roman" w:cs="Times New Roman"/>
                      <w:color w:val="auto"/>
                      <w:sz w:val="21"/>
                      <w:szCs w:val="21"/>
                      <w:highlight w:val="none"/>
                      <w:lang w:val="en-US" w:eastAsia="zh-CN"/>
                    </w:rPr>
                    <w:t>cm/s</w:t>
                  </w:r>
                </w:p>
              </w:tc>
              <w:tc>
                <w:tcPr>
                  <w:tcW w:w="1394" w:type="pct"/>
                  <w:vAlign w:val="center"/>
                </w:tcPr>
                <w:p w14:paraId="00EBCDEC">
                  <w:pPr>
                    <w:keepNext w:val="0"/>
                    <w:keepLines w:val="0"/>
                    <w:pageBreakBefore w:val="0"/>
                    <w:widowControl w:val="0"/>
                    <w:kinsoku/>
                    <w:wordWrap w:val="0"/>
                    <w:overflowPunct/>
                    <w:topLinePunct/>
                    <w:autoSpaceDE/>
                    <w:autoSpaceDN/>
                    <w:bidi w:val="0"/>
                    <w:adjustRightInd w:val="0"/>
                    <w:snapToGrid w:val="0"/>
                    <w:spacing w:before="60" w:after="60"/>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采用</w:t>
                  </w:r>
                  <w:r>
                    <w:rPr>
                      <w:rFonts w:hint="eastAsia" w:ascii="Times New Roman" w:hAnsi="Times New Roman" w:cs="Times New Roman"/>
                      <w:color w:val="auto"/>
                      <w:sz w:val="21"/>
                      <w:szCs w:val="21"/>
                      <w:highlight w:val="none"/>
                      <w:lang w:val="en-US" w:eastAsia="zh-CN"/>
                    </w:rPr>
                    <w:t>至少2mm厚高密度聚乙烯膜等人工防渗材料</w:t>
                  </w:r>
                </w:p>
              </w:tc>
            </w:tr>
          </w:tbl>
          <w:p w14:paraId="04DC795C">
            <w:pPr>
              <w:pStyle w:val="61"/>
              <w:widowControl/>
              <w:wordWrap w:val="0"/>
              <w:topLinePunct/>
              <w:adjustRightInd w:val="0"/>
              <w:snapToGrid w:val="0"/>
              <w:spacing w:before="156" w:beforeLines="50" w:after="0" w:line="360" w:lineRule="auto"/>
              <w:ind w:firstLine="482" w:firstLineChars="200"/>
              <w:jc w:val="left"/>
              <w:outlineLvl w:val="0"/>
              <w:rPr>
                <w:rFonts w:hint="default" w:ascii="Times New Roman" w:hAnsi="Times New Roman" w:eastAsia="宋体" w:cs="Times New Roman"/>
                <w:color w:val="auto"/>
                <w:sz w:val="24"/>
                <w:szCs w:val="24"/>
                <w:highlight w:val="none"/>
                <w:lang w:val="en-US" w:eastAsia="zh-CN" w:bidi="ar-SA"/>
              </w:rPr>
            </w:pPr>
            <w:r>
              <w:rPr>
                <w:rFonts w:hint="default" w:ascii="Times New Roman" w:hAnsi="Times New Roman" w:eastAsia="宋体" w:cs="Times New Roman"/>
                <w:b/>
                <w:bCs/>
                <w:color w:val="auto"/>
                <w:sz w:val="24"/>
                <w:szCs w:val="24"/>
                <w:highlight w:val="none"/>
                <w:lang w:val="en-US" w:eastAsia="zh-CN" w:bidi="ar-SA"/>
              </w:rPr>
              <w:t>5.3跟踪监测要求</w:t>
            </w:r>
          </w:p>
          <w:p w14:paraId="0E1C8480">
            <w:pPr>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由污染途径及对应措施分析可知，项目对可能产生</w:t>
            </w:r>
            <w:r>
              <w:rPr>
                <w:rFonts w:hint="eastAsia" w:ascii="Times New Roman" w:hAnsi="Times New Roman" w:eastAsia="宋体" w:cs="Times New Roman"/>
                <w:color w:val="auto"/>
                <w:sz w:val="24"/>
                <w:lang w:val="en-US" w:eastAsia="zh-CN"/>
              </w:rPr>
              <w:t>土壤、</w:t>
            </w:r>
            <w:r>
              <w:rPr>
                <w:rFonts w:hint="eastAsia" w:ascii="Times New Roman" w:hAnsi="Times New Roman" w:eastAsia="宋体" w:cs="Times New Roman"/>
                <w:color w:val="auto"/>
                <w:sz w:val="24"/>
                <w:lang w:eastAsia="zh-CN"/>
              </w:rPr>
              <w:t>地下水影响的各项途径均进行有效预防，在确保各项防渗措施得以落实，并加强维护和厂区环境管理的前提下，可有效控制厂区内的污染物下渗现象，避免污染</w:t>
            </w:r>
            <w:r>
              <w:rPr>
                <w:rFonts w:hint="eastAsia" w:ascii="Times New Roman" w:hAnsi="Times New Roman" w:eastAsia="宋体" w:cs="Times New Roman"/>
                <w:color w:val="auto"/>
                <w:sz w:val="24"/>
                <w:lang w:val="en-US" w:eastAsia="zh-CN"/>
              </w:rPr>
              <w:t>土壤和</w:t>
            </w:r>
            <w:r>
              <w:rPr>
                <w:rFonts w:hint="eastAsia" w:ascii="Times New Roman" w:hAnsi="Times New Roman" w:eastAsia="宋体" w:cs="Times New Roman"/>
                <w:color w:val="auto"/>
                <w:sz w:val="24"/>
                <w:lang w:eastAsia="zh-CN"/>
              </w:rPr>
              <w:t>地下水。因此</w:t>
            </w:r>
            <w:r>
              <w:rPr>
                <w:rFonts w:hint="eastAsia" w:ascii="Times New Roman" w:hAnsi="Times New Roman" w:eastAsia="宋体" w:cs="Times New Roman"/>
                <w:color w:val="auto"/>
                <w:sz w:val="24"/>
                <w:lang w:val="en-US" w:eastAsia="zh-CN"/>
              </w:rPr>
              <w:t>本</w:t>
            </w:r>
            <w:r>
              <w:rPr>
                <w:rFonts w:hint="eastAsia" w:ascii="Times New Roman" w:hAnsi="Times New Roman" w:eastAsia="宋体" w:cs="Times New Roman"/>
                <w:color w:val="auto"/>
                <w:sz w:val="24"/>
                <w:lang w:eastAsia="zh-CN"/>
              </w:rPr>
              <w:t>项目不会对区域地下水、土壤环境产生明显影响，</w:t>
            </w:r>
            <w:r>
              <w:rPr>
                <w:rFonts w:hint="eastAsia" w:ascii="Times New Roman" w:hAnsi="Times New Roman" w:eastAsia="宋体" w:cs="Times New Roman"/>
                <w:color w:val="auto"/>
                <w:sz w:val="24"/>
                <w:lang w:val="en-US" w:eastAsia="zh-CN"/>
              </w:rPr>
              <w:t>无需进行土壤和地下水跟踪监测</w:t>
            </w:r>
            <w:r>
              <w:rPr>
                <w:rFonts w:hint="eastAsia" w:ascii="Times New Roman" w:hAnsi="Times New Roman" w:eastAsia="宋体" w:cs="Times New Roman"/>
                <w:color w:val="auto"/>
                <w:sz w:val="24"/>
                <w:lang w:eastAsia="zh-CN"/>
              </w:rPr>
              <w:t>。</w:t>
            </w:r>
          </w:p>
          <w:p w14:paraId="57B01E52">
            <w:pPr>
              <w:widowControl/>
              <w:spacing w:line="360" w:lineRule="auto"/>
              <w:jc w:val="left"/>
              <w:rPr>
                <w:color w:val="auto"/>
              </w:rPr>
            </w:pPr>
            <w:r>
              <w:rPr>
                <w:rFonts w:hint="eastAsia"/>
                <w:b/>
                <w:bCs/>
                <w:color w:val="auto"/>
                <w:sz w:val="24"/>
              </w:rPr>
              <w:t>六、</w:t>
            </w:r>
            <w:r>
              <w:rPr>
                <w:rFonts w:hint="eastAsia" w:ascii="宋体" w:hAnsi="宋体" w:cs="宋体"/>
                <w:b/>
                <w:bCs/>
                <w:color w:val="auto"/>
                <w:kern w:val="0"/>
                <w:sz w:val="24"/>
              </w:rPr>
              <w:t>环境风险分析</w:t>
            </w:r>
          </w:p>
          <w:p w14:paraId="54568DE5">
            <w:pPr>
              <w:spacing w:line="360" w:lineRule="auto"/>
              <w:ind w:firstLine="482" w:firstLineChars="200"/>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6.1环境风险识别及分析</w:t>
            </w:r>
          </w:p>
          <w:p w14:paraId="2BDB6833">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w:t>
            </w:r>
            <w:r>
              <w:rPr>
                <w:rFonts w:hint="eastAsia" w:ascii="Times New Roman" w:hAnsi="Times New Roman" w:eastAsia="宋体" w:cs="Times New Roman"/>
                <w:color w:val="auto"/>
                <w:kern w:val="2"/>
                <w:sz w:val="24"/>
                <w:szCs w:val="24"/>
                <w:lang w:val="en-US" w:eastAsia="zh-CN" w:bidi="ar-SA"/>
              </w:rPr>
              <w:t>风险物质识别</w:t>
            </w:r>
          </w:p>
          <w:p w14:paraId="3F69D777">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物质危险性识别包括主要原辅材料、燃料、中间产品、副产品、最终产品、污染物、火灾和爆炸伴生/次生物等。本评价按照《建设项目环境风险评价技术导则》（HJ169-2018）（简称</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导则</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）表B.1突发环境事件风险物质临界量和</w:t>
            </w:r>
            <w:r>
              <w:rPr>
                <w:rFonts w:hint="eastAsia" w:ascii="Times New Roman" w:hAnsi="Times New Roman" w:eastAsia="宋体" w:cs="Times New Roman"/>
                <w:color w:val="auto"/>
                <w:kern w:val="2"/>
                <w:sz w:val="24"/>
                <w:szCs w:val="24"/>
                <w:lang w:val="en-US" w:eastAsia="zh-CN" w:bidi="ar-SA"/>
              </w:rPr>
              <w:t>B.2其他危险物质临界量推荐值</w:t>
            </w:r>
            <w:r>
              <w:rPr>
                <w:rFonts w:hint="default" w:ascii="Times New Roman" w:hAnsi="Times New Roman" w:eastAsia="宋体" w:cs="Times New Roman"/>
                <w:color w:val="auto"/>
                <w:kern w:val="2"/>
                <w:sz w:val="24"/>
                <w:szCs w:val="24"/>
                <w:lang w:val="en-US" w:eastAsia="zh-CN" w:bidi="ar-SA"/>
              </w:rPr>
              <w:t>，项目风险源确定为：</w:t>
            </w:r>
            <w:r>
              <w:rPr>
                <w:rFonts w:hint="eastAsia" w:ascii="Times New Roman" w:hAnsi="Times New Roman" w:cs="Times New Roman"/>
                <w:color w:val="auto"/>
                <w:kern w:val="2"/>
                <w:sz w:val="24"/>
                <w:szCs w:val="24"/>
                <w:lang w:val="en-US" w:eastAsia="zh-CN" w:bidi="ar-SA"/>
              </w:rPr>
              <w:t>生产废水排放管道和沼气锅炉生产区等</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项目涉及的危险物质数量与临界量见下表。</w:t>
            </w:r>
          </w:p>
          <w:p w14:paraId="292A86D6">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）环境风险潜势初判</w:t>
            </w:r>
          </w:p>
          <w:p w14:paraId="1559111C">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根据《建设项目环境风险评价技术导则》（HJ169-2018）附录C1.1，“危险物质数量与临界量比值（Q）</w:t>
            </w:r>
            <w:r>
              <w:rPr>
                <w:rFonts w:hint="eastAsia"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：计算所涉及的每种风险物质在厂界内的最大存在总量与其在附录B中对应临界量的比值Q。在不同厂区的同一种物质，按其在厂界内的最大存在总量计算。</w:t>
            </w:r>
          </w:p>
          <w:p w14:paraId="599BD9A0">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①当只涉及一种危险物质时，计算该物质的总量与其临界量比值，即为Q；</w:t>
            </w:r>
          </w:p>
          <w:p w14:paraId="436B57AC">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②当存在多种危险物质时，则按式（C.1）计算物质总量与其临界量比值（Q）。</w:t>
            </w:r>
          </w:p>
          <w:p w14:paraId="61B9C2D7">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object>
                <v:shape id="_x0000_i1025" o:spt="75" type="#_x0000_t75" style="height:36.85pt;width:122.15pt;" o:ole="t" filled="f" o:preferrelative="t" stroked="f" coordsize="21600,21600">
                  <v:path/>
                  <v:fill on="f" focussize="0,0"/>
                  <v:stroke on="f"/>
                  <v:imagedata r:id="rId21" o:title=""/>
                  <o:lock v:ext="edit" aspectratio="t"/>
                  <w10:wrap type="none"/>
                  <w10:anchorlock/>
                </v:shape>
                <o:OLEObject Type="Embed" ProgID="Equation.KSEE3" ShapeID="_x0000_i1025" DrawAspect="Content" ObjectID="_1468075725" r:id="rId20">
                  <o:LockedField>false</o:LockedField>
                </o:OLEObject>
              </w:object>
            </w:r>
          </w:p>
          <w:p w14:paraId="459AD29D">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式中：q1，q2…qn为每种危险物质最大存在总量，t。</w:t>
            </w:r>
          </w:p>
          <w:p w14:paraId="66679BD2">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Q1，Q2…Qn为每种危险物质的临界量，t。</w:t>
            </w:r>
          </w:p>
          <w:p w14:paraId="2ABF2D97">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当Q&lt;1时，该项目环境风险潜势为I；</w:t>
            </w:r>
          </w:p>
          <w:p w14:paraId="2BFF6507">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当Q≥1时，将Q值划分为：（1）1≤Q&lt;10；（2）10≤Q&lt;100；（3）Q≥100。</w:t>
            </w:r>
          </w:p>
          <w:p w14:paraId="781049A0">
            <w:pPr>
              <w:pStyle w:val="10"/>
              <w:keepNext w:val="0"/>
              <w:keepLines w:val="0"/>
              <w:pageBreakBefore w:val="0"/>
              <w:widowControl/>
              <w:kinsoku/>
              <w:wordWrap w:val="0"/>
              <w:overflowPunct/>
              <w:topLinePunct/>
              <w:autoSpaceDE/>
              <w:autoSpaceDN/>
              <w:bidi w:val="0"/>
              <w:adjustRightInd w:val="0"/>
              <w:snapToGrid w:val="0"/>
              <w:spacing w:before="0" w:after="0" w:line="360" w:lineRule="auto"/>
              <w:ind w:right="0"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项目危险物质量与临界量比值的计算结果，见下表。</w:t>
            </w:r>
          </w:p>
          <w:p w14:paraId="7A2592ED">
            <w:pPr>
              <w:widowControl/>
              <w:adjustRightInd w:val="0"/>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表4-</w:t>
            </w:r>
            <w:r>
              <w:rPr>
                <w:rFonts w:hint="eastAsia" w:cs="Times New Roman"/>
                <w:b/>
                <w:bCs/>
                <w:color w:val="auto"/>
                <w:sz w:val="21"/>
                <w:szCs w:val="21"/>
                <w:highlight w:val="none"/>
                <w:lang w:val="en-US" w:eastAsia="zh-CN"/>
              </w:rPr>
              <w:t>12</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建设项目Q值确定表</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24"/>
              <w:gridCol w:w="948"/>
              <w:gridCol w:w="1003"/>
              <w:gridCol w:w="1538"/>
              <w:gridCol w:w="857"/>
              <w:gridCol w:w="1606"/>
            </w:tblGrid>
            <w:tr w14:paraId="387F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6CB7CEB7">
                  <w:pPr>
                    <w:adjustRightInd w:val="0"/>
                    <w:snapToGrid w:val="0"/>
                    <w:spacing w:before="60" w:after="60" w:line="240" w:lineRule="auto"/>
                    <w:jc w:val="center"/>
                    <w:rPr>
                      <w:color w:val="auto"/>
                      <w:sz w:val="21"/>
                      <w:szCs w:val="21"/>
                    </w:rPr>
                  </w:pPr>
                  <w:r>
                    <w:rPr>
                      <w:color w:val="auto"/>
                      <w:sz w:val="21"/>
                      <w:szCs w:val="21"/>
                    </w:rPr>
                    <w:t>序号</w:t>
                  </w:r>
                </w:p>
              </w:tc>
              <w:tc>
                <w:tcPr>
                  <w:tcW w:w="984" w:type="pct"/>
                  <w:vAlign w:val="center"/>
                </w:tcPr>
                <w:p w14:paraId="33A6B5FD">
                  <w:pPr>
                    <w:adjustRightInd w:val="0"/>
                    <w:snapToGrid w:val="0"/>
                    <w:spacing w:before="60" w:after="60" w:line="240" w:lineRule="auto"/>
                    <w:jc w:val="center"/>
                    <w:rPr>
                      <w:color w:val="auto"/>
                      <w:sz w:val="21"/>
                      <w:szCs w:val="21"/>
                    </w:rPr>
                  </w:pPr>
                  <w:r>
                    <w:rPr>
                      <w:color w:val="auto"/>
                      <w:sz w:val="21"/>
                      <w:szCs w:val="21"/>
                    </w:rPr>
                    <w:t>危险物质名称</w:t>
                  </w:r>
                </w:p>
              </w:tc>
              <w:tc>
                <w:tcPr>
                  <w:tcW w:w="574" w:type="pct"/>
                  <w:vAlign w:val="center"/>
                </w:tcPr>
                <w:p w14:paraId="68D4C76C">
                  <w:pPr>
                    <w:adjustRightInd w:val="0"/>
                    <w:snapToGrid w:val="0"/>
                    <w:spacing w:before="60" w:after="60" w:line="240" w:lineRule="auto"/>
                    <w:jc w:val="center"/>
                    <w:rPr>
                      <w:color w:val="auto"/>
                      <w:sz w:val="21"/>
                      <w:szCs w:val="21"/>
                    </w:rPr>
                  </w:pPr>
                  <w:r>
                    <w:rPr>
                      <w:rFonts w:hint="eastAsia"/>
                      <w:color w:val="auto"/>
                      <w:sz w:val="21"/>
                      <w:szCs w:val="21"/>
                    </w:rPr>
                    <w:t>储存位置</w:t>
                  </w:r>
                </w:p>
              </w:tc>
              <w:tc>
                <w:tcPr>
                  <w:tcW w:w="608" w:type="pct"/>
                  <w:vAlign w:val="center"/>
                </w:tcPr>
                <w:p w14:paraId="4C0BC48B">
                  <w:pPr>
                    <w:adjustRightInd w:val="0"/>
                    <w:snapToGrid w:val="0"/>
                    <w:spacing w:before="60" w:after="60" w:line="240" w:lineRule="auto"/>
                    <w:jc w:val="center"/>
                    <w:rPr>
                      <w:color w:val="auto"/>
                      <w:sz w:val="21"/>
                      <w:szCs w:val="21"/>
                    </w:rPr>
                  </w:pPr>
                  <w:r>
                    <w:rPr>
                      <w:color w:val="auto"/>
                      <w:sz w:val="21"/>
                      <w:szCs w:val="21"/>
                    </w:rPr>
                    <w:t>CAS号</w:t>
                  </w:r>
                </w:p>
              </w:tc>
              <w:tc>
                <w:tcPr>
                  <w:tcW w:w="932" w:type="pct"/>
                  <w:vAlign w:val="center"/>
                </w:tcPr>
                <w:p w14:paraId="119E9F90">
                  <w:pPr>
                    <w:adjustRightInd w:val="0"/>
                    <w:snapToGrid w:val="0"/>
                    <w:spacing w:before="60" w:after="60" w:line="240" w:lineRule="auto"/>
                    <w:jc w:val="center"/>
                    <w:rPr>
                      <w:color w:val="auto"/>
                      <w:sz w:val="21"/>
                      <w:szCs w:val="21"/>
                    </w:rPr>
                  </w:pPr>
                  <w:r>
                    <w:rPr>
                      <w:color w:val="auto"/>
                      <w:sz w:val="21"/>
                      <w:szCs w:val="21"/>
                    </w:rPr>
                    <w:t>最大存在总量qn/t</w:t>
                  </w:r>
                </w:p>
              </w:tc>
              <w:tc>
                <w:tcPr>
                  <w:tcW w:w="516" w:type="pct"/>
                  <w:vAlign w:val="center"/>
                </w:tcPr>
                <w:p w14:paraId="005DCCCA">
                  <w:pPr>
                    <w:adjustRightInd w:val="0"/>
                    <w:snapToGrid w:val="0"/>
                    <w:spacing w:before="60" w:after="60" w:line="240" w:lineRule="auto"/>
                    <w:jc w:val="center"/>
                    <w:rPr>
                      <w:color w:val="auto"/>
                      <w:sz w:val="21"/>
                      <w:szCs w:val="21"/>
                    </w:rPr>
                  </w:pPr>
                  <w:r>
                    <w:rPr>
                      <w:color w:val="auto"/>
                      <w:sz w:val="21"/>
                      <w:szCs w:val="21"/>
                    </w:rPr>
                    <w:t>临界值Qn/t</w:t>
                  </w:r>
                </w:p>
              </w:tc>
              <w:tc>
                <w:tcPr>
                  <w:tcW w:w="972" w:type="pct"/>
                  <w:vAlign w:val="center"/>
                </w:tcPr>
                <w:p w14:paraId="1D563168">
                  <w:pPr>
                    <w:adjustRightInd w:val="0"/>
                    <w:snapToGrid w:val="0"/>
                    <w:spacing w:before="60" w:after="60" w:line="240" w:lineRule="auto"/>
                    <w:jc w:val="center"/>
                    <w:rPr>
                      <w:color w:val="auto"/>
                      <w:sz w:val="21"/>
                      <w:szCs w:val="21"/>
                    </w:rPr>
                  </w:pPr>
                  <w:r>
                    <w:rPr>
                      <w:color w:val="auto"/>
                      <w:sz w:val="21"/>
                      <w:szCs w:val="21"/>
                    </w:rPr>
                    <w:t>危险物质Q值</w:t>
                  </w:r>
                </w:p>
              </w:tc>
            </w:tr>
            <w:tr w14:paraId="4B717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4E813A48">
                  <w:pPr>
                    <w:adjustRightInd w:val="0"/>
                    <w:snapToGrid w:val="0"/>
                    <w:spacing w:before="60" w:after="60" w:line="240" w:lineRule="auto"/>
                    <w:jc w:val="center"/>
                    <w:rPr>
                      <w:color w:val="auto"/>
                      <w:sz w:val="21"/>
                      <w:szCs w:val="21"/>
                    </w:rPr>
                  </w:pPr>
                  <w:r>
                    <w:rPr>
                      <w:color w:val="auto"/>
                      <w:sz w:val="21"/>
                      <w:szCs w:val="21"/>
                    </w:rPr>
                    <w:t>1</w:t>
                  </w:r>
                </w:p>
              </w:tc>
              <w:tc>
                <w:tcPr>
                  <w:tcW w:w="984" w:type="pct"/>
                  <w:vAlign w:val="center"/>
                </w:tcPr>
                <w:p w14:paraId="1083F9BC">
                  <w:pPr>
                    <w:adjustRightInd w:val="0"/>
                    <w:snapToGrid w:val="0"/>
                    <w:spacing w:before="60" w:after="60" w:line="240" w:lineRule="auto"/>
                    <w:jc w:val="center"/>
                    <w:rPr>
                      <w:rFonts w:hint="eastAsia" w:eastAsia="宋体"/>
                      <w:color w:val="auto"/>
                      <w:sz w:val="21"/>
                      <w:szCs w:val="21"/>
                      <w:lang w:eastAsia="zh-CN"/>
                    </w:rPr>
                  </w:pPr>
                  <w:r>
                    <w:rPr>
                      <w:rFonts w:hint="eastAsia" w:eastAsia="宋体"/>
                      <w:color w:val="auto"/>
                      <w:sz w:val="21"/>
                      <w:szCs w:val="21"/>
                      <w:lang w:eastAsia="zh-CN"/>
                    </w:rPr>
                    <w:t>生产废水</w:t>
                  </w:r>
                  <w:r>
                    <w:rPr>
                      <w:rFonts w:hint="eastAsia"/>
                      <w:color w:val="auto"/>
                      <w:sz w:val="21"/>
                      <w:szCs w:val="21"/>
                      <w:lang w:eastAsia="zh-CN"/>
                    </w:rPr>
                    <w:t>（</w:t>
                  </w:r>
                  <w:r>
                    <w:rPr>
                      <w:rFonts w:hint="eastAsia" w:eastAsia="宋体"/>
                      <w:color w:val="auto"/>
                      <w:sz w:val="21"/>
                      <w:szCs w:val="21"/>
                      <w:lang w:eastAsia="zh-CN"/>
                    </w:rPr>
                    <w:t>CODcr 浓度≥10000mg/L的有机废液</w:t>
                  </w:r>
                  <w:r>
                    <w:rPr>
                      <w:rFonts w:hint="eastAsia"/>
                      <w:color w:val="auto"/>
                      <w:sz w:val="21"/>
                      <w:szCs w:val="21"/>
                      <w:lang w:eastAsia="zh-CN"/>
                    </w:rPr>
                    <w:t>）</w:t>
                  </w:r>
                  <w:r>
                    <w:rPr>
                      <w:rFonts w:hint="eastAsia" w:eastAsia="宋体"/>
                      <w:color w:val="auto"/>
                      <w:sz w:val="21"/>
                      <w:szCs w:val="21"/>
                      <w:lang w:eastAsia="zh-CN"/>
                    </w:rPr>
                    <w:t xml:space="preserve"> </w:t>
                  </w:r>
                </w:p>
              </w:tc>
              <w:tc>
                <w:tcPr>
                  <w:tcW w:w="574" w:type="pct"/>
                  <w:vAlign w:val="center"/>
                </w:tcPr>
                <w:p w14:paraId="6797E1A7">
                  <w:pPr>
                    <w:adjustRightInd w:val="0"/>
                    <w:snapToGrid w:val="0"/>
                    <w:spacing w:before="60" w:after="60" w:line="240" w:lineRule="auto"/>
                    <w:jc w:val="center"/>
                    <w:rPr>
                      <w:rFonts w:hint="default" w:eastAsia="宋体"/>
                      <w:color w:val="auto"/>
                      <w:sz w:val="21"/>
                      <w:szCs w:val="21"/>
                      <w:lang w:val="en-US" w:eastAsia="zh-CN"/>
                    </w:rPr>
                  </w:pPr>
                  <w:r>
                    <w:rPr>
                      <w:rFonts w:hint="eastAsia"/>
                      <w:color w:val="auto"/>
                      <w:sz w:val="21"/>
                      <w:szCs w:val="21"/>
                      <w:lang w:val="en-US" w:eastAsia="zh-CN"/>
                    </w:rPr>
                    <w:t>生产废水排放管道</w:t>
                  </w:r>
                </w:p>
              </w:tc>
              <w:tc>
                <w:tcPr>
                  <w:tcW w:w="608" w:type="pct"/>
                  <w:vAlign w:val="center"/>
                </w:tcPr>
                <w:p w14:paraId="6FB66D22">
                  <w:pPr>
                    <w:adjustRightInd w:val="0"/>
                    <w:snapToGrid w:val="0"/>
                    <w:spacing w:before="60" w:after="60" w:line="240" w:lineRule="auto"/>
                    <w:jc w:val="center"/>
                    <w:rPr>
                      <w:rFonts w:hint="eastAsia" w:eastAsia="宋体"/>
                      <w:color w:val="auto"/>
                      <w:sz w:val="21"/>
                      <w:szCs w:val="21"/>
                      <w:lang w:eastAsia="zh-CN"/>
                    </w:rPr>
                  </w:pPr>
                  <w:r>
                    <w:rPr>
                      <w:rFonts w:hint="eastAsia"/>
                      <w:color w:val="auto"/>
                      <w:sz w:val="21"/>
                      <w:szCs w:val="21"/>
                      <w:lang w:val="en-US" w:eastAsia="zh-CN"/>
                    </w:rPr>
                    <w:t>/</w:t>
                  </w:r>
                </w:p>
              </w:tc>
              <w:tc>
                <w:tcPr>
                  <w:tcW w:w="932" w:type="pct"/>
                  <w:vAlign w:val="center"/>
                </w:tcPr>
                <w:p w14:paraId="7BCC479E">
                  <w:pPr>
                    <w:adjustRightInd w:val="0"/>
                    <w:snapToGrid w:val="0"/>
                    <w:spacing w:before="60" w:after="60" w:line="240" w:lineRule="auto"/>
                    <w:jc w:val="center"/>
                    <w:rPr>
                      <w:rFonts w:hint="default" w:eastAsia="宋体"/>
                      <w:color w:val="auto"/>
                      <w:sz w:val="21"/>
                      <w:szCs w:val="21"/>
                      <w:lang w:val="en-US" w:eastAsia="zh-CN"/>
                    </w:rPr>
                  </w:pPr>
                  <w:r>
                    <w:rPr>
                      <w:rFonts w:hint="eastAsia"/>
                      <w:color w:val="auto"/>
                      <w:sz w:val="21"/>
                      <w:szCs w:val="21"/>
                      <w:lang w:val="en-US" w:eastAsia="zh-CN"/>
                    </w:rPr>
                    <w:t>5.299（按照废水排放管道内最大存放量）</w:t>
                  </w:r>
                </w:p>
              </w:tc>
              <w:tc>
                <w:tcPr>
                  <w:tcW w:w="516" w:type="pct"/>
                  <w:vAlign w:val="center"/>
                </w:tcPr>
                <w:p w14:paraId="0BAE617C">
                  <w:pPr>
                    <w:adjustRightInd w:val="0"/>
                    <w:snapToGrid w:val="0"/>
                    <w:spacing w:before="60" w:after="60" w:line="240" w:lineRule="auto"/>
                    <w:jc w:val="center"/>
                    <w:rPr>
                      <w:color w:val="auto"/>
                      <w:sz w:val="21"/>
                      <w:szCs w:val="21"/>
                    </w:rPr>
                  </w:pPr>
                  <w:r>
                    <w:rPr>
                      <w:color w:val="auto"/>
                      <w:sz w:val="21"/>
                      <w:szCs w:val="21"/>
                    </w:rPr>
                    <w:t>10</w:t>
                  </w:r>
                </w:p>
              </w:tc>
              <w:tc>
                <w:tcPr>
                  <w:tcW w:w="972" w:type="pct"/>
                  <w:vAlign w:val="center"/>
                </w:tcPr>
                <w:p w14:paraId="41FFE937">
                  <w:pPr>
                    <w:adjustRightInd w:val="0"/>
                    <w:snapToGrid w:val="0"/>
                    <w:spacing w:before="60" w:after="60" w:line="240" w:lineRule="auto"/>
                    <w:jc w:val="center"/>
                    <w:rPr>
                      <w:rFonts w:hint="default" w:eastAsia="宋体"/>
                      <w:color w:val="auto"/>
                      <w:sz w:val="21"/>
                      <w:szCs w:val="21"/>
                      <w:lang w:val="en-US" w:eastAsia="zh-CN"/>
                    </w:rPr>
                  </w:pPr>
                  <w:r>
                    <w:rPr>
                      <w:rFonts w:hint="eastAsia"/>
                      <w:color w:val="auto"/>
                      <w:sz w:val="21"/>
                      <w:szCs w:val="21"/>
                      <w:lang w:val="en-US" w:eastAsia="zh-CN"/>
                    </w:rPr>
                    <w:t>0.5299</w:t>
                  </w:r>
                </w:p>
              </w:tc>
            </w:tr>
            <w:tr w14:paraId="127A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0" w:type="pct"/>
                  <w:vAlign w:val="center"/>
                </w:tcPr>
                <w:p w14:paraId="11B357F7">
                  <w:pPr>
                    <w:adjustRightInd w:val="0"/>
                    <w:snapToGrid w:val="0"/>
                    <w:spacing w:before="60" w:after="60" w:line="240" w:lineRule="auto"/>
                    <w:jc w:val="center"/>
                    <w:rPr>
                      <w:rFonts w:hint="eastAsia" w:eastAsia="宋体"/>
                      <w:color w:val="auto"/>
                      <w:sz w:val="21"/>
                      <w:szCs w:val="21"/>
                      <w:lang w:val="en-US" w:eastAsia="zh-CN"/>
                    </w:rPr>
                  </w:pPr>
                  <w:r>
                    <w:rPr>
                      <w:rFonts w:hint="eastAsia"/>
                      <w:color w:val="auto"/>
                      <w:sz w:val="21"/>
                      <w:szCs w:val="21"/>
                      <w:lang w:val="en-US" w:eastAsia="zh-CN"/>
                    </w:rPr>
                    <w:t>2</w:t>
                  </w:r>
                </w:p>
              </w:tc>
              <w:tc>
                <w:tcPr>
                  <w:tcW w:w="984" w:type="pct"/>
                  <w:vAlign w:val="center"/>
                </w:tcPr>
                <w:p w14:paraId="2F9BC6B2">
                  <w:pPr>
                    <w:adjustRightInd w:val="0"/>
                    <w:snapToGrid w:val="0"/>
                    <w:spacing w:before="60" w:after="60" w:line="240" w:lineRule="auto"/>
                    <w:jc w:val="center"/>
                    <w:rPr>
                      <w:rFonts w:hint="default" w:eastAsia="宋体"/>
                      <w:color w:val="auto"/>
                      <w:sz w:val="21"/>
                      <w:szCs w:val="21"/>
                      <w:lang w:val="en-US" w:eastAsia="zh-CN"/>
                    </w:rPr>
                  </w:pPr>
                  <w:r>
                    <w:rPr>
                      <w:rFonts w:hint="eastAsia"/>
                      <w:color w:val="auto"/>
                      <w:sz w:val="21"/>
                      <w:szCs w:val="21"/>
                      <w:lang w:val="en-US" w:eastAsia="zh-CN"/>
                    </w:rPr>
                    <w:t>沼气（含50%甲烷）</w:t>
                  </w:r>
                </w:p>
              </w:tc>
              <w:tc>
                <w:tcPr>
                  <w:tcW w:w="574" w:type="pct"/>
                  <w:vAlign w:val="center"/>
                </w:tcPr>
                <w:p w14:paraId="6B71B7CB">
                  <w:pPr>
                    <w:adjustRightInd w:val="0"/>
                    <w:snapToGrid w:val="0"/>
                    <w:spacing w:before="60" w:after="60" w:line="240" w:lineRule="auto"/>
                    <w:jc w:val="center"/>
                    <w:rPr>
                      <w:rFonts w:hint="default"/>
                      <w:color w:val="auto"/>
                      <w:sz w:val="21"/>
                      <w:szCs w:val="21"/>
                      <w:lang w:val="en-US" w:eastAsia="zh-CN"/>
                    </w:rPr>
                  </w:pPr>
                  <w:r>
                    <w:rPr>
                      <w:rFonts w:hint="eastAsia"/>
                      <w:color w:val="auto"/>
                      <w:sz w:val="21"/>
                      <w:szCs w:val="21"/>
                      <w:lang w:val="en-US" w:eastAsia="zh-CN"/>
                    </w:rPr>
                    <w:t>沼气管道</w:t>
                  </w:r>
                </w:p>
              </w:tc>
              <w:tc>
                <w:tcPr>
                  <w:tcW w:w="608" w:type="pct"/>
                  <w:vAlign w:val="center"/>
                </w:tcPr>
                <w:p w14:paraId="6FD909B8">
                  <w:pPr>
                    <w:adjustRightInd w:val="0"/>
                    <w:snapToGrid w:val="0"/>
                    <w:spacing w:before="60" w:after="60" w:line="240" w:lineRule="auto"/>
                    <w:jc w:val="center"/>
                    <w:rPr>
                      <w:rFonts w:hint="eastAsia"/>
                      <w:color w:val="auto"/>
                      <w:sz w:val="21"/>
                      <w:szCs w:val="21"/>
                      <w:lang w:val="en-US" w:eastAsia="zh-CN"/>
                    </w:rPr>
                  </w:pPr>
                  <w:r>
                    <w:rPr>
                      <w:rFonts w:hint="eastAsia"/>
                      <w:color w:val="auto"/>
                      <w:sz w:val="21"/>
                      <w:szCs w:val="21"/>
                      <w:lang w:val="en-US" w:eastAsia="zh-CN"/>
                    </w:rPr>
                    <w:t>74-82-8</w:t>
                  </w:r>
                </w:p>
              </w:tc>
              <w:tc>
                <w:tcPr>
                  <w:tcW w:w="932" w:type="pct"/>
                  <w:vAlign w:val="center"/>
                </w:tcPr>
                <w:p w14:paraId="3D87555F">
                  <w:pPr>
                    <w:adjustRightInd w:val="0"/>
                    <w:snapToGrid w:val="0"/>
                    <w:spacing w:before="60" w:after="60" w:line="240" w:lineRule="auto"/>
                    <w:jc w:val="center"/>
                    <w:rPr>
                      <w:rFonts w:hint="eastAsia"/>
                      <w:color w:val="auto"/>
                      <w:sz w:val="21"/>
                      <w:szCs w:val="21"/>
                      <w:lang w:val="en-US" w:eastAsia="zh-CN"/>
                    </w:rPr>
                  </w:pPr>
                  <w:r>
                    <w:rPr>
                      <w:rFonts w:hint="eastAsia"/>
                      <w:color w:val="auto"/>
                      <w:sz w:val="21"/>
                      <w:szCs w:val="21"/>
                      <w:lang w:val="en-US" w:eastAsia="zh-CN"/>
                    </w:rPr>
                    <w:t>0.095（按照沼气管道内最大存放量）</w:t>
                  </w:r>
                </w:p>
              </w:tc>
              <w:tc>
                <w:tcPr>
                  <w:tcW w:w="516" w:type="pct"/>
                  <w:vAlign w:val="center"/>
                </w:tcPr>
                <w:p w14:paraId="0DD3CF6E">
                  <w:pPr>
                    <w:adjustRightInd w:val="0"/>
                    <w:snapToGrid w:val="0"/>
                    <w:spacing w:before="60" w:after="60" w:line="240" w:lineRule="auto"/>
                    <w:jc w:val="center"/>
                    <w:rPr>
                      <w:rFonts w:hint="default" w:eastAsia="宋体"/>
                      <w:color w:val="auto"/>
                      <w:sz w:val="21"/>
                      <w:szCs w:val="21"/>
                      <w:lang w:val="en-US" w:eastAsia="zh-CN"/>
                    </w:rPr>
                  </w:pPr>
                  <w:r>
                    <w:rPr>
                      <w:rFonts w:hint="eastAsia"/>
                      <w:color w:val="auto"/>
                      <w:sz w:val="21"/>
                      <w:szCs w:val="21"/>
                      <w:lang w:val="en-US" w:eastAsia="zh-CN"/>
                    </w:rPr>
                    <w:t>10</w:t>
                  </w:r>
                </w:p>
              </w:tc>
              <w:tc>
                <w:tcPr>
                  <w:tcW w:w="972" w:type="pct"/>
                  <w:vAlign w:val="center"/>
                </w:tcPr>
                <w:p w14:paraId="135E9762">
                  <w:pPr>
                    <w:adjustRightInd w:val="0"/>
                    <w:snapToGrid w:val="0"/>
                    <w:spacing w:before="60" w:after="60" w:line="240" w:lineRule="auto"/>
                    <w:jc w:val="center"/>
                    <w:rPr>
                      <w:rFonts w:hint="default"/>
                      <w:color w:val="auto"/>
                      <w:sz w:val="21"/>
                      <w:szCs w:val="21"/>
                      <w:lang w:val="en-US" w:eastAsia="zh-CN"/>
                    </w:rPr>
                  </w:pPr>
                  <w:r>
                    <w:rPr>
                      <w:rFonts w:hint="eastAsia"/>
                      <w:color w:val="auto"/>
                      <w:sz w:val="21"/>
                      <w:szCs w:val="21"/>
                      <w:lang w:val="en-US" w:eastAsia="zh-CN"/>
                    </w:rPr>
                    <w:t>0.0095</w:t>
                  </w:r>
                </w:p>
              </w:tc>
            </w:tr>
            <w:tr w14:paraId="36C8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7" w:type="pct"/>
                  <w:gridSpan w:val="6"/>
                  <w:vAlign w:val="center"/>
                </w:tcPr>
                <w:p w14:paraId="01B9E99F">
                  <w:pPr>
                    <w:adjustRightInd w:val="0"/>
                    <w:snapToGrid w:val="0"/>
                    <w:spacing w:before="60" w:after="60" w:line="240" w:lineRule="auto"/>
                    <w:jc w:val="center"/>
                    <w:rPr>
                      <w:color w:val="auto"/>
                      <w:sz w:val="21"/>
                      <w:szCs w:val="21"/>
                    </w:rPr>
                  </w:pPr>
                  <w:r>
                    <w:rPr>
                      <w:color w:val="auto"/>
                      <w:sz w:val="21"/>
                      <w:szCs w:val="21"/>
                    </w:rPr>
                    <w:t>合计</w:t>
                  </w:r>
                  <w:r>
                    <w:rPr>
                      <w:rFonts w:hint="eastAsia"/>
                      <w:color w:val="auto"/>
                      <w:sz w:val="21"/>
                      <w:szCs w:val="21"/>
                    </w:rPr>
                    <w:t>（液体）</w:t>
                  </w:r>
                </w:p>
              </w:tc>
              <w:tc>
                <w:tcPr>
                  <w:tcW w:w="972" w:type="pct"/>
                  <w:vAlign w:val="center"/>
                </w:tcPr>
                <w:p w14:paraId="6057BE33">
                  <w:pPr>
                    <w:adjustRightInd w:val="0"/>
                    <w:snapToGrid w:val="0"/>
                    <w:spacing w:before="60" w:after="60" w:line="240" w:lineRule="auto"/>
                    <w:jc w:val="center"/>
                    <w:rPr>
                      <w:rFonts w:hint="default"/>
                      <w:color w:val="auto"/>
                      <w:sz w:val="21"/>
                      <w:szCs w:val="18"/>
                      <w:lang w:val="en-US"/>
                    </w:rPr>
                  </w:pPr>
                  <w:r>
                    <w:rPr>
                      <w:rFonts w:hint="eastAsia"/>
                      <w:color w:val="auto"/>
                      <w:sz w:val="21"/>
                      <w:szCs w:val="21"/>
                      <w:lang w:val="en-US" w:eastAsia="zh-CN"/>
                    </w:rPr>
                    <w:t>0.5394</w:t>
                  </w:r>
                </w:p>
              </w:tc>
            </w:tr>
            <w:tr w14:paraId="3C53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00" w:type="pct"/>
                  <w:gridSpan w:val="7"/>
                  <w:vAlign w:val="center"/>
                </w:tcPr>
                <w:p w14:paraId="29BE2276">
                  <w:pPr>
                    <w:adjustRightInd w:val="0"/>
                    <w:snapToGrid w:val="0"/>
                    <w:spacing w:before="60" w:after="60" w:line="240" w:lineRule="auto"/>
                    <w:jc w:val="both"/>
                    <w:rPr>
                      <w:rFonts w:hint="eastAsia"/>
                      <w:color w:val="auto"/>
                      <w:sz w:val="21"/>
                      <w:szCs w:val="21"/>
                      <w:lang w:val="en-US" w:eastAsia="zh-CN"/>
                    </w:rPr>
                  </w:pPr>
                  <w:r>
                    <w:rPr>
                      <w:rFonts w:hint="eastAsia"/>
                      <w:color w:val="auto"/>
                      <w:sz w:val="21"/>
                      <w:szCs w:val="21"/>
                      <w:lang w:val="en-US" w:eastAsia="zh-CN"/>
                    </w:rPr>
                    <w:t>备注：</w:t>
                  </w:r>
                </w:p>
                <w:p w14:paraId="1EB1EA72">
                  <w:pPr>
                    <w:adjustRightInd w:val="0"/>
                    <w:snapToGrid w:val="0"/>
                    <w:spacing w:before="60" w:after="60" w:line="240" w:lineRule="auto"/>
                    <w:jc w:val="both"/>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（1）本项目生产废水经过厂区自建管道运输至沼气发电区域预处理池，管道长度约300m，管道内径为150mm，管道内最大生产废水存放量为5.299t，本项目生产区不建设废水收集池。</w:t>
                  </w:r>
                </w:p>
                <w:p w14:paraId="4B4E2215">
                  <w:pPr>
                    <w:adjustRightInd w:val="0"/>
                    <w:snapToGrid w:val="0"/>
                    <w:spacing w:before="60" w:after="60" w:line="240" w:lineRule="auto"/>
                    <w:jc w:val="both"/>
                    <w:rPr>
                      <w:rFonts w:hint="default"/>
                      <w:color w:val="auto"/>
                      <w:lang w:val="en-US" w:eastAsia="zh-CN"/>
                    </w:rPr>
                  </w:pPr>
                  <w:r>
                    <w:rPr>
                      <w:rFonts w:hint="eastAsia" w:ascii="Times New Roman" w:hAnsi="Times New Roman" w:cs="Times New Roman"/>
                      <w:color w:val="auto"/>
                      <w:sz w:val="21"/>
                      <w:szCs w:val="21"/>
                      <w:lang w:val="en-US" w:eastAsia="zh-CN"/>
                    </w:rPr>
                    <w:t>（2）本项目沼气经过厂区自建管道运输至沼气锅炉生产区，管道长度约500m，管道内径为20mm，管道内最大沼气存放量为0.157m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，沼气密度约为1.215kg/m</w:t>
                  </w:r>
                  <w:r>
                    <w:rPr>
                      <w:rFonts w:hint="eastAsia" w:ascii="Times New Roman" w:hAnsi="Times New Roman" w:cs="Times New Roman"/>
                      <w:color w:val="auto"/>
                      <w:sz w:val="21"/>
                      <w:szCs w:val="21"/>
                      <w:vertAlign w:val="superscript"/>
                      <w:lang w:val="en-US" w:eastAsia="zh-CN"/>
                    </w:rPr>
                    <w:t>3</w:t>
                  </w:r>
                  <w:r>
                    <w:rPr>
                      <w:rFonts w:hint="eastAsia" w:ascii="Times New Roman" w:hAnsi="Times New Roman" w:cs="Times New Roman"/>
                      <w:color w:val="auto"/>
                      <w:sz w:val="21"/>
                      <w:szCs w:val="21"/>
                      <w:lang w:val="en-US" w:eastAsia="zh-CN"/>
                    </w:rPr>
                    <w:t>，其中甲烷含量为50%，则甲烷最大含量为0.095t。</w:t>
                  </w:r>
                </w:p>
              </w:tc>
            </w:tr>
          </w:tbl>
          <w:p w14:paraId="305491EE">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综上可知，</w:t>
            </w: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Q=</w:t>
            </w:r>
            <w:r>
              <w:rPr>
                <w:rFonts w:hint="eastAsia" w:cs="Times New Roman"/>
                <w:color w:val="auto"/>
                <w:sz w:val="24"/>
                <w:szCs w:val="24"/>
                <w:highlight w:val="none"/>
                <w:lang w:val="en-US" w:eastAsia="zh-CN"/>
              </w:rPr>
              <w:t>0.5394</w:t>
            </w:r>
            <w:r>
              <w:rPr>
                <w:rFonts w:hint="default" w:ascii="Times New Roman" w:hAnsi="Times New Roman" w:eastAsia="宋体" w:cs="Times New Roman"/>
                <w:color w:val="auto"/>
                <w:sz w:val="24"/>
                <w:szCs w:val="24"/>
                <w:highlight w:val="none"/>
                <w:lang w:eastAsia="zh-CN"/>
              </w:rPr>
              <w:t>＜1，</w:t>
            </w: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环境风险潜势为Ⅰ，</w:t>
            </w:r>
            <w:r>
              <w:rPr>
                <w:rFonts w:hint="eastAsia" w:ascii="Times New Roman" w:hAnsi="Times New Roman" w:eastAsia="宋体" w:cs="Times New Roman"/>
                <w:color w:val="auto"/>
                <w:sz w:val="24"/>
                <w:szCs w:val="24"/>
                <w:highlight w:val="none"/>
                <w:lang w:eastAsia="zh-CN"/>
              </w:rPr>
              <w:t>本项目</w:t>
            </w:r>
            <w:r>
              <w:rPr>
                <w:rFonts w:hint="default" w:ascii="Times New Roman" w:hAnsi="Times New Roman" w:eastAsia="宋体" w:cs="Times New Roman"/>
                <w:color w:val="auto"/>
                <w:sz w:val="24"/>
                <w:szCs w:val="24"/>
                <w:highlight w:val="none"/>
                <w:lang w:eastAsia="zh-CN"/>
              </w:rPr>
              <w:t>属于简单分析。</w:t>
            </w:r>
            <w:r>
              <w:rPr>
                <w:rFonts w:hint="default" w:ascii="Times New Roman" w:hAnsi="Times New Roman" w:eastAsia="宋体" w:cs="Times New Roman"/>
                <w:color w:val="auto"/>
                <w:spacing w:val="0"/>
                <w:w w:val="100"/>
                <w:kern w:val="0"/>
                <w:position w:val="0"/>
                <w:sz w:val="24"/>
                <w:szCs w:val="24"/>
                <w:lang w:val="en-US" w:eastAsia="zh-CN" w:bidi="ar"/>
              </w:rPr>
              <w:t>风险评价工作级别为简单分析，只对事故风险影响进行简要分析，提出防范、减缓和应急措施。</w:t>
            </w:r>
          </w:p>
          <w:p w14:paraId="1779939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6.2环境风险源分布及影响途径</w:t>
            </w:r>
          </w:p>
          <w:p w14:paraId="0AD014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（1）物质危险性识别</w:t>
            </w:r>
          </w:p>
          <w:p w14:paraId="07C582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根据企业提供资料及</w:t>
            </w:r>
            <w:r>
              <w:rPr>
                <w:rFonts w:hint="eastAsia" w:ascii="Times New Roman" w:hAnsi="Times New Roman" w:eastAsia="宋体" w:cs="Times New Roman"/>
                <w:b w:val="0"/>
                <w:bCs/>
                <w:color w:val="auto"/>
                <w:sz w:val="24"/>
                <w:szCs w:val="24"/>
                <w:lang w:val="en-US" w:eastAsia="zh-CN"/>
              </w:rPr>
              <w:t>工程</w:t>
            </w:r>
            <w:r>
              <w:rPr>
                <w:rFonts w:hint="default" w:ascii="Times New Roman" w:hAnsi="Times New Roman" w:eastAsia="宋体" w:cs="Times New Roman"/>
                <w:b w:val="0"/>
                <w:bCs/>
                <w:color w:val="auto"/>
                <w:sz w:val="24"/>
                <w:szCs w:val="24"/>
                <w:lang w:val="en-US" w:eastAsia="zh-CN"/>
              </w:rPr>
              <w:t>分析可知，项目生产过程中涉及的环境风险物质为</w:t>
            </w:r>
            <w:r>
              <w:rPr>
                <w:rFonts w:hint="eastAsia" w:cs="Times New Roman"/>
                <w:b w:val="0"/>
                <w:bCs/>
                <w:color w:val="auto"/>
                <w:sz w:val="24"/>
                <w:szCs w:val="24"/>
                <w:lang w:val="en-US" w:eastAsia="zh-CN"/>
              </w:rPr>
              <w:t>生产废水（高浓度有机废水）和沼气（含甲烷）</w:t>
            </w:r>
            <w:r>
              <w:rPr>
                <w:rFonts w:hint="eastAsia" w:ascii="Times New Roman" w:hAnsi="Times New Roman" w:eastAsia="宋体" w:cs="Times New Roman"/>
                <w:b w:val="0"/>
                <w:bCs/>
                <w:color w:val="auto"/>
                <w:sz w:val="24"/>
                <w:szCs w:val="24"/>
                <w:lang w:val="en-US" w:eastAsia="zh-CN"/>
              </w:rPr>
              <w:t>等</w:t>
            </w:r>
            <w:r>
              <w:rPr>
                <w:rFonts w:hint="default" w:ascii="Times New Roman" w:hAnsi="Times New Roman" w:eastAsia="宋体" w:cs="Times New Roman"/>
                <w:b w:val="0"/>
                <w:bCs/>
                <w:color w:val="auto"/>
                <w:sz w:val="24"/>
                <w:szCs w:val="24"/>
                <w:lang w:val="en-US" w:eastAsia="zh-CN"/>
              </w:rPr>
              <w:t>。</w:t>
            </w:r>
          </w:p>
          <w:p w14:paraId="4906E5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（2）</w:t>
            </w:r>
            <w:r>
              <w:rPr>
                <w:rFonts w:hint="eastAsia" w:ascii="Times New Roman" w:hAnsi="Times New Roman" w:eastAsia="宋体" w:cs="Times New Roman"/>
                <w:b w:val="0"/>
                <w:bCs/>
                <w:color w:val="auto"/>
                <w:sz w:val="24"/>
                <w:szCs w:val="24"/>
                <w:lang w:val="en-US" w:eastAsia="zh-CN"/>
              </w:rPr>
              <w:t>环境风险源分布</w:t>
            </w:r>
          </w:p>
          <w:p w14:paraId="39C8FE18">
            <w:pPr>
              <w:pStyle w:val="63"/>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根据本项目生产特点，项目主要风险源为</w:t>
            </w:r>
            <w:r>
              <w:rPr>
                <w:rFonts w:hint="eastAsia" w:cs="Times New Roman"/>
                <w:b w:val="0"/>
                <w:bCs/>
                <w:color w:val="auto"/>
                <w:sz w:val="24"/>
                <w:szCs w:val="24"/>
                <w:lang w:val="en-US" w:eastAsia="zh-CN"/>
              </w:rPr>
              <w:t>生产废水运输管道和沼气运输管道</w:t>
            </w:r>
            <w:r>
              <w:rPr>
                <w:rFonts w:hint="default" w:ascii="Times New Roman" w:hAnsi="Times New Roman" w:eastAsia="宋体" w:cs="Times New Roman"/>
                <w:b w:val="0"/>
                <w:bCs/>
                <w:color w:val="auto"/>
                <w:sz w:val="24"/>
                <w:szCs w:val="24"/>
                <w:lang w:val="en-US" w:eastAsia="zh-CN"/>
              </w:rPr>
              <w:t>等。</w:t>
            </w:r>
          </w:p>
          <w:p w14:paraId="71A8E99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可能发生的环境风险事故包括</w:t>
            </w:r>
            <w:r>
              <w:rPr>
                <w:rFonts w:hint="eastAsia" w:cs="Times New Roman"/>
                <w:b w:val="0"/>
                <w:bCs/>
                <w:color w:val="auto"/>
                <w:sz w:val="24"/>
                <w:szCs w:val="24"/>
                <w:lang w:val="en-US" w:eastAsia="zh-CN"/>
              </w:rPr>
              <w:t>生产废水（高浓度有机废水）</w:t>
            </w:r>
            <w:r>
              <w:rPr>
                <w:rFonts w:hint="default" w:ascii="Times New Roman" w:hAnsi="Times New Roman" w:eastAsia="宋体" w:cs="Times New Roman"/>
                <w:b w:val="0"/>
                <w:bCs/>
                <w:color w:val="auto"/>
                <w:sz w:val="24"/>
                <w:szCs w:val="24"/>
                <w:lang w:val="en-US" w:eastAsia="zh-CN"/>
              </w:rPr>
              <w:t>泄漏，未有效收集进入地表水环境造成环境影响；泄漏物料下渗对土壤、地下水造成影响；</w:t>
            </w:r>
            <w:r>
              <w:rPr>
                <w:rFonts w:hint="eastAsia" w:cs="Times New Roman"/>
                <w:b w:val="0"/>
                <w:bCs/>
                <w:color w:val="auto"/>
                <w:sz w:val="24"/>
                <w:szCs w:val="24"/>
                <w:lang w:val="en-US" w:eastAsia="zh-CN"/>
              </w:rPr>
              <w:t>沼气（含甲烷）</w:t>
            </w:r>
            <w:r>
              <w:rPr>
                <w:rFonts w:hint="default" w:ascii="Times New Roman" w:hAnsi="Times New Roman" w:eastAsia="宋体" w:cs="Times New Roman"/>
                <w:b w:val="0"/>
                <w:bCs/>
                <w:color w:val="auto"/>
                <w:sz w:val="24"/>
                <w:szCs w:val="24"/>
                <w:lang w:val="en-US" w:eastAsia="zh-CN"/>
              </w:rPr>
              <w:t>泄漏挥发的废气影响周边环境。</w:t>
            </w:r>
          </w:p>
          <w:p w14:paraId="0724A3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napToGrid w:val="0"/>
                <w:color w:val="auto"/>
                <w:w w:val="100"/>
                <w:sz w:val="24"/>
                <w:szCs w:val="24"/>
                <w:lang w:val="en-US" w:eastAsia="zh-CN" w:bidi="ar-SA"/>
              </w:rPr>
            </w:pPr>
            <w:r>
              <w:rPr>
                <w:rFonts w:hint="default" w:ascii="Times New Roman" w:hAnsi="Times New Roman" w:eastAsia="宋体" w:cs="Times New Roman"/>
                <w:b w:val="0"/>
                <w:bCs w:val="0"/>
                <w:snapToGrid w:val="0"/>
                <w:color w:val="auto"/>
                <w:w w:val="100"/>
                <w:sz w:val="24"/>
                <w:szCs w:val="24"/>
                <w:lang w:val="en-US" w:eastAsia="zh-CN" w:bidi="ar-SA"/>
              </w:rPr>
              <w:t>生产过程中废气处理设施操作失误或停车，造成尾气直接排放对周边环境造成危害。以及危险废物在输送以及储存过程中包装废料泄漏或操作不规范导致危险废物大量溢出、散落等泄漏意外情况，将会污染运输线路沿途及厂内大气、水体、土壤、路面，对人体、环境造成危害。</w:t>
            </w:r>
          </w:p>
          <w:p w14:paraId="53CC37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napToGrid w:val="0"/>
                <w:color w:val="auto"/>
                <w:w w:val="100"/>
                <w:sz w:val="24"/>
                <w:szCs w:val="24"/>
                <w:lang w:val="en-US" w:eastAsia="zh-CN" w:bidi="ar-SA"/>
              </w:rPr>
            </w:pPr>
            <w:r>
              <w:rPr>
                <w:rFonts w:hint="default" w:ascii="Times New Roman" w:hAnsi="Times New Roman" w:eastAsia="宋体" w:cs="Times New Roman"/>
                <w:b w:val="0"/>
                <w:bCs w:val="0"/>
                <w:snapToGrid w:val="0"/>
                <w:color w:val="auto"/>
                <w:w w:val="100"/>
                <w:sz w:val="24"/>
                <w:szCs w:val="24"/>
                <w:lang w:val="en-US" w:eastAsia="zh-CN" w:bidi="ar-SA"/>
              </w:rPr>
              <w:t>（3）危险物质向环境转移的途径识别</w:t>
            </w:r>
          </w:p>
          <w:p w14:paraId="5B8ED0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napToGrid w:val="0"/>
                <w:color w:val="auto"/>
                <w:w w:val="100"/>
                <w:sz w:val="24"/>
                <w:szCs w:val="24"/>
                <w:lang w:val="en-US" w:eastAsia="zh-CN" w:bidi="ar-SA"/>
              </w:rPr>
            </w:pPr>
            <w:r>
              <w:rPr>
                <w:rFonts w:hint="default" w:ascii="Times New Roman" w:hAnsi="Times New Roman" w:eastAsia="宋体" w:cs="Times New Roman"/>
                <w:b w:val="0"/>
                <w:bCs w:val="0"/>
                <w:snapToGrid w:val="0"/>
                <w:color w:val="auto"/>
                <w:w w:val="100"/>
                <w:sz w:val="24"/>
                <w:szCs w:val="24"/>
                <w:lang w:val="en-US" w:eastAsia="zh-CN" w:bidi="ar-SA"/>
              </w:rPr>
              <w:t>项目环境风险事故主要体现在物料泄漏事故</w:t>
            </w:r>
            <w:r>
              <w:rPr>
                <w:rFonts w:hint="eastAsia" w:ascii="Times New Roman" w:hAnsi="Times New Roman" w:eastAsia="宋体" w:cs="Times New Roman"/>
                <w:b w:val="0"/>
                <w:bCs w:val="0"/>
                <w:snapToGrid w:val="0"/>
                <w:color w:val="auto"/>
                <w:w w:val="100"/>
                <w:sz w:val="24"/>
                <w:szCs w:val="24"/>
                <w:lang w:val="en-US" w:eastAsia="zh-CN" w:bidi="ar-SA"/>
              </w:rPr>
              <w:t>、</w:t>
            </w:r>
            <w:r>
              <w:rPr>
                <w:rFonts w:hint="default" w:ascii="Times New Roman" w:hAnsi="Times New Roman" w:eastAsia="宋体" w:cs="Times New Roman"/>
                <w:b w:val="0"/>
                <w:bCs w:val="0"/>
                <w:snapToGrid w:val="0"/>
                <w:color w:val="auto"/>
                <w:w w:val="100"/>
                <w:sz w:val="24"/>
                <w:szCs w:val="24"/>
                <w:lang w:val="en-US" w:eastAsia="zh-CN" w:bidi="ar-SA"/>
              </w:rPr>
              <w:t>挥发废气对周边大气环境造成影响；物料泄漏未能有效截流收集，影响周边地表水、土壤、地下水；废气污染防治措施故障造成废气事故性排放对大气环境造成影响。</w:t>
            </w:r>
          </w:p>
          <w:p w14:paraId="0D0CA6BF">
            <w:pPr>
              <w:widowControl/>
              <w:adjustRightInd w:val="0"/>
              <w:snapToGrid w:val="0"/>
              <w:jc w:val="center"/>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val="en-US" w:eastAsia="zh-CN"/>
              </w:rPr>
              <w:t>4-</w:t>
            </w:r>
            <w:r>
              <w:rPr>
                <w:rFonts w:hint="eastAsia" w:ascii="Times New Roman" w:hAnsi="Times New Roman" w:cs="Times New Roman"/>
                <w:b/>
                <w:bCs/>
                <w:color w:val="auto"/>
                <w:sz w:val="21"/>
                <w:szCs w:val="21"/>
                <w:highlight w:val="none"/>
                <w:lang w:val="en-US" w:eastAsia="zh-CN"/>
              </w:rPr>
              <w:t>13</w:t>
            </w:r>
            <w:r>
              <w:rPr>
                <w:rFonts w:hint="eastAsia"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lang w:eastAsia="zh-CN"/>
              </w:rPr>
              <w:t>项目环境风险识别表</w:t>
            </w:r>
          </w:p>
          <w:tbl>
            <w:tblPr>
              <w:tblStyle w:val="29"/>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338"/>
              <w:gridCol w:w="752"/>
              <w:gridCol w:w="940"/>
              <w:gridCol w:w="1116"/>
              <w:gridCol w:w="1411"/>
              <w:gridCol w:w="1201"/>
              <w:gridCol w:w="1591"/>
              <w:gridCol w:w="891"/>
            </w:tblGrid>
            <w:tr w14:paraId="5908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45" w:hRule="atLeast"/>
                <w:jc w:val="center"/>
              </w:trPr>
              <w:tc>
                <w:tcPr>
                  <w:tcW w:w="205" w:type="pct"/>
                  <w:noWrap w:val="0"/>
                  <w:vAlign w:val="center"/>
                </w:tcPr>
                <w:p w14:paraId="408B28EB">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序号</w:t>
                  </w:r>
                </w:p>
              </w:tc>
              <w:tc>
                <w:tcPr>
                  <w:tcW w:w="456" w:type="pct"/>
                  <w:noWrap w:val="0"/>
                  <w:vAlign w:val="center"/>
                </w:tcPr>
                <w:p w14:paraId="78F4D040">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危险</w:t>
                  </w:r>
                </w:p>
                <w:p w14:paraId="67068D89">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单元</w:t>
                  </w:r>
                </w:p>
              </w:tc>
              <w:tc>
                <w:tcPr>
                  <w:tcW w:w="570" w:type="pct"/>
                  <w:noWrap w:val="0"/>
                  <w:vAlign w:val="center"/>
                </w:tcPr>
                <w:p w14:paraId="2EB566A8">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风险源</w:t>
                  </w:r>
                </w:p>
              </w:tc>
              <w:tc>
                <w:tcPr>
                  <w:tcW w:w="677" w:type="pct"/>
                  <w:noWrap w:val="0"/>
                  <w:vAlign w:val="center"/>
                </w:tcPr>
                <w:p w14:paraId="699950E7">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主要危险物质</w:t>
                  </w:r>
                </w:p>
              </w:tc>
              <w:tc>
                <w:tcPr>
                  <w:tcW w:w="856" w:type="pct"/>
                  <w:noWrap w:val="0"/>
                  <w:vAlign w:val="center"/>
                </w:tcPr>
                <w:p w14:paraId="37B60976">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环境风险类型</w:t>
                  </w:r>
                </w:p>
              </w:tc>
              <w:tc>
                <w:tcPr>
                  <w:tcW w:w="728" w:type="pct"/>
                  <w:noWrap w:val="0"/>
                  <w:vAlign w:val="center"/>
                </w:tcPr>
                <w:p w14:paraId="21009931">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环境影响途径</w:t>
                  </w:r>
                </w:p>
              </w:tc>
              <w:tc>
                <w:tcPr>
                  <w:tcW w:w="964" w:type="pct"/>
                  <w:noWrap w:val="0"/>
                  <w:vAlign w:val="center"/>
                </w:tcPr>
                <w:p w14:paraId="217EECAA">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可能受影响的环境敏感目标</w:t>
                  </w:r>
                </w:p>
              </w:tc>
              <w:tc>
                <w:tcPr>
                  <w:tcW w:w="540" w:type="pct"/>
                  <w:noWrap w:val="0"/>
                  <w:vAlign w:val="center"/>
                </w:tcPr>
                <w:p w14:paraId="68E55AC6">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原因</w:t>
                  </w:r>
                </w:p>
              </w:tc>
            </w:tr>
            <w:tr w14:paraId="7C8D6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23" w:hRule="atLeast"/>
                <w:jc w:val="center"/>
              </w:trPr>
              <w:tc>
                <w:tcPr>
                  <w:tcW w:w="205" w:type="pct"/>
                  <w:noWrap w:val="0"/>
                  <w:vAlign w:val="center"/>
                </w:tcPr>
                <w:p w14:paraId="35467273">
                  <w:pPr>
                    <w:adjustRightInd w:val="0"/>
                    <w:snapToGrid w:val="0"/>
                    <w:spacing w:before="60" w:after="60" w:line="240" w:lineRule="auto"/>
                    <w:jc w:val="center"/>
                    <w:rPr>
                      <w:rFonts w:hint="default" w:ascii="Times New Roman" w:hAnsi="Times New Roman" w:cs="Times New Roman"/>
                      <w:color w:val="auto"/>
                      <w:sz w:val="21"/>
                      <w:szCs w:val="21"/>
                      <w:lang w:val="en-US" w:eastAsia="en-US"/>
                    </w:rPr>
                  </w:pPr>
                  <w:r>
                    <w:rPr>
                      <w:rFonts w:hint="default" w:ascii="Times New Roman" w:hAnsi="Times New Roman" w:cs="Times New Roman"/>
                      <w:color w:val="auto"/>
                      <w:sz w:val="21"/>
                      <w:szCs w:val="21"/>
                      <w:lang w:val="en-US" w:eastAsia="zh-CN"/>
                    </w:rPr>
                    <w:t>1</w:t>
                  </w:r>
                </w:p>
              </w:tc>
              <w:tc>
                <w:tcPr>
                  <w:tcW w:w="456" w:type="pct"/>
                  <w:noWrap w:val="0"/>
                  <w:vAlign w:val="center"/>
                </w:tcPr>
                <w:p w14:paraId="274EE103">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原料</w:t>
                  </w:r>
                  <w:r>
                    <w:rPr>
                      <w:rFonts w:hint="default" w:ascii="Times New Roman" w:hAnsi="Times New Roman" w:cs="Times New Roman"/>
                      <w:color w:val="auto"/>
                      <w:sz w:val="21"/>
                      <w:szCs w:val="21"/>
                      <w:lang w:val="en-US" w:eastAsia="zh-CN"/>
                    </w:rPr>
                    <w:t>贮</w:t>
                  </w:r>
                  <w:r>
                    <w:rPr>
                      <w:rFonts w:hint="eastAsia" w:ascii="Times New Roman" w:hAnsi="Times New Roman" w:cs="Times New Roman"/>
                      <w:color w:val="auto"/>
                      <w:sz w:val="21"/>
                      <w:szCs w:val="21"/>
                      <w:lang w:val="en-US" w:eastAsia="zh-CN"/>
                    </w:rPr>
                    <w:t>运</w:t>
                  </w:r>
                  <w:r>
                    <w:rPr>
                      <w:rFonts w:hint="default" w:ascii="Times New Roman" w:hAnsi="Times New Roman" w:cs="Times New Roman"/>
                      <w:color w:val="auto"/>
                      <w:sz w:val="21"/>
                      <w:szCs w:val="21"/>
                      <w:lang w:val="en-US" w:eastAsia="zh-CN"/>
                    </w:rPr>
                    <w:t>系统</w:t>
                  </w:r>
                </w:p>
              </w:tc>
              <w:tc>
                <w:tcPr>
                  <w:tcW w:w="570" w:type="pct"/>
                  <w:noWrap w:val="0"/>
                  <w:vAlign w:val="center"/>
                </w:tcPr>
                <w:p w14:paraId="2F07BEB2">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沼气运输管道</w:t>
                  </w:r>
                </w:p>
              </w:tc>
              <w:tc>
                <w:tcPr>
                  <w:tcW w:w="677" w:type="pct"/>
                  <w:noWrap w:val="0"/>
                  <w:vAlign w:val="center"/>
                </w:tcPr>
                <w:p w14:paraId="69AE6D34">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沼气</w:t>
                  </w:r>
                </w:p>
              </w:tc>
              <w:tc>
                <w:tcPr>
                  <w:tcW w:w="856" w:type="pct"/>
                  <w:noWrap w:val="0"/>
                  <w:vAlign w:val="center"/>
                </w:tcPr>
                <w:p w14:paraId="33EEC846">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火灾、泄露</w:t>
                  </w:r>
                </w:p>
              </w:tc>
              <w:tc>
                <w:tcPr>
                  <w:tcW w:w="728" w:type="pct"/>
                  <w:noWrap w:val="0"/>
                  <w:vAlign w:val="center"/>
                </w:tcPr>
                <w:p w14:paraId="745CC63C">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大气、地下水</w:t>
                  </w:r>
                </w:p>
              </w:tc>
              <w:tc>
                <w:tcPr>
                  <w:tcW w:w="964" w:type="pct"/>
                  <w:vMerge w:val="restart"/>
                  <w:noWrap w:val="0"/>
                  <w:vAlign w:val="center"/>
                </w:tcPr>
                <w:p w14:paraId="3EB515D8">
                  <w:pPr>
                    <w:adjustRightInd w:val="0"/>
                    <w:snapToGrid w:val="0"/>
                    <w:spacing w:before="60" w:after="60" w:line="240" w:lineRule="auto"/>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陶新庄</w:t>
                  </w:r>
                </w:p>
              </w:tc>
              <w:tc>
                <w:tcPr>
                  <w:tcW w:w="540" w:type="pct"/>
                  <w:vMerge w:val="restart"/>
                  <w:noWrap w:val="0"/>
                  <w:vAlign w:val="center"/>
                </w:tcPr>
                <w:p w14:paraId="48A78453">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管理不规范</w:t>
                  </w:r>
                </w:p>
              </w:tc>
            </w:tr>
            <w:tr w14:paraId="1CBA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9" w:hRule="atLeast"/>
                <w:jc w:val="center"/>
              </w:trPr>
              <w:tc>
                <w:tcPr>
                  <w:tcW w:w="205" w:type="pct"/>
                  <w:noWrap w:val="0"/>
                  <w:vAlign w:val="center"/>
                </w:tcPr>
                <w:p w14:paraId="099E7A77">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w:t>
                  </w:r>
                </w:p>
              </w:tc>
              <w:tc>
                <w:tcPr>
                  <w:tcW w:w="456" w:type="pct"/>
                  <w:shd w:val="clear" w:color="auto" w:fill="auto"/>
                  <w:noWrap w:val="0"/>
                  <w:vAlign w:val="center"/>
                </w:tcPr>
                <w:p w14:paraId="53BD9E79">
                  <w:pPr>
                    <w:adjustRightInd w:val="0"/>
                    <w:snapToGrid w:val="0"/>
                    <w:spacing w:before="60" w:after="60" w:line="240" w:lineRule="auto"/>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污染控制设施</w:t>
                  </w:r>
                </w:p>
              </w:tc>
              <w:tc>
                <w:tcPr>
                  <w:tcW w:w="570" w:type="pct"/>
                  <w:shd w:val="clear" w:color="auto" w:fill="auto"/>
                  <w:noWrap w:val="0"/>
                  <w:vAlign w:val="center"/>
                </w:tcPr>
                <w:p w14:paraId="2498C35E">
                  <w:pPr>
                    <w:adjustRightInd w:val="0"/>
                    <w:snapToGrid w:val="0"/>
                    <w:spacing w:before="60" w:after="60"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生产废水运输管道</w:t>
                  </w:r>
                </w:p>
              </w:tc>
              <w:tc>
                <w:tcPr>
                  <w:tcW w:w="677" w:type="pct"/>
                  <w:shd w:val="clear" w:color="auto" w:fill="auto"/>
                  <w:noWrap w:val="0"/>
                  <w:vAlign w:val="center"/>
                </w:tcPr>
                <w:p w14:paraId="05AF8EC3">
                  <w:pPr>
                    <w:adjustRightInd w:val="0"/>
                    <w:snapToGrid w:val="0"/>
                    <w:spacing w:before="60" w:after="60"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有机废液</w:t>
                  </w:r>
                </w:p>
              </w:tc>
              <w:tc>
                <w:tcPr>
                  <w:tcW w:w="856" w:type="pct"/>
                  <w:shd w:val="clear" w:color="auto" w:fill="auto"/>
                  <w:noWrap w:val="0"/>
                  <w:vAlign w:val="center"/>
                </w:tcPr>
                <w:p w14:paraId="02CAA264">
                  <w:pPr>
                    <w:adjustRightInd w:val="0"/>
                    <w:snapToGrid w:val="0"/>
                    <w:spacing w:before="60" w:after="60"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泄漏</w:t>
                  </w:r>
                </w:p>
              </w:tc>
              <w:tc>
                <w:tcPr>
                  <w:tcW w:w="728" w:type="pct"/>
                  <w:shd w:val="clear" w:color="auto" w:fill="auto"/>
                  <w:noWrap w:val="0"/>
                  <w:vAlign w:val="center"/>
                </w:tcPr>
                <w:p w14:paraId="66FEB29D">
                  <w:pPr>
                    <w:adjustRightInd w:val="0"/>
                    <w:snapToGrid w:val="0"/>
                    <w:spacing w:before="60" w:after="60" w:line="240" w:lineRule="auto"/>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地表水、土壤和地下水</w:t>
                  </w:r>
                </w:p>
              </w:tc>
              <w:tc>
                <w:tcPr>
                  <w:tcW w:w="964" w:type="pct"/>
                  <w:vMerge w:val="continue"/>
                  <w:noWrap w:val="0"/>
                  <w:vAlign w:val="center"/>
                </w:tcPr>
                <w:p w14:paraId="75517B1F">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p>
              </w:tc>
              <w:tc>
                <w:tcPr>
                  <w:tcW w:w="540" w:type="pct"/>
                  <w:vMerge w:val="continue"/>
                  <w:noWrap w:val="0"/>
                  <w:vAlign w:val="center"/>
                </w:tcPr>
                <w:p w14:paraId="3227F51B">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p>
              </w:tc>
            </w:tr>
            <w:tr w14:paraId="1F49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65" w:hRule="atLeast"/>
                <w:jc w:val="center"/>
              </w:trPr>
              <w:tc>
                <w:tcPr>
                  <w:tcW w:w="205" w:type="pct"/>
                  <w:noWrap w:val="0"/>
                  <w:vAlign w:val="center"/>
                </w:tcPr>
                <w:p w14:paraId="464D3985">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w:t>
                  </w:r>
                </w:p>
              </w:tc>
              <w:tc>
                <w:tcPr>
                  <w:tcW w:w="456" w:type="pct"/>
                  <w:noWrap w:val="0"/>
                  <w:vAlign w:val="center"/>
                </w:tcPr>
                <w:p w14:paraId="410637FF">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污染控制设施</w:t>
                  </w:r>
                </w:p>
              </w:tc>
              <w:tc>
                <w:tcPr>
                  <w:tcW w:w="570" w:type="pct"/>
                  <w:noWrap w:val="0"/>
                  <w:vAlign w:val="center"/>
                </w:tcPr>
                <w:p w14:paraId="1A328FFD">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废气治理措施</w:t>
                  </w:r>
                </w:p>
              </w:tc>
              <w:tc>
                <w:tcPr>
                  <w:tcW w:w="677" w:type="pct"/>
                  <w:noWrap w:val="0"/>
                  <w:vAlign w:val="center"/>
                </w:tcPr>
                <w:p w14:paraId="2C725E6B">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颗粒物、二氧化硫和氮氧化物</w:t>
                  </w:r>
                </w:p>
              </w:tc>
              <w:tc>
                <w:tcPr>
                  <w:tcW w:w="856" w:type="pct"/>
                  <w:noWrap w:val="0"/>
                  <w:vAlign w:val="center"/>
                </w:tcPr>
                <w:p w14:paraId="4CECEFD7">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治理措施故障</w:t>
                  </w:r>
                </w:p>
              </w:tc>
              <w:tc>
                <w:tcPr>
                  <w:tcW w:w="728" w:type="pct"/>
                  <w:noWrap w:val="0"/>
                  <w:vAlign w:val="center"/>
                </w:tcPr>
                <w:p w14:paraId="59DA1A8F">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大气</w:t>
                  </w:r>
                </w:p>
              </w:tc>
              <w:tc>
                <w:tcPr>
                  <w:tcW w:w="964" w:type="pct"/>
                  <w:vMerge w:val="continue"/>
                  <w:noWrap w:val="0"/>
                  <w:vAlign w:val="center"/>
                </w:tcPr>
                <w:p w14:paraId="07B9C3A4">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p>
              </w:tc>
              <w:tc>
                <w:tcPr>
                  <w:tcW w:w="540" w:type="pct"/>
                  <w:noWrap w:val="0"/>
                  <w:vAlign w:val="center"/>
                </w:tcPr>
                <w:p w14:paraId="54B077D1">
                  <w:pPr>
                    <w:adjustRightInd w:val="0"/>
                    <w:snapToGrid w:val="0"/>
                    <w:spacing w:before="60" w:after="60"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设施故障</w:t>
                  </w:r>
                </w:p>
              </w:tc>
            </w:tr>
          </w:tbl>
          <w:p w14:paraId="75503CCF">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2" w:firstLineChars="200"/>
              <w:textAlignment w:val="auto"/>
              <w:rPr>
                <w:rFonts w:hint="default" w:ascii="Times New Roman" w:hAnsi="Times New Roman" w:eastAsia="宋体" w:cs="Times New Roman"/>
                <w:b/>
                <w:bCs/>
                <w:snapToGrid w:val="0"/>
                <w:color w:val="auto"/>
                <w:kern w:val="0"/>
                <w:sz w:val="24"/>
              </w:rPr>
            </w:pPr>
            <w:r>
              <w:rPr>
                <w:rFonts w:hint="eastAsia" w:ascii="Times New Roman" w:hAnsi="Times New Roman" w:eastAsia="宋体" w:cs="Times New Roman"/>
                <w:b/>
                <w:bCs/>
                <w:snapToGrid w:val="0"/>
                <w:color w:val="auto"/>
                <w:kern w:val="0"/>
                <w:sz w:val="24"/>
                <w:lang w:val="en-US" w:eastAsia="zh-CN"/>
              </w:rPr>
              <w:t>6.3环</w:t>
            </w:r>
            <w:r>
              <w:rPr>
                <w:rFonts w:hint="default" w:ascii="Times New Roman" w:hAnsi="Times New Roman" w:eastAsia="宋体" w:cs="Times New Roman"/>
                <w:b/>
                <w:bCs/>
                <w:snapToGrid w:val="0"/>
                <w:color w:val="auto"/>
                <w:kern w:val="0"/>
                <w:sz w:val="24"/>
              </w:rPr>
              <w:t>境风险分析</w:t>
            </w:r>
          </w:p>
          <w:p w14:paraId="28516C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根据前文风险识别，本项目环境风险事故主要对大气、地表水、地下水产生影响。</w:t>
            </w:r>
          </w:p>
          <w:p w14:paraId="23DED7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zh-CN" w:eastAsia="zh-CN"/>
              </w:rPr>
              <w:t>（1）</w:t>
            </w:r>
            <w:r>
              <w:rPr>
                <w:rFonts w:hint="default" w:ascii="Times New Roman" w:hAnsi="Times New Roman" w:eastAsia="宋体" w:cs="Times New Roman"/>
                <w:b w:val="0"/>
                <w:bCs/>
                <w:color w:val="auto"/>
                <w:sz w:val="24"/>
                <w:szCs w:val="24"/>
                <w:lang w:val="en-US" w:eastAsia="zh-CN"/>
              </w:rPr>
              <w:t>风险事故大气环境影响分析</w:t>
            </w:r>
          </w:p>
          <w:p w14:paraId="0793FF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本项目风险事故对大气的影响主要是</w:t>
            </w:r>
            <w:r>
              <w:rPr>
                <w:rFonts w:hint="eastAsia" w:cs="Times New Roman"/>
                <w:b w:val="0"/>
                <w:bCs/>
                <w:color w:val="auto"/>
                <w:sz w:val="24"/>
                <w:szCs w:val="24"/>
                <w:lang w:val="en-US" w:eastAsia="zh-CN"/>
              </w:rPr>
              <w:t>物料运输泄露、</w:t>
            </w:r>
            <w:r>
              <w:rPr>
                <w:rFonts w:hint="default" w:ascii="Times New Roman" w:hAnsi="Times New Roman" w:eastAsia="宋体" w:cs="Times New Roman"/>
                <w:b w:val="0"/>
                <w:bCs/>
                <w:color w:val="auto"/>
                <w:sz w:val="24"/>
                <w:szCs w:val="24"/>
                <w:lang w:val="en-US" w:eastAsia="zh-CN"/>
              </w:rPr>
              <w:t>火灾事故燃烧废气、废气处理设施故障废气超标排放对周边环境的影响。本项目在加强厂区内消防安全管理等措施后可防范火灾事故发生。</w:t>
            </w:r>
          </w:p>
          <w:p w14:paraId="7D2633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根据前文分析，废气处理设施事故状态下，</w:t>
            </w:r>
            <w:r>
              <w:rPr>
                <w:rFonts w:hint="eastAsia" w:ascii="Times New Roman" w:hAnsi="Times New Roman" w:eastAsia="宋体" w:cs="Times New Roman"/>
                <w:b w:val="0"/>
                <w:bCs/>
                <w:color w:val="auto"/>
                <w:sz w:val="24"/>
                <w:szCs w:val="24"/>
                <w:lang w:val="en-US" w:eastAsia="zh-CN"/>
              </w:rPr>
              <w:t>造成废气超标排放。在加强环境管理，加强废气处理设施日常维护、保养，可有效防范</w:t>
            </w:r>
            <w:r>
              <w:rPr>
                <w:rFonts w:hint="default" w:ascii="Times New Roman" w:hAnsi="Times New Roman" w:eastAsia="宋体" w:cs="Times New Roman"/>
                <w:b w:val="0"/>
                <w:bCs/>
                <w:color w:val="auto"/>
                <w:sz w:val="24"/>
                <w:szCs w:val="24"/>
                <w:lang w:val="en-US" w:eastAsia="zh-CN"/>
              </w:rPr>
              <w:t>废气处理设施事故状态下</w:t>
            </w:r>
            <w:r>
              <w:rPr>
                <w:rFonts w:hint="eastAsia" w:ascii="Times New Roman" w:hAnsi="Times New Roman" w:eastAsia="宋体" w:cs="Times New Roman"/>
                <w:b w:val="0"/>
                <w:bCs/>
                <w:color w:val="auto"/>
                <w:sz w:val="24"/>
                <w:szCs w:val="24"/>
                <w:lang w:val="en-US" w:eastAsia="zh-CN"/>
              </w:rPr>
              <w:t>的超标排放。</w:t>
            </w:r>
            <w:r>
              <w:rPr>
                <w:rFonts w:hint="default" w:ascii="Times New Roman" w:hAnsi="Times New Roman" w:eastAsia="宋体" w:cs="Times New Roman"/>
                <w:b w:val="0"/>
                <w:bCs/>
                <w:color w:val="auto"/>
                <w:sz w:val="24"/>
                <w:szCs w:val="24"/>
                <w:lang w:val="en-US" w:eastAsia="zh-CN"/>
              </w:rPr>
              <w:t>能够及时停止生产，在设施修复后在继续生产。因此事故排放对周边环境影响较小。</w:t>
            </w:r>
          </w:p>
          <w:p w14:paraId="362A1E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（2）风险事故地下水环境影响分析</w:t>
            </w:r>
          </w:p>
          <w:p w14:paraId="607F8D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本项目可能造成地下水影响的如</w:t>
            </w:r>
            <w:r>
              <w:rPr>
                <w:rFonts w:hint="eastAsia" w:cs="Times New Roman"/>
                <w:b w:val="0"/>
                <w:bCs/>
                <w:color w:val="auto"/>
                <w:sz w:val="24"/>
                <w:szCs w:val="24"/>
                <w:lang w:val="en-US" w:eastAsia="zh-CN"/>
              </w:rPr>
              <w:t>生产废水运输管道</w:t>
            </w:r>
            <w:r>
              <w:rPr>
                <w:rFonts w:hint="default" w:ascii="Times New Roman" w:hAnsi="Times New Roman" w:eastAsia="宋体" w:cs="Times New Roman"/>
                <w:color w:val="auto"/>
                <w:spacing w:val="0"/>
                <w:w w:val="100"/>
                <w:kern w:val="0"/>
                <w:position w:val="0"/>
                <w:sz w:val="24"/>
                <w:szCs w:val="24"/>
                <w:lang w:val="en-US" w:eastAsia="zh-CN" w:bidi="ar"/>
              </w:rPr>
              <w:t>，采取重点防渗措施。在加强日常管理，巡查情况下可有效，对泄漏</w:t>
            </w:r>
            <w:r>
              <w:rPr>
                <w:rFonts w:hint="eastAsia" w:cs="Times New Roman"/>
                <w:color w:val="auto"/>
                <w:spacing w:val="0"/>
                <w:w w:val="100"/>
                <w:kern w:val="0"/>
                <w:position w:val="0"/>
                <w:sz w:val="24"/>
                <w:szCs w:val="24"/>
                <w:lang w:val="en-US" w:eastAsia="zh-CN" w:bidi="ar"/>
              </w:rPr>
              <w:t>废水</w:t>
            </w:r>
            <w:r>
              <w:rPr>
                <w:rFonts w:hint="default" w:ascii="Times New Roman" w:hAnsi="Times New Roman" w:eastAsia="宋体" w:cs="Times New Roman"/>
                <w:color w:val="auto"/>
                <w:spacing w:val="0"/>
                <w:w w:val="100"/>
                <w:kern w:val="0"/>
                <w:position w:val="0"/>
                <w:sz w:val="24"/>
                <w:szCs w:val="24"/>
                <w:lang w:val="en-US" w:eastAsia="zh-CN" w:bidi="ar"/>
              </w:rPr>
              <w:t>及时处理，可有效防止地下水污染。</w:t>
            </w:r>
          </w:p>
          <w:p w14:paraId="6C5F206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Times New Roman" w:hAnsi="Times New Roman" w:eastAsia="宋体" w:cs="Times New Roman"/>
                <w:b/>
                <w:bCs/>
                <w:snapToGrid w:val="0"/>
                <w:color w:val="auto"/>
                <w:kern w:val="0"/>
                <w:sz w:val="24"/>
                <w:lang w:val="en-US" w:eastAsia="zh-CN"/>
              </w:rPr>
            </w:pPr>
            <w:bookmarkStart w:id="25" w:name="_Toc6046"/>
            <w:r>
              <w:rPr>
                <w:rFonts w:hint="eastAsia" w:ascii="Times New Roman" w:hAnsi="Times New Roman" w:eastAsia="宋体" w:cs="Times New Roman"/>
                <w:b/>
                <w:bCs/>
                <w:snapToGrid w:val="0"/>
                <w:color w:val="auto"/>
                <w:kern w:val="0"/>
                <w:sz w:val="24"/>
                <w:lang w:val="en-US" w:eastAsia="zh-CN"/>
              </w:rPr>
              <w:t>6.</w:t>
            </w:r>
            <w:r>
              <w:rPr>
                <w:rFonts w:hint="eastAsia" w:ascii="Times New Roman" w:hAnsi="Times New Roman" w:cs="Times New Roman"/>
                <w:b/>
                <w:bCs/>
                <w:snapToGrid w:val="0"/>
                <w:color w:val="auto"/>
                <w:kern w:val="0"/>
                <w:sz w:val="24"/>
                <w:lang w:val="en-US" w:eastAsia="zh-CN"/>
              </w:rPr>
              <w:t>4</w:t>
            </w:r>
            <w:r>
              <w:rPr>
                <w:rFonts w:hint="eastAsia" w:ascii="Times New Roman" w:hAnsi="Times New Roman" w:eastAsia="宋体" w:cs="Times New Roman"/>
                <w:b/>
                <w:bCs/>
                <w:snapToGrid w:val="0"/>
                <w:color w:val="auto"/>
                <w:kern w:val="0"/>
                <w:sz w:val="24"/>
                <w:lang w:val="en-US" w:eastAsia="zh-CN"/>
              </w:rPr>
              <w:t>风险管理</w:t>
            </w:r>
            <w:bookmarkEnd w:id="25"/>
          </w:p>
          <w:p w14:paraId="216F86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①</w:t>
            </w:r>
            <w:r>
              <w:rPr>
                <w:rFonts w:hint="default" w:ascii="Times New Roman" w:hAnsi="Times New Roman" w:eastAsia="宋体" w:cs="Times New Roman"/>
                <w:b w:val="0"/>
                <w:bCs/>
                <w:color w:val="auto"/>
                <w:sz w:val="24"/>
                <w:szCs w:val="24"/>
                <w:lang w:val="en-US" w:eastAsia="zh-CN"/>
              </w:rPr>
              <w:t>本项目建成运行后，成立独立的环境保护管理科室，配备环境保护管理人员；</w:t>
            </w:r>
          </w:p>
          <w:p w14:paraId="73BF46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②</w:t>
            </w:r>
            <w:r>
              <w:rPr>
                <w:rFonts w:hint="default" w:ascii="Times New Roman" w:hAnsi="Times New Roman" w:eastAsia="宋体" w:cs="Times New Roman"/>
                <w:b w:val="0"/>
                <w:bCs/>
                <w:color w:val="auto"/>
                <w:sz w:val="24"/>
                <w:szCs w:val="24"/>
                <w:lang w:val="en-US" w:eastAsia="zh-CN"/>
              </w:rPr>
              <w:t>按照国家有关安全生产的法律、法规、标准、规范的要求，结合项目的生产特点，编制各项环境保护规章制度，建立健全企业内部各岗位、各工种的环境保护责任制；</w:t>
            </w:r>
          </w:p>
          <w:p w14:paraId="4308C0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③</w:t>
            </w:r>
            <w:r>
              <w:rPr>
                <w:rFonts w:hint="default" w:ascii="Times New Roman" w:hAnsi="Times New Roman" w:eastAsia="宋体" w:cs="Times New Roman"/>
                <w:b w:val="0"/>
                <w:bCs/>
                <w:color w:val="auto"/>
                <w:sz w:val="24"/>
                <w:szCs w:val="24"/>
                <w:lang w:val="en-US" w:eastAsia="zh-CN"/>
              </w:rPr>
              <w:t>应对主要负责人和安全管理人员进行安全培训，并经考核合格方可有效履行安全 职责；</w:t>
            </w:r>
          </w:p>
          <w:p w14:paraId="161A45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④</w:t>
            </w:r>
            <w:r>
              <w:rPr>
                <w:rFonts w:hint="default" w:ascii="Times New Roman" w:hAnsi="Times New Roman" w:eastAsia="宋体" w:cs="Times New Roman"/>
                <w:b w:val="0"/>
                <w:bCs/>
                <w:color w:val="auto"/>
                <w:sz w:val="24"/>
                <w:szCs w:val="24"/>
                <w:lang w:val="en-US" w:eastAsia="zh-CN"/>
              </w:rPr>
              <w:t>为保证建成后装置的安全平稳运行，应加强岗位操作人员的技术培训，提高操作人员的事故分析能力、应变能力和处理能力，加强操作人员的系统故障分析能力；</w:t>
            </w:r>
          </w:p>
          <w:p w14:paraId="158AB8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⑤</w:t>
            </w:r>
            <w:r>
              <w:rPr>
                <w:rFonts w:hint="default" w:ascii="Times New Roman" w:hAnsi="Times New Roman" w:eastAsia="宋体" w:cs="Times New Roman"/>
                <w:b w:val="0"/>
                <w:bCs/>
                <w:color w:val="auto"/>
                <w:sz w:val="24"/>
                <w:szCs w:val="24"/>
                <w:lang w:val="en-US" w:eastAsia="zh-CN"/>
              </w:rPr>
              <w:t>建立安全办公会议制度，及时分析、研究、解决生产过程中出现的安全问题，排除隐患，加强整改，查处事故责任人和违章作业人员；</w:t>
            </w:r>
          </w:p>
          <w:p w14:paraId="40751C1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default" w:ascii="Times New Roman" w:hAnsi="Times New Roman" w:eastAsia="宋体" w:cs="Times New Roman"/>
                <w:b/>
                <w:bCs w:val="0"/>
                <w:color w:val="auto"/>
                <w:sz w:val="24"/>
                <w:szCs w:val="24"/>
                <w:lang w:val="en-US" w:eastAsia="zh-CN"/>
              </w:rPr>
            </w:pPr>
            <w:bookmarkStart w:id="26" w:name="_Toc19017"/>
            <w:r>
              <w:rPr>
                <w:rFonts w:hint="eastAsia" w:ascii="Times New Roman" w:hAnsi="Times New Roman" w:eastAsia="宋体" w:cs="Times New Roman"/>
                <w:b/>
                <w:bCs w:val="0"/>
                <w:color w:val="auto"/>
                <w:sz w:val="24"/>
                <w:szCs w:val="24"/>
                <w:lang w:val="en-US" w:eastAsia="zh-CN"/>
              </w:rPr>
              <w:t>6.</w:t>
            </w:r>
            <w:r>
              <w:rPr>
                <w:rFonts w:hint="eastAsia" w:ascii="Times New Roman" w:hAnsi="Times New Roman" w:cs="Times New Roman"/>
                <w:b/>
                <w:bCs w:val="0"/>
                <w:color w:val="auto"/>
                <w:sz w:val="24"/>
                <w:szCs w:val="24"/>
                <w:lang w:val="en-US" w:eastAsia="zh-CN"/>
              </w:rPr>
              <w:t>5</w:t>
            </w:r>
            <w:r>
              <w:rPr>
                <w:rFonts w:hint="eastAsia" w:ascii="Times New Roman" w:hAnsi="Times New Roman" w:eastAsia="宋体" w:cs="Times New Roman"/>
                <w:b/>
                <w:bCs w:val="0"/>
                <w:color w:val="auto"/>
                <w:sz w:val="24"/>
                <w:szCs w:val="24"/>
                <w:lang w:val="en-US" w:eastAsia="zh-CN"/>
              </w:rPr>
              <w:t>风险事故防范措施</w:t>
            </w:r>
            <w:bookmarkEnd w:id="26"/>
          </w:p>
          <w:p w14:paraId="68B207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1、总平面布置风险防范措施</w:t>
            </w:r>
          </w:p>
          <w:p w14:paraId="21F8AE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①厂区总平面布置、防火间距应符合《建筑设计防火规范》（GB50016-2006）和《工业企业总平面设计规范》（GB50187-2012）等相关规定。</w:t>
            </w:r>
            <w:r>
              <w:rPr>
                <w:rFonts w:hint="eastAsia" w:ascii="Times New Roman" w:hAnsi="Times New Roman" w:cs="Times New Roman"/>
                <w:b w:val="0"/>
                <w:bCs/>
                <w:color w:val="auto"/>
                <w:sz w:val="24"/>
                <w:szCs w:val="24"/>
                <w:lang w:val="en-US" w:eastAsia="zh-CN"/>
              </w:rPr>
              <w:t>生产</w:t>
            </w:r>
            <w:r>
              <w:rPr>
                <w:rFonts w:hint="default" w:ascii="Times New Roman" w:hAnsi="Times New Roman" w:eastAsia="宋体" w:cs="Times New Roman"/>
                <w:b w:val="0"/>
                <w:bCs/>
                <w:color w:val="auto"/>
                <w:sz w:val="24"/>
                <w:szCs w:val="24"/>
                <w:lang w:val="en-US" w:eastAsia="zh-CN"/>
              </w:rPr>
              <w:t>车间等建构筑物的设计应与火灾类别相应的防火对策措施，建筑物耐火等级应符合《建筑设计防火规范》的有关规定，并通过消防、安全验收。</w:t>
            </w:r>
          </w:p>
          <w:p w14:paraId="398B06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②各功能区之间应设有联系通道，有利于安全疏散和消防。分区内部和相互之间保持一定的通道和安全间距，厂区应有应急救援设施及救援通道。</w:t>
            </w:r>
          </w:p>
          <w:p w14:paraId="10ED33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③按照《建筑物防雷设计规范》（GB50057-2010）的要求对建、构筑物采取防直击雷、防雷电感应、防雷电波侵入的措施。</w:t>
            </w:r>
          </w:p>
          <w:p w14:paraId="59EDC9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2、管理措施</w:t>
            </w:r>
          </w:p>
          <w:p w14:paraId="77ABAD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本项目大气风险物质主要为沼气。沼气主要存在于</w:t>
            </w:r>
            <w:r>
              <w:rPr>
                <w:rFonts w:hint="eastAsia" w:ascii="Times New Roman" w:hAnsi="Times New Roman" w:eastAsia="宋体" w:cs="Times New Roman"/>
                <w:b w:val="0"/>
                <w:bCs/>
                <w:color w:val="auto"/>
                <w:sz w:val="24"/>
                <w:szCs w:val="24"/>
                <w:lang w:val="en-US" w:eastAsia="zh-CN"/>
              </w:rPr>
              <w:t>锅炉房</w:t>
            </w:r>
            <w:r>
              <w:rPr>
                <w:rFonts w:hint="default" w:ascii="Times New Roman" w:hAnsi="Times New Roman" w:eastAsia="宋体" w:cs="Times New Roman"/>
                <w:b w:val="0"/>
                <w:bCs/>
                <w:color w:val="auto"/>
                <w:sz w:val="24"/>
                <w:szCs w:val="24"/>
                <w:lang w:val="en-US" w:eastAsia="zh-CN"/>
              </w:rPr>
              <w:t>中。主要风险位置设有声光报警器、可燃气体报警装置。</w:t>
            </w:r>
          </w:p>
          <w:p w14:paraId="58051C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在</w:t>
            </w:r>
            <w:r>
              <w:rPr>
                <w:rFonts w:hint="eastAsia" w:ascii="Times New Roman" w:hAnsi="Times New Roman" w:eastAsia="宋体" w:cs="Times New Roman"/>
                <w:b w:val="0"/>
                <w:bCs/>
                <w:color w:val="auto"/>
                <w:sz w:val="24"/>
                <w:szCs w:val="24"/>
                <w:lang w:val="en-US" w:eastAsia="zh-CN"/>
              </w:rPr>
              <w:t>锅炉房内</w:t>
            </w:r>
            <w:r>
              <w:rPr>
                <w:rFonts w:hint="default" w:ascii="Times New Roman" w:hAnsi="Times New Roman" w:eastAsia="宋体" w:cs="Times New Roman"/>
                <w:b w:val="0"/>
                <w:bCs/>
                <w:color w:val="auto"/>
                <w:sz w:val="24"/>
                <w:szCs w:val="24"/>
                <w:lang w:val="en-US" w:eastAsia="zh-CN"/>
              </w:rPr>
              <w:t>安装泄漏报警装置，选用仪表装置控制或指示钟罩的最高、最低操作限位，施工由经过技术培训的施工人员安装。制订详细的操作规程及岗位安全作业指导书，并严格监督落实，强化安全管理，强化职工风险意识。沼气柜设置沼气探测器，探测器的信号传输到控制中心，当沼气发生泄漏时，能及时发现沼气泄漏的情况，确保安全操作。输送沼气导管上的阀门要灵活、严密，导气管应经常检查，确保不漏气；导气管上应装上压力表，压力过高应排出气体；压力不足时应停止使用，重新进料充气，以防止回火。使用沼气必须与可燃物保持一定的安全距离，以保证安全。厌氧发酵罐、沼气储柜检修时，必须提高警惕，事先采取安全措施，防止窒息和中毒事故的发生；控制与消除火源。严格控制设备质量及安装质量；严格按防火、防爆设计规范的要求进行设计，按规范设置消防系统，配置相应的灭火装置和设施。加强职工安全防范培训，强化生产操作规程，人员巡查点检等制度性措施。</w:t>
            </w:r>
          </w:p>
          <w:p w14:paraId="0FEB5F1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3、泄漏防范措施</w:t>
            </w:r>
          </w:p>
          <w:p w14:paraId="0BDE5B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厂区有沼气累积危险的场所全部配置沼气浓度报警装置，一旦沼气浓度达到报警浓度，全场启动应急排查检修设施。</w:t>
            </w:r>
            <w:r>
              <w:rPr>
                <w:rFonts w:hint="eastAsia" w:ascii="Times New Roman" w:hAnsi="Times New Roman" w:eastAsia="宋体" w:cs="Times New Roman"/>
                <w:b w:val="0"/>
                <w:bCs/>
                <w:color w:val="auto"/>
                <w:sz w:val="24"/>
                <w:szCs w:val="24"/>
                <w:lang w:val="en-US" w:eastAsia="zh-CN"/>
              </w:rPr>
              <w:t>沼气管道</w:t>
            </w:r>
            <w:r>
              <w:rPr>
                <w:rFonts w:hint="default" w:ascii="Times New Roman" w:hAnsi="Times New Roman" w:eastAsia="宋体" w:cs="Times New Roman"/>
                <w:b w:val="0"/>
                <w:bCs/>
                <w:color w:val="auto"/>
                <w:sz w:val="24"/>
                <w:szCs w:val="24"/>
                <w:lang w:val="en-US" w:eastAsia="zh-CN"/>
              </w:rPr>
              <w:t>一旦发生泄漏，自动报警设备将会自动报警，并会自动关闭所有</w:t>
            </w:r>
            <w:r>
              <w:rPr>
                <w:rFonts w:hint="eastAsia" w:ascii="Times New Roman" w:hAnsi="Times New Roman" w:eastAsia="宋体" w:cs="Times New Roman"/>
                <w:b w:val="0"/>
                <w:bCs/>
                <w:color w:val="auto"/>
                <w:sz w:val="24"/>
                <w:szCs w:val="24"/>
                <w:lang w:val="en-US" w:eastAsia="zh-CN"/>
              </w:rPr>
              <w:t>管道</w:t>
            </w:r>
            <w:r>
              <w:rPr>
                <w:rFonts w:hint="default" w:ascii="Times New Roman" w:hAnsi="Times New Roman" w:eastAsia="宋体" w:cs="Times New Roman"/>
                <w:b w:val="0"/>
                <w:bCs/>
                <w:color w:val="auto"/>
                <w:sz w:val="24"/>
                <w:szCs w:val="24"/>
                <w:lang w:val="en-US" w:eastAsia="zh-CN"/>
              </w:rPr>
              <w:t>的阀门，也可手动关闭</w:t>
            </w:r>
            <w:r>
              <w:rPr>
                <w:rFonts w:hint="eastAsia" w:ascii="Times New Roman" w:hAnsi="Times New Roman" w:eastAsia="宋体" w:cs="Times New Roman"/>
                <w:b w:val="0"/>
                <w:bCs/>
                <w:color w:val="auto"/>
                <w:sz w:val="24"/>
                <w:szCs w:val="24"/>
                <w:lang w:val="en-US" w:eastAsia="zh-CN"/>
              </w:rPr>
              <w:t>管道</w:t>
            </w:r>
            <w:r>
              <w:rPr>
                <w:rFonts w:hint="default" w:ascii="Times New Roman" w:hAnsi="Times New Roman" w:eastAsia="宋体" w:cs="Times New Roman"/>
                <w:b w:val="0"/>
                <w:bCs/>
                <w:color w:val="auto"/>
                <w:sz w:val="24"/>
                <w:szCs w:val="24"/>
                <w:lang w:val="en-US" w:eastAsia="zh-CN"/>
              </w:rPr>
              <w:t>阀门，以保证其它</w:t>
            </w:r>
            <w:r>
              <w:rPr>
                <w:rFonts w:hint="eastAsia" w:ascii="Times New Roman" w:hAnsi="Times New Roman" w:eastAsia="宋体" w:cs="Times New Roman"/>
                <w:b w:val="0"/>
                <w:bCs/>
                <w:color w:val="auto"/>
                <w:sz w:val="24"/>
                <w:szCs w:val="24"/>
                <w:lang w:val="en-US" w:eastAsia="zh-CN"/>
              </w:rPr>
              <w:t>沼气管道内</w:t>
            </w:r>
            <w:r>
              <w:rPr>
                <w:rFonts w:hint="default" w:ascii="Times New Roman" w:hAnsi="Times New Roman" w:eastAsia="宋体" w:cs="Times New Roman"/>
                <w:b w:val="0"/>
                <w:bCs/>
                <w:color w:val="auto"/>
                <w:sz w:val="24"/>
                <w:szCs w:val="24"/>
                <w:lang w:val="en-US" w:eastAsia="zh-CN"/>
              </w:rPr>
              <w:t>的沼气不发生泄漏。如果沼气</w:t>
            </w:r>
            <w:r>
              <w:rPr>
                <w:rFonts w:hint="eastAsia" w:ascii="Times New Roman" w:hAnsi="Times New Roman" w:eastAsia="宋体" w:cs="Times New Roman"/>
                <w:b w:val="0"/>
                <w:bCs/>
                <w:color w:val="auto"/>
                <w:sz w:val="24"/>
                <w:szCs w:val="24"/>
                <w:lang w:val="en-US" w:eastAsia="zh-CN"/>
              </w:rPr>
              <w:t>管道</w:t>
            </w:r>
            <w:r>
              <w:rPr>
                <w:rFonts w:hint="default" w:ascii="Times New Roman" w:hAnsi="Times New Roman" w:eastAsia="宋体" w:cs="Times New Roman"/>
                <w:b w:val="0"/>
                <w:bCs/>
                <w:color w:val="auto"/>
                <w:sz w:val="24"/>
                <w:szCs w:val="24"/>
                <w:lang w:val="en-US" w:eastAsia="zh-CN"/>
              </w:rPr>
              <w:t>发生少量长时间泄漏，可以立即切断气源，进行抢修，更不会造成打的安全隐患。</w:t>
            </w:r>
          </w:p>
          <w:p w14:paraId="1DCBD7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4、</w:t>
            </w:r>
            <w:r>
              <w:rPr>
                <w:rFonts w:hint="eastAsia" w:ascii="Times New Roman" w:hAnsi="Times New Roman" w:eastAsia="宋体" w:cs="Times New Roman"/>
                <w:b w:val="0"/>
                <w:bCs/>
                <w:color w:val="auto"/>
                <w:sz w:val="24"/>
                <w:szCs w:val="24"/>
                <w:lang w:val="en-US" w:eastAsia="zh-CN"/>
              </w:rPr>
              <w:t>废水集中收集池</w:t>
            </w:r>
            <w:r>
              <w:rPr>
                <w:rFonts w:hint="default" w:ascii="Times New Roman" w:hAnsi="Times New Roman" w:eastAsia="宋体" w:cs="Times New Roman"/>
                <w:b w:val="0"/>
                <w:bCs/>
                <w:color w:val="auto"/>
                <w:sz w:val="24"/>
                <w:szCs w:val="24"/>
                <w:lang w:val="en-US" w:eastAsia="zh-CN"/>
              </w:rPr>
              <w:t>泄漏风事故险防范措施</w:t>
            </w:r>
          </w:p>
          <w:p w14:paraId="5806B8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①当</w:t>
            </w:r>
            <w:r>
              <w:rPr>
                <w:rFonts w:hint="eastAsia" w:ascii="Times New Roman" w:hAnsi="Times New Roman" w:cs="Times New Roman"/>
                <w:b w:val="0"/>
                <w:bCs/>
                <w:color w:val="auto"/>
                <w:sz w:val="24"/>
                <w:szCs w:val="24"/>
                <w:lang w:val="en-US" w:eastAsia="zh-CN"/>
              </w:rPr>
              <w:t>废水运输管道</w:t>
            </w:r>
            <w:r>
              <w:rPr>
                <w:rFonts w:hint="default" w:ascii="Times New Roman" w:hAnsi="Times New Roman" w:eastAsia="宋体" w:cs="Times New Roman"/>
                <w:b w:val="0"/>
                <w:bCs/>
                <w:color w:val="auto"/>
                <w:sz w:val="24"/>
                <w:szCs w:val="24"/>
                <w:lang w:val="en-US" w:eastAsia="zh-CN"/>
              </w:rPr>
              <w:t>内的</w:t>
            </w:r>
            <w:r>
              <w:rPr>
                <w:rFonts w:hint="eastAsia" w:ascii="Times New Roman" w:hAnsi="Times New Roman" w:eastAsia="宋体" w:cs="Times New Roman"/>
                <w:b w:val="0"/>
                <w:bCs/>
                <w:color w:val="auto"/>
                <w:sz w:val="24"/>
                <w:szCs w:val="24"/>
                <w:lang w:val="en-US" w:eastAsia="zh-CN"/>
              </w:rPr>
              <w:t>废水</w:t>
            </w:r>
            <w:r>
              <w:rPr>
                <w:rFonts w:hint="default" w:ascii="Times New Roman" w:hAnsi="Times New Roman" w:eastAsia="宋体" w:cs="Times New Roman"/>
                <w:b w:val="0"/>
                <w:bCs/>
                <w:color w:val="auto"/>
                <w:sz w:val="24"/>
                <w:szCs w:val="24"/>
                <w:lang w:val="en-US" w:eastAsia="zh-CN"/>
              </w:rPr>
              <w:t>发生泄漏事故时，首先切断</w:t>
            </w:r>
            <w:r>
              <w:rPr>
                <w:rFonts w:hint="eastAsia" w:ascii="Times New Roman" w:hAnsi="Times New Roman" w:eastAsia="宋体" w:cs="Times New Roman"/>
                <w:b w:val="0"/>
                <w:bCs/>
                <w:color w:val="auto"/>
                <w:sz w:val="24"/>
                <w:szCs w:val="24"/>
                <w:lang w:val="en-US" w:eastAsia="zh-CN"/>
              </w:rPr>
              <w:t>厂区</w:t>
            </w:r>
            <w:r>
              <w:rPr>
                <w:rFonts w:hint="eastAsia" w:ascii="Times New Roman" w:hAnsi="Times New Roman" w:cs="Times New Roman"/>
                <w:b w:val="0"/>
                <w:bCs/>
                <w:color w:val="auto"/>
                <w:sz w:val="24"/>
                <w:szCs w:val="24"/>
                <w:lang w:val="en-US" w:eastAsia="zh-CN"/>
              </w:rPr>
              <w:t>废水运输管道</w:t>
            </w:r>
            <w:r>
              <w:rPr>
                <w:rFonts w:hint="default" w:ascii="Times New Roman" w:hAnsi="Times New Roman" w:eastAsia="宋体" w:cs="Times New Roman"/>
                <w:b w:val="0"/>
                <w:bCs/>
                <w:color w:val="auto"/>
                <w:sz w:val="24"/>
                <w:szCs w:val="24"/>
                <w:lang w:val="en-US" w:eastAsia="zh-CN"/>
              </w:rPr>
              <w:t>阀</w:t>
            </w:r>
            <w:r>
              <w:rPr>
                <w:rFonts w:hint="eastAsia" w:ascii="Times New Roman" w:hAnsi="Times New Roman" w:cs="Times New Roman"/>
                <w:b w:val="0"/>
                <w:bCs/>
                <w:color w:val="auto"/>
                <w:sz w:val="24"/>
                <w:szCs w:val="24"/>
                <w:lang w:val="en-US" w:eastAsia="zh-CN"/>
              </w:rPr>
              <w:t>门和厂区雨水阀门</w:t>
            </w:r>
            <w:r>
              <w:rPr>
                <w:rFonts w:hint="default" w:ascii="Times New Roman" w:hAnsi="Times New Roman" w:eastAsia="宋体" w:cs="Times New Roman"/>
                <w:b w:val="0"/>
                <w:bCs/>
                <w:color w:val="auto"/>
                <w:sz w:val="24"/>
                <w:szCs w:val="24"/>
                <w:lang w:val="en-US" w:eastAsia="zh-CN"/>
              </w:rPr>
              <w:t>，防止泄漏</w:t>
            </w:r>
            <w:r>
              <w:rPr>
                <w:rFonts w:hint="eastAsia" w:ascii="Times New Roman" w:hAnsi="Times New Roman" w:eastAsia="宋体" w:cs="Times New Roman"/>
                <w:b w:val="0"/>
                <w:bCs/>
                <w:color w:val="auto"/>
                <w:sz w:val="24"/>
                <w:szCs w:val="24"/>
                <w:lang w:val="en-US" w:eastAsia="zh-CN"/>
              </w:rPr>
              <w:t>废水</w:t>
            </w:r>
            <w:r>
              <w:rPr>
                <w:rFonts w:hint="default" w:ascii="Times New Roman" w:hAnsi="Times New Roman" w:eastAsia="宋体" w:cs="Times New Roman"/>
                <w:b w:val="0"/>
                <w:bCs/>
                <w:color w:val="auto"/>
                <w:sz w:val="24"/>
                <w:szCs w:val="24"/>
                <w:lang w:val="en-US" w:eastAsia="zh-CN"/>
              </w:rPr>
              <w:t>进入雨水系统，尽可能切断泄漏源</w:t>
            </w:r>
            <w:r>
              <w:rPr>
                <w:rFonts w:hint="eastAsia" w:ascii="Times New Roman" w:hAnsi="Times New Roman" w:eastAsia="宋体" w:cs="Times New Roman"/>
                <w:b w:val="0"/>
                <w:bCs/>
                <w:color w:val="auto"/>
                <w:sz w:val="24"/>
                <w:szCs w:val="24"/>
                <w:lang w:val="en-US" w:eastAsia="zh-CN"/>
              </w:rPr>
              <w:t>，</w:t>
            </w:r>
            <w:r>
              <w:rPr>
                <w:rFonts w:hint="eastAsia" w:ascii="Times New Roman" w:hAnsi="Times New Roman" w:cs="Times New Roman"/>
                <w:b w:val="0"/>
                <w:bCs/>
                <w:color w:val="auto"/>
                <w:sz w:val="24"/>
                <w:szCs w:val="24"/>
                <w:lang w:val="en-US" w:eastAsia="zh-CN"/>
              </w:rPr>
              <w:t>并在</w:t>
            </w:r>
            <w:r>
              <w:rPr>
                <w:rFonts w:hint="eastAsia" w:ascii="Times New Roman" w:hAnsi="Times New Roman" w:eastAsia="宋体" w:cs="Times New Roman"/>
                <w:b w:val="0"/>
                <w:bCs/>
                <w:color w:val="auto"/>
                <w:sz w:val="24"/>
                <w:szCs w:val="24"/>
                <w:lang w:val="en-US" w:eastAsia="zh-CN"/>
              </w:rPr>
              <w:t>保证</w:t>
            </w:r>
            <w:r>
              <w:rPr>
                <w:rFonts w:hint="eastAsia" w:ascii="Times New Roman" w:hAnsi="Times New Roman" w:cs="Times New Roman"/>
                <w:b w:val="0"/>
                <w:bCs/>
                <w:color w:val="auto"/>
                <w:sz w:val="24"/>
                <w:szCs w:val="24"/>
                <w:lang w:val="en-US" w:eastAsia="zh-CN"/>
              </w:rPr>
              <w:t>废水运输管道</w:t>
            </w:r>
            <w:r>
              <w:rPr>
                <w:rFonts w:hint="default" w:ascii="Times New Roman" w:hAnsi="Times New Roman" w:eastAsia="宋体" w:cs="Times New Roman"/>
                <w:b w:val="0"/>
                <w:bCs/>
                <w:color w:val="auto"/>
                <w:sz w:val="24"/>
                <w:szCs w:val="24"/>
                <w:lang w:val="en-US" w:eastAsia="zh-CN"/>
              </w:rPr>
              <w:t>内的</w:t>
            </w:r>
            <w:r>
              <w:rPr>
                <w:rFonts w:hint="eastAsia" w:ascii="Times New Roman" w:hAnsi="Times New Roman" w:eastAsia="宋体" w:cs="Times New Roman"/>
                <w:b w:val="0"/>
                <w:bCs/>
                <w:color w:val="auto"/>
                <w:sz w:val="24"/>
                <w:szCs w:val="24"/>
                <w:lang w:val="en-US" w:eastAsia="zh-CN"/>
              </w:rPr>
              <w:t>的高浓度废水保存于</w:t>
            </w:r>
            <w:r>
              <w:rPr>
                <w:rFonts w:hint="eastAsia" w:ascii="Times New Roman" w:hAnsi="Times New Roman" w:cs="Times New Roman"/>
                <w:b w:val="0"/>
                <w:bCs/>
                <w:color w:val="auto"/>
                <w:sz w:val="24"/>
                <w:szCs w:val="24"/>
                <w:lang w:val="en-US" w:eastAsia="zh-CN"/>
              </w:rPr>
              <w:t>废水运输管道的沟渠</w:t>
            </w:r>
            <w:r>
              <w:rPr>
                <w:rFonts w:hint="eastAsia" w:ascii="Times New Roman" w:hAnsi="Times New Roman" w:eastAsia="宋体" w:cs="Times New Roman"/>
                <w:b w:val="0"/>
                <w:bCs/>
                <w:color w:val="auto"/>
                <w:sz w:val="24"/>
                <w:szCs w:val="24"/>
                <w:lang w:val="en-US" w:eastAsia="zh-CN"/>
              </w:rPr>
              <w:t>内</w:t>
            </w:r>
            <w:r>
              <w:rPr>
                <w:rFonts w:hint="default" w:ascii="Times New Roman" w:hAnsi="Times New Roman" w:eastAsia="宋体" w:cs="Times New Roman"/>
                <w:b w:val="0"/>
                <w:bCs/>
                <w:color w:val="auto"/>
                <w:sz w:val="24"/>
                <w:szCs w:val="24"/>
                <w:lang w:val="en-US" w:eastAsia="zh-CN"/>
              </w:rPr>
              <w:t>。</w:t>
            </w:r>
          </w:p>
          <w:p w14:paraId="2BDFA1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②严格执行国家有关安全生产的规定，采取生产、贮存的安全技术措施，遵守工业设计防火规定和规范。</w:t>
            </w:r>
          </w:p>
          <w:p w14:paraId="4463BC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③建立健全安全生产责任制实行定期性安全检查，定期对各管道、阀门进行检修，及时发现事故隐患并迅速给以消除。</w:t>
            </w:r>
          </w:p>
          <w:p w14:paraId="385B1A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④增强安全意识，加强安全教育，增强职工安全意识，认真贯彻安全法规和制度，防止人的错误行为，制定相应的应急措施。</w:t>
            </w:r>
          </w:p>
          <w:p w14:paraId="43EA2A8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5、废水事故排放防范措施</w:t>
            </w:r>
          </w:p>
          <w:p w14:paraId="59FB47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①提高事故缓冲能力为了保证事故状态下迅速恢复处理工程的正常运行，并配备相应的处理设备（如回流泵、回流管道、仪表及阀门等）。</w:t>
            </w:r>
          </w:p>
          <w:p w14:paraId="142A39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②配备流量、水质自动分析监测仪器操作人员应及时调整运行参数，使设备处于最佳工况，以确保处理效果最佳。</w:t>
            </w:r>
          </w:p>
          <w:p w14:paraId="0BFA94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③选用优质设备污水处理工程各种机械电器、仪表，必须选择质量优良、故障率低、便于维修的产品。关键设备一备一用，易损配件应有备用，在出现故障时应尽快更换。</w:t>
            </w:r>
          </w:p>
          <w:p w14:paraId="1C7A2D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④加强事故苗头监控定期巡查、调节、保养、维修，及时发现有可能引起的事故异常运行苗头。主要操作人员上岗前应严格进行理论和实际操作培训。</w:t>
            </w:r>
          </w:p>
          <w:p w14:paraId="7732F3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6</w:t>
            </w:r>
            <w:r>
              <w:rPr>
                <w:rFonts w:hint="default" w:ascii="Times New Roman" w:hAnsi="Times New Roman" w:eastAsia="宋体" w:cs="Times New Roman"/>
                <w:b w:val="0"/>
                <w:bCs/>
                <w:color w:val="auto"/>
                <w:sz w:val="24"/>
                <w:szCs w:val="24"/>
                <w:lang w:val="en-US" w:eastAsia="zh-CN"/>
              </w:rPr>
              <w:t>、地表水环境风险防范措施</w:t>
            </w:r>
          </w:p>
          <w:p w14:paraId="0C2444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本项目生产废水经管道进入</w:t>
            </w:r>
            <w:r>
              <w:rPr>
                <w:rFonts w:hint="eastAsia" w:ascii="Times New Roman" w:hAnsi="Times New Roman" w:eastAsia="宋体" w:cs="Times New Roman"/>
                <w:b w:val="0"/>
                <w:bCs/>
                <w:color w:val="auto"/>
                <w:sz w:val="24"/>
                <w:szCs w:val="24"/>
                <w:lang w:val="en-US" w:eastAsia="zh-CN"/>
              </w:rPr>
              <w:t>沼气发电系统预处理池</w:t>
            </w:r>
            <w:r>
              <w:rPr>
                <w:rFonts w:hint="default" w:ascii="Times New Roman" w:hAnsi="Times New Roman" w:eastAsia="宋体" w:cs="Times New Roman"/>
                <w:b w:val="0"/>
                <w:bCs/>
                <w:color w:val="auto"/>
                <w:sz w:val="24"/>
                <w:szCs w:val="24"/>
                <w:lang w:val="en-US" w:eastAsia="zh-CN"/>
              </w:rPr>
              <w:t>进行原料的混合利用，不对外进行排放。</w:t>
            </w:r>
          </w:p>
          <w:p w14:paraId="07D500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7</w:t>
            </w:r>
            <w:r>
              <w:rPr>
                <w:rFonts w:hint="default" w:ascii="Times New Roman" w:hAnsi="Times New Roman" w:eastAsia="宋体" w:cs="Times New Roman"/>
                <w:b w:val="0"/>
                <w:bCs/>
                <w:color w:val="auto"/>
                <w:sz w:val="24"/>
                <w:szCs w:val="24"/>
                <w:lang w:val="en-US" w:eastAsia="zh-CN"/>
              </w:rPr>
              <w:t>、事故废水设置及收集措施</w:t>
            </w:r>
          </w:p>
          <w:p w14:paraId="5A3D1D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根据《化工建设项目环境保护工程设计标准》（GB/T50483-2019）和《事故状态下水体污染的预防与控制规范》（Q/SY08190-2019）中的相关规定设置。事故池主要用于区内发生事故或火灾时，控制、收集和存放污染事故水（包括污染雨水）及污染消防水。污染事故水及污染消防水通过雨水的管道收集。事故废水量按下式计算：</w:t>
            </w:r>
          </w:p>
          <w:p w14:paraId="41A15F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V总=（V</w:t>
            </w:r>
            <w:r>
              <w:rPr>
                <w:rFonts w:hint="default" w:ascii="Times New Roman" w:hAnsi="Times New Roman" w:eastAsia="宋体" w:cs="Times New Roman"/>
                <w:b w:val="0"/>
                <w:bCs/>
                <w:color w:val="auto"/>
                <w:sz w:val="24"/>
                <w:szCs w:val="24"/>
                <w:vertAlign w:val="subscript"/>
                <w:lang w:val="en-US" w:eastAsia="zh-CN"/>
              </w:rPr>
              <w:t>1</w:t>
            </w: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2</w:t>
            </w: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3</w:t>
            </w:r>
            <w:r>
              <w:rPr>
                <w:rFonts w:hint="default" w:ascii="Times New Roman" w:hAnsi="Times New Roman" w:eastAsia="宋体" w:cs="Times New Roman"/>
                <w:b w:val="0"/>
                <w:bCs/>
                <w:color w:val="auto"/>
                <w:sz w:val="24"/>
                <w:szCs w:val="24"/>
                <w:lang w:val="en-US" w:eastAsia="zh-CN"/>
              </w:rPr>
              <w:t>）max+V</w:t>
            </w:r>
            <w:r>
              <w:rPr>
                <w:rFonts w:hint="default" w:ascii="Times New Roman" w:hAnsi="Times New Roman" w:eastAsia="宋体" w:cs="Times New Roman"/>
                <w:b w:val="0"/>
                <w:bCs/>
                <w:color w:val="auto"/>
                <w:sz w:val="24"/>
                <w:szCs w:val="24"/>
                <w:vertAlign w:val="subscript"/>
                <w:lang w:val="en-US" w:eastAsia="zh-CN"/>
              </w:rPr>
              <w:t>4</w:t>
            </w: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5</w:t>
            </w:r>
          </w:p>
          <w:p w14:paraId="3C25D3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2</w:t>
            </w:r>
            <w:r>
              <w:rPr>
                <w:rFonts w:hint="default" w:ascii="Times New Roman" w:hAnsi="Times New Roman" w:eastAsia="宋体" w:cs="Times New Roman"/>
                <w:b w:val="0"/>
                <w:bCs/>
                <w:color w:val="auto"/>
                <w:sz w:val="24"/>
                <w:szCs w:val="24"/>
                <w:lang w:val="en-US" w:eastAsia="zh-CN"/>
              </w:rPr>
              <w:t>=∑Q消×t消</w:t>
            </w:r>
          </w:p>
          <w:p w14:paraId="015995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5</w:t>
            </w:r>
            <w:r>
              <w:rPr>
                <w:rFonts w:hint="default" w:ascii="Times New Roman" w:hAnsi="Times New Roman" w:eastAsia="宋体" w:cs="Times New Roman"/>
                <w:b w:val="0"/>
                <w:bCs/>
                <w:color w:val="auto"/>
                <w:sz w:val="24"/>
                <w:szCs w:val="24"/>
                <w:lang w:val="en-US" w:eastAsia="zh-CN"/>
              </w:rPr>
              <w:t>=10q×f</w:t>
            </w:r>
          </w:p>
          <w:p w14:paraId="204515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q=qa/n</w:t>
            </w:r>
          </w:p>
          <w:p w14:paraId="3ACD4F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式中：</w:t>
            </w:r>
          </w:p>
          <w:p w14:paraId="0B1E24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V总：事故缓冲设施总有效容积，（m³）；</w:t>
            </w:r>
          </w:p>
          <w:p w14:paraId="5C5175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1</w:t>
            </w:r>
            <w:r>
              <w:rPr>
                <w:rFonts w:hint="default" w:ascii="Times New Roman" w:hAnsi="Times New Roman" w:eastAsia="宋体" w:cs="Times New Roman"/>
                <w:b w:val="0"/>
                <w:bCs/>
                <w:color w:val="auto"/>
                <w:sz w:val="24"/>
                <w:szCs w:val="24"/>
                <w:lang w:val="en-US" w:eastAsia="zh-CN"/>
              </w:rPr>
              <w:t>：收集系统范围内发生事故的物料量，（m³）；</w:t>
            </w:r>
          </w:p>
          <w:p w14:paraId="751669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2</w:t>
            </w:r>
            <w:r>
              <w:rPr>
                <w:rFonts w:hint="default" w:ascii="Times New Roman" w:hAnsi="Times New Roman" w:eastAsia="宋体" w:cs="Times New Roman"/>
                <w:b w:val="0"/>
                <w:bCs/>
                <w:color w:val="auto"/>
                <w:sz w:val="24"/>
                <w:szCs w:val="24"/>
                <w:lang w:val="en-US" w:eastAsia="zh-CN"/>
              </w:rPr>
              <w:t>：发生事故的储罐、装置的消防水量，（m³）；</w:t>
            </w:r>
          </w:p>
          <w:p w14:paraId="622C96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Q消：发生事故的储罐、装置同时使用的消防设施给水流量，（m³/h）；</w:t>
            </w:r>
          </w:p>
          <w:p w14:paraId="06CD61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t消：消防设施对应的设计消防历时，（h）；</w:t>
            </w:r>
          </w:p>
          <w:p w14:paraId="1A34633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3</w:t>
            </w:r>
            <w:r>
              <w:rPr>
                <w:rFonts w:hint="default" w:ascii="Times New Roman" w:hAnsi="Times New Roman" w:eastAsia="宋体" w:cs="Times New Roman"/>
                <w:b w:val="0"/>
                <w:bCs/>
                <w:color w:val="auto"/>
                <w:sz w:val="24"/>
                <w:szCs w:val="24"/>
                <w:lang w:val="en-US" w:eastAsia="zh-CN"/>
              </w:rPr>
              <w:t>：发生事故时可以转输到其他储存或处理设施的物料量，（m³）；</w:t>
            </w:r>
          </w:p>
          <w:p w14:paraId="761921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4</w:t>
            </w:r>
            <w:r>
              <w:rPr>
                <w:rFonts w:hint="default" w:ascii="Times New Roman" w:hAnsi="Times New Roman" w:eastAsia="宋体" w:cs="Times New Roman"/>
                <w:b w:val="0"/>
                <w:bCs/>
                <w:color w:val="auto"/>
                <w:sz w:val="24"/>
                <w:szCs w:val="24"/>
                <w:lang w:val="en-US" w:eastAsia="zh-CN"/>
              </w:rPr>
              <w:t>：发生事故时仍必须进入该收集系统的生产废水量，（m³）；</w:t>
            </w:r>
          </w:p>
          <w:p w14:paraId="08DEF5C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5</w:t>
            </w:r>
            <w:r>
              <w:rPr>
                <w:rFonts w:hint="default" w:ascii="Times New Roman" w:hAnsi="Times New Roman" w:eastAsia="宋体" w:cs="Times New Roman"/>
                <w:b w:val="0"/>
                <w:bCs/>
                <w:color w:val="auto"/>
                <w:sz w:val="24"/>
                <w:szCs w:val="24"/>
                <w:lang w:val="en-US" w:eastAsia="zh-CN"/>
              </w:rPr>
              <w:t>：发生事故时可能进入该收集系统的降雨量，（m³）；</w:t>
            </w:r>
          </w:p>
          <w:p w14:paraId="44C931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q：降雨强度，按平均日降雨量，（mm）；</w:t>
            </w:r>
          </w:p>
          <w:p w14:paraId="448CBB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项目雨水量主要与场地范围内的大气降水、汇水面积、径流系数和场地地质条件等因素有关，随季节性变化较大。项目现有工程雨污分流，但未对初期雨水进行收集，由于本项目在产业园类相对独立，有单独位置以及明确厂界范围，因此本次初期雨水按本项目范围考虑进行收集，根据淮南市暴雨强度，按下式计算：</w:t>
            </w:r>
          </w:p>
          <w:p w14:paraId="2FA6F0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q=</w:t>
            </w:r>
            <w:r>
              <w:rPr>
                <w:rFonts w:hint="eastAsia" w:ascii="Times New Roman" w:hAnsi="Times New Roman" w:eastAsia="宋体" w:cs="Times New Roman"/>
                <w:b w:val="0"/>
                <w:bCs/>
                <w:color w:val="auto"/>
                <w:sz w:val="24"/>
                <w:szCs w:val="24"/>
                <w:lang w:val="en-US" w:eastAsia="zh-CN"/>
              </w:rPr>
              <w:t>1693.951</w:t>
            </w:r>
            <w:r>
              <w:rPr>
                <w:rFonts w:hint="default" w:ascii="Times New Roman" w:hAnsi="Times New Roman" w:eastAsia="宋体" w:cs="Times New Roman"/>
                <w:b w:val="0"/>
                <w:bCs/>
                <w:color w:val="auto"/>
                <w:sz w:val="24"/>
                <w:szCs w:val="24"/>
                <w:lang w:val="en-US" w:eastAsia="zh-CN"/>
              </w:rPr>
              <w:t>（1+0.</w:t>
            </w:r>
            <w:r>
              <w:rPr>
                <w:rFonts w:hint="eastAsia" w:ascii="Times New Roman" w:hAnsi="Times New Roman" w:eastAsia="宋体" w:cs="Times New Roman"/>
                <w:b w:val="0"/>
                <w:bCs/>
                <w:color w:val="auto"/>
                <w:sz w:val="24"/>
                <w:szCs w:val="24"/>
                <w:lang w:val="en-US" w:eastAsia="zh-CN"/>
              </w:rPr>
              <w:t>971854</w:t>
            </w:r>
            <w:r>
              <w:rPr>
                <w:rFonts w:hint="default" w:ascii="Times New Roman" w:hAnsi="Times New Roman" w:eastAsia="宋体" w:cs="Times New Roman"/>
                <w:b w:val="0"/>
                <w:bCs/>
                <w:color w:val="auto"/>
                <w:sz w:val="24"/>
                <w:szCs w:val="24"/>
                <w:lang w:val="en-US" w:eastAsia="zh-CN"/>
              </w:rPr>
              <w:t>lgP）/（t+</w:t>
            </w:r>
            <w:r>
              <w:rPr>
                <w:rFonts w:hint="eastAsia" w:ascii="Times New Roman" w:hAnsi="Times New Roman" w:eastAsia="宋体" w:cs="Times New Roman"/>
                <w:b w:val="0"/>
                <w:bCs/>
                <w:color w:val="auto"/>
                <w:sz w:val="24"/>
                <w:szCs w:val="24"/>
                <w:lang w:val="en-US" w:eastAsia="zh-CN"/>
              </w:rPr>
              <w:t>7.691</w:t>
            </w:r>
            <w:r>
              <w:rPr>
                <w:rFonts w:hint="default" w:ascii="Times New Roman" w:hAnsi="Times New Roman" w:eastAsia="宋体" w:cs="Times New Roman"/>
                <w:b w:val="0"/>
                <w:bCs/>
                <w:color w:val="auto"/>
                <w:sz w:val="24"/>
                <w:szCs w:val="24"/>
                <w:lang w:val="en-US" w:eastAsia="zh-CN"/>
              </w:rPr>
              <w:t>）0.</w:t>
            </w:r>
            <w:r>
              <w:rPr>
                <w:rFonts w:hint="eastAsia" w:ascii="Times New Roman" w:hAnsi="Times New Roman" w:eastAsia="宋体" w:cs="Times New Roman"/>
                <w:b w:val="0"/>
                <w:bCs/>
                <w:color w:val="auto"/>
                <w:sz w:val="24"/>
                <w:szCs w:val="24"/>
                <w:lang w:val="en-US" w:eastAsia="zh-CN"/>
              </w:rPr>
              <w:t>609</w:t>
            </w:r>
          </w:p>
          <w:p w14:paraId="143F70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式中：P为设计重现期，一般地区取3年，重要地区取5年；</w:t>
            </w:r>
          </w:p>
          <w:p w14:paraId="362307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t为设计降雨历时，采用15分钟；</w:t>
            </w:r>
          </w:p>
          <w:p w14:paraId="7D5523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经计算，暴雨强度为134.285升</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（秒</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公顷）</w:t>
            </w:r>
            <w:r>
              <w:rPr>
                <w:rFonts w:hint="default" w:ascii="Times New Roman" w:hAnsi="Times New Roman" w:eastAsia="宋体" w:cs="Times New Roman"/>
                <w:b w:val="0"/>
                <w:bCs/>
                <w:color w:val="auto"/>
                <w:sz w:val="24"/>
                <w:szCs w:val="24"/>
                <w:lang w:val="en-US" w:eastAsia="zh-CN"/>
              </w:rPr>
              <w:t>；</w:t>
            </w:r>
          </w:p>
          <w:p w14:paraId="3ADED2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初期雨水排放量公式：</w:t>
            </w:r>
            <w:r>
              <w:rPr>
                <w:rFonts w:hint="default" w:ascii="Times New Roman" w:hAnsi="Times New Roman" w:eastAsia="宋体" w:cs="Times New Roman"/>
                <w:b w:val="0"/>
                <w:bCs/>
                <w:color w:val="auto"/>
                <w:sz w:val="24"/>
                <w:szCs w:val="24"/>
                <w:lang w:val="en-US" w:eastAsia="zh-CN"/>
              </w:rPr>
              <w:t>Q</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q×Ψ×F×T</w:t>
            </w:r>
          </w:p>
          <w:p w14:paraId="289FA7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式中：</w:t>
            </w:r>
            <w:r>
              <w:rPr>
                <w:rFonts w:hint="default" w:ascii="Times New Roman" w:hAnsi="Times New Roman" w:eastAsia="宋体" w:cs="Times New Roman"/>
                <w:b w:val="0"/>
                <w:bCs/>
                <w:color w:val="auto"/>
                <w:sz w:val="24"/>
                <w:szCs w:val="24"/>
                <w:lang w:val="en-US" w:eastAsia="zh-CN"/>
              </w:rPr>
              <w:t>q——</w:t>
            </w:r>
            <w:r>
              <w:rPr>
                <w:rFonts w:hint="eastAsia" w:ascii="Times New Roman" w:hAnsi="Times New Roman" w:eastAsia="宋体" w:cs="Times New Roman"/>
                <w:b w:val="0"/>
                <w:bCs/>
                <w:color w:val="auto"/>
                <w:sz w:val="24"/>
                <w:szCs w:val="24"/>
                <w:lang w:val="en-US" w:eastAsia="zh-CN"/>
              </w:rPr>
              <w:t>暴雨强度；</w:t>
            </w:r>
          </w:p>
          <w:p w14:paraId="186321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Ψ——</w:t>
            </w:r>
            <w:r>
              <w:rPr>
                <w:rFonts w:hint="eastAsia" w:ascii="Times New Roman" w:hAnsi="Times New Roman" w:eastAsia="宋体" w:cs="Times New Roman"/>
                <w:b w:val="0"/>
                <w:bCs/>
                <w:color w:val="auto"/>
                <w:sz w:val="24"/>
                <w:szCs w:val="24"/>
                <w:lang w:val="en-US" w:eastAsia="zh-CN"/>
              </w:rPr>
              <w:t>径流系数（取</w:t>
            </w:r>
            <w:r>
              <w:rPr>
                <w:rFonts w:hint="default" w:ascii="Times New Roman" w:hAnsi="Times New Roman" w:eastAsia="宋体" w:cs="Times New Roman"/>
                <w:b w:val="0"/>
                <w:bCs/>
                <w:color w:val="auto"/>
                <w:sz w:val="24"/>
                <w:szCs w:val="24"/>
                <w:lang w:val="en-US" w:eastAsia="zh-CN"/>
              </w:rPr>
              <w:t>0.65</w:t>
            </w:r>
            <w:r>
              <w:rPr>
                <w:rFonts w:hint="eastAsia" w:ascii="Times New Roman" w:hAnsi="Times New Roman" w:eastAsia="宋体" w:cs="Times New Roman"/>
                <w:b w:val="0"/>
                <w:bCs/>
                <w:color w:val="auto"/>
                <w:sz w:val="24"/>
                <w:szCs w:val="24"/>
                <w:lang w:val="en-US" w:eastAsia="zh-CN"/>
              </w:rPr>
              <w:t>）；</w:t>
            </w:r>
          </w:p>
          <w:p w14:paraId="150B2E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F——</w:t>
            </w:r>
            <w:r>
              <w:rPr>
                <w:rFonts w:hint="eastAsia" w:ascii="Times New Roman" w:hAnsi="Times New Roman" w:eastAsia="宋体" w:cs="Times New Roman"/>
                <w:b w:val="0"/>
                <w:bCs/>
                <w:color w:val="auto"/>
                <w:sz w:val="24"/>
                <w:szCs w:val="24"/>
                <w:lang w:val="en-US" w:eastAsia="zh-CN"/>
              </w:rPr>
              <w:t>汇水面积（约0.360</w:t>
            </w:r>
            <w:r>
              <w:rPr>
                <w:rFonts w:hint="default" w:ascii="Times New Roman" w:hAnsi="Times New Roman" w:eastAsia="宋体" w:cs="Times New Roman"/>
                <w:b w:val="0"/>
                <w:bCs/>
                <w:color w:val="auto"/>
                <w:sz w:val="24"/>
                <w:szCs w:val="24"/>
                <w:lang w:val="en-US" w:eastAsia="zh-CN"/>
              </w:rPr>
              <w:t>ha</w:t>
            </w:r>
            <w:r>
              <w:rPr>
                <w:rFonts w:hint="eastAsia" w:ascii="Times New Roman" w:hAnsi="Times New Roman" w:eastAsia="宋体" w:cs="Times New Roman"/>
                <w:b w:val="0"/>
                <w:bCs/>
                <w:color w:val="auto"/>
                <w:sz w:val="24"/>
                <w:szCs w:val="24"/>
                <w:lang w:val="en-US" w:eastAsia="zh-CN"/>
              </w:rPr>
              <w:t>）；</w:t>
            </w:r>
          </w:p>
          <w:p w14:paraId="62520E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T——</w:t>
            </w:r>
            <w:r>
              <w:rPr>
                <w:rFonts w:hint="eastAsia" w:ascii="Times New Roman" w:hAnsi="Times New Roman" w:eastAsia="宋体" w:cs="Times New Roman"/>
                <w:b w:val="0"/>
                <w:bCs/>
                <w:color w:val="auto"/>
                <w:sz w:val="24"/>
                <w:szCs w:val="24"/>
                <w:lang w:val="en-US" w:eastAsia="zh-CN"/>
              </w:rPr>
              <w:t>收水时间，按</w:t>
            </w:r>
            <w:r>
              <w:rPr>
                <w:rFonts w:hint="default" w:ascii="Times New Roman" w:hAnsi="Times New Roman" w:eastAsia="宋体" w:cs="Times New Roman"/>
                <w:b w:val="0"/>
                <w:bCs/>
                <w:color w:val="auto"/>
                <w:sz w:val="24"/>
                <w:szCs w:val="24"/>
                <w:lang w:val="en-US" w:eastAsia="zh-CN"/>
              </w:rPr>
              <w:t>15min</w:t>
            </w:r>
            <w:r>
              <w:rPr>
                <w:rFonts w:hint="eastAsia" w:ascii="Times New Roman" w:hAnsi="Times New Roman" w:eastAsia="宋体" w:cs="Times New Roman"/>
                <w:b w:val="0"/>
                <w:bCs/>
                <w:color w:val="auto"/>
                <w:sz w:val="24"/>
                <w:szCs w:val="24"/>
                <w:lang w:val="en-US" w:eastAsia="zh-CN"/>
              </w:rPr>
              <w:t>计算。</w:t>
            </w:r>
          </w:p>
          <w:p w14:paraId="5D7983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计算可得最大初期雨水需收集量</w:t>
            </w:r>
            <w:r>
              <w:rPr>
                <w:rFonts w:hint="default" w:ascii="Times New Roman" w:hAnsi="Times New Roman" w:eastAsia="宋体" w:cs="Times New Roman"/>
                <w:b w:val="0"/>
                <w:bCs/>
                <w:color w:val="auto"/>
                <w:sz w:val="24"/>
                <w:szCs w:val="24"/>
                <w:lang w:val="en-US" w:eastAsia="zh-CN"/>
              </w:rPr>
              <w:t>Q=</w:t>
            </w:r>
            <w:r>
              <w:rPr>
                <w:rFonts w:hint="eastAsia" w:ascii="Times New Roman" w:hAnsi="Times New Roman" w:eastAsia="宋体" w:cs="Times New Roman"/>
                <w:b w:val="0"/>
                <w:bCs/>
                <w:color w:val="auto"/>
                <w:sz w:val="24"/>
                <w:szCs w:val="24"/>
                <w:lang w:val="en-US" w:eastAsia="zh-CN"/>
              </w:rPr>
              <w:t>112.5</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/次</w:t>
            </w:r>
            <w:r>
              <w:rPr>
                <w:rFonts w:hint="default" w:ascii="Times New Roman" w:hAnsi="Times New Roman" w:eastAsia="宋体" w:cs="Times New Roman"/>
                <w:b w:val="0"/>
                <w:bCs/>
                <w:color w:val="auto"/>
                <w:sz w:val="24"/>
                <w:szCs w:val="24"/>
                <w:lang w:val="en-US" w:eastAsia="zh-CN"/>
              </w:rPr>
              <w:t>；</w:t>
            </w:r>
          </w:p>
          <w:p w14:paraId="697EFC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bookmarkStart w:id="27" w:name="_Hlk146528478"/>
            <w:r>
              <w:rPr>
                <w:rFonts w:hint="eastAsia" w:ascii="Times New Roman" w:hAnsi="Times New Roman" w:eastAsia="宋体" w:cs="Times New Roman"/>
                <w:b w:val="0"/>
                <w:bCs/>
                <w:color w:val="auto"/>
                <w:sz w:val="24"/>
                <w:szCs w:val="24"/>
                <w:lang w:val="en-US" w:eastAsia="zh-CN"/>
              </w:rPr>
              <w:t>①</w:t>
            </w:r>
            <w:r>
              <w:rPr>
                <w:rFonts w:hint="default" w:ascii="Times New Roman" w:hAnsi="Times New Roman" w:eastAsia="宋体" w:cs="Times New Roman"/>
                <w:b w:val="0"/>
                <w:bCs/>
                <w:color w:val="auto"/>
                <w:sz w:val="24"/>
                <w:szCs w:val="24"/>
                <w:lang w:val="en-US" w:eastAsia="zh-CN"/>
              </w:rPr>
              <w:t>事故状态下物料量(V1)：本最大容器的容积为</w:t>
            </w:r>
            <w:r>
              <w:rPr>
                <w:rFonts w:hint="eastAsia" w:ascii="Times New Roman" w:hAnsi="Times New Roman" w:cs="Times New Roman"/>
                <w:b w:val="0"/>
                <w:bCs/>
                <w:color w:val="auto"/>
                <w:sz w:val="24"/>
                <w:szCs w:val="24"/>
                <w:lang w:val="en-US" w:eastAsia="zh-CN"/>
              </w:rPr>
              <w:t>5.299</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的</w:t>
            </w:r>
            <w:r>
              <w:rPr>
                <w:rFonts w:hint="eastAsia" w:ascii="Times New Roman" w:hAnsi="Times New Roman" w:cs="Times New Roman"/>
                <w:b w:val="0"/>
                <w:bCs/>
                <w:color w:val="auto"/>
                <w:sz w:val="24"/>
                <w:szCs w:val="24"/>
                <w:lang w:val="en-US" w:eastAsia="zh-CN"/>
              </w:rPr>
              <w:t>废水运输管道</w:t>
            </w:r>
            <w:r>
              <w:rPr>
                <w:rFonts w:hint="eastAsia" w:ascii="Times New Roman" w:hAnsi="Times New Roman" w:eastAsia="宋体" w:cs="Times New Roman"/>
                <w:b w:val="0"/>
                <w:bCs/>
                <w:color w:val="auto"/>
                <w:sz w:val="24"/>
                <w:szCs w:val="24"/>
                <w:lang w:val="en-US" w:eastAsia="zh-CN"/>
              </w:rPr>
              <w:t>，通常情况下，则</w:t>
            </w:r>
            <w:r>
              <w:rPr>
                <w:rFonts w:hint="default" w:ascii="Times New Roman" w:hAnsi="Times New Roman" w:eastAsia="宋体" w:cs="Times New Roman"/>
                <w:b w:val="0"/>
                <w:bCs/>
                <w:color w:val="auto"/>
                <w:sz w:val="24"/>
                <w:szCs w:val="24"/>
                <w:lang w:val="en-US" w:eastAsia="zh-CN"/>
              </w:rPr>
              <w:t>V1=</w:t>
            </w:r>
            <w:r>
              <w:rPr>
                <w:rFonts w:hint="eastAsia" w:ascii="Times New Roman" w:hAnsi="Times New Roman" w:cs="Times New Roman"/>
                <w:b w:val="0"/>
                <w:bCs/>
                <w:color w:val="auto"/>
                <w:sz w:val="24"/>
                <w:szCs w:val="24"/>
                <w:lang w:val="en-US" w:eastAsia="zh-CN"/>
              </w:rPr>
              <w:t>5.299</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w:t>
            </w:r>
          </w:p>
          <w:p w14:paraId="590001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②</w:t>
            </w:r>
            <w:r>
              <w:rPr>
                <w:rFonts w:hint="default" w:ascii="Times New Roman" w:hAnsi="Times New Roman" w:eastAsia="宋体" w:cs="Times New Roman"/>
                <w:b w:val="0"/>
                <w:bCs/>
                <w:color w:val="auto"/>
                <w:sz w:val="24"/>
                <w:szCs w:val="24"/>
                <w:lang w:val="en-US" w:eastAsia="zh-CN"/>
              </w:rPr>
              <w:t>消防用水量(V</w:t>
            </w:r>
            <w:r>
              <w:rPr>
                <w:rFonts w:hint="default" w:ascii="Times New Roman" w:hAnsi="Times New Roman" w:eastAsia="宋体" w:cs="Times New Roman"/>
                <w:b w:val="0"/>
                <w:bCs/>
                <w:color w:val="auto"/>
                <w:sz w:val="24"/>
                <w:szCs w:val="24"/>
                <w:vertAlign w:val="subscript"/>
                <w:lang w:val="en-US" w:eastAsia="zh-CN"/>
              </w:rPr>
              <w:t>2</w:t>
            </w:r>
            <w:r>
              <w:rPr>
                <w:rFonts w:hint="default" w:ascii="Times New Roman" w:hAnsi="Times New Roman" w:eastAsia="宋体" w:cs="Times New Roman"/>
                <w:b w:val="0"/>
                <w:bCs/>
                <w:color w:val="auto"/>
                <w:sz w:val="24"/>
                <w:szCs w:val="24"/>
                <w:lang w:val="en-US" w:eastAsia="zh-CN"/>
              </w:rPr>
              <w:t>)：一次灭火消防最大用水量35L/s（室外消防最大水量15L/s，室内消防最大水量20L/s），火灾延续时间为2h，则最大消防用水量V2为252m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w:t>
            </w:r>
          </w:p>
          <w:p w14:paraId="3C61EF9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③</w:t>
            </w:r>
            <w:r>
              <w:rPr>
                <w:rFonts w:hint="default" w:ascii="Times New Roman" w:hAnsi="Times New Roman" w:eastAsia="宋体" w:cs="Times New Roman"/>
                <w:b w:val="0"/>
                <w:bCs/>
                <w:color w:val="auto"/>
                <w:sz w:val="24"/>
                <w:szCs w:val="24"/>
                <w:lang w:val="en-US" w:eastAsia="zh-CN"/>
              </w:rPr>
              <w:t>可以转输到其他储存或处理设施的物料量（V</w:t>
            </w:r>
            <w:r>
              <w:rPr>
                <w:rFonts w:hint="default" w:ascii="Times New Roman" w:hAnsi="Times New Roman" w:eastAsia="宋体" w:cs="Times New Roman"/>
                <w:b w:val="0"/>
                <w:bCs/>
                <w:color w:val="auto"/>
                <w:sz w:val="24"/>
                <w:szCs w:val="24"/>
                <w:vertAlign w:val="subscript"/>
                <w:lang w:val="en-US" w:eastAsia="zh-CN"/>
              </w:rPr>
              <w:t>3</w:t>
            </w:r>
            <w:r>
              <w:rPr>
                <w:rFonts w:hint="default" w:ascii="Times New Roman" w:hAnsi="Times New Roman" w:eastAsia="宋体" w:cs="Times New Roman"/>
                <w:b w:val="0"/>
                <w:bCs/>
                <w:color w:val="auto"/>
                <w:sz w:val="24"/>
                <w:szCs w:val="24"/>
                <w:lang w:val="en-US" w:eastAsia="zh-CN"/>
              </w:rPr>
              <w:t>）：发生事故时，</w:t>
            </w:r>
            <w:r>
              <w:rPr>
                <w:rFonts w:hint="eastAsia" w:ascii="Times New Roman" w:hAnsi="Times New Roman" w:cs="Times New Roman"/>
                <w:b w:val="0"/>
                <w:bCs/>
                <w:color w:val="auto"/>
                <w:sz w:val="24"/>
                <w:szCs w:val="24"/>
                <w:lang w:val="en-US" w:eastAsia="zh-CN"/>
              </w:rPr>
              <w:t>废水运输管道通过建设专用管道沟渠防止管道泄漏</w:t>
            </w:r>
            <w:r>
              <w:rPr>
                <w:rFonts w:hint="eastAsia" w:ascii="Times New Roman" w:hAnsi="Times New Roman" w:eastAsia="宋体" w:cs="Times New Roman"/>
                <w:b w:val="0"/>
                <w:bCs/>
                <w:color w:val="auto"/>
                <w:sz w:val="24"/>
                <w:szCs w:val="24"/>
                <w:lang w:val="en-US" w:eastAsia="zh-CN"/>
              </w:rPr>
              <w:t>，</w:t>
            </w:r>
            <w:r>
              <w:rPr>
                <w:rFonts w:hint="eastAsia" w:ascii="Times New Roman" w:hAnsi="Times New Roman" w:cs="Times New Roman"/>
                <w:b w:val="0"/>
                <w:bCs/>
                <w:color w:val="auto"/>
                <w:sz w:val="24"/>
                <w:szCs w:val="24"/>
                <w:lang w:val="en-US" w:eastAsia="zh-CN"/>
              </w:rPr>
              <w:t>沟渠</w:t>
            </w:r>
            <w:r>
              <w:rPr>
                <w:rFonts w:hint="eastAsia" w:ascii="Times New Roman" w:hAnsi="Times New Roman" w:eastAsia="宋体" w:cs="Times New Roman"/>
                <w:b w:val="0"/>
                <w:bCs/>
                <w:color w:val="auto"/>
                <w:sz w:val="24"/>
                <w:szCs w:val="24"/>
                <w:lang w:val="en-US" w:eastAsia="zh-CN"/>
              </w:rPr>
              <w:t>内的有效容积为</w:t>
            </w:r>
            <w:r>
              <w:rPr>
                <w:rFonts w:hint="default" w:ascii="Times New Roman" w:hAnsi="Times New Roman" w:eastAsia="宋体" w:cs="Times New Roman"/>
                <w:b w:val="0"/>
                <w:bCs/>
                <w:color w:val="auto"/>
                <w:sz w:val="24"/>
                <w:szCs w:val="24"/>
                <w:lang w:val="en-US" w:eastAsia="zh-CN"/>
              </w:rPr>
              <w:t>物料</w:t>
            </w:r>
            <w:r>
              <w:rPr>
                <w:rFonts w:hint="eastAsia" w:ascii="Times New Roman" w:hAnsi="Times New Roman" w:eastAsia="宋体" w:cs="Times New Roman"/>
                <w:b w:val="0"/>
                <w:bCs/>
                <w:color w:val="auto"/>
                <w:sz w:val="24"/>
                <w:szCs w:val="24"/>
                <w:lang w:val="en-US" w:eastAsia="zh-CN"/>
              </w:rPr>
              <w:t>无法转移，则</w:t>
            </w:r>
            <w:r>
              <w:rPr>
                <w:rFonts w:hint="default" w:ascii="Times New Roman" w:hAnsi="Times New Roman" w:eastAsia="宋体" w:cs="Times New Roman"/>
                <w:b w:val="0"/>
                <w:bCs/>
                <w:color w:val="auto"/>
                <w:sz w:val="24"/>
                <w:szCs w:val="24"/>
                <w:lang w:val="en-US" w:eastAsia="zh-CN"/>
              </w:rPr>
              <w:t>V</w:t>
            </w:r>
            <w:r>
              <w:rPr>
                <w:rFonts w:hint="default" w:ascii="Times New Roman" w:hAnsi="Times New Roman" w:eastAsia="宋体" w:cs="Times New Roman"/>
                <w:b w:val="0"/>
                <w:bCs/>
                <w:color w:val="auto"/>
                <w:sz w:val="24"/>
                <w:szCs w:val="24"/>
                <w:vertAlign w:val="subscript"/>
                <w:lang w:val="en-US" w:eastAsia="zh-CN"/>
              </w:rPr>
              <w:t>3</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cs="Times New Roman"/>
                <w:b w:val="0"/>
                <w:bCs/>
                <w:color w:val="auto"/>
                <w:sz w:val="24"/>
                <w:szCs w:val="24"/>
                <w:lang w:val="en-US" w:eastAsia="zh-CN"/>
              </w:rPr>
              <w:t>5.299</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w:t>
            </w:r>
          </w:p>
          <w:p w14:paraId="46137E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④</w:t>
            </w:r>
            <w:r>
              <w:rPr>
                <w:rFonts w:hint="default" w:ascii="Times New Roman" w:hAnsi="Times New Roman" w:eastAsia="宋体" w:cs="Times New Roman"/>
                <w:b w:val="0"/>
                <w:bCs/>
                <w:color w:val="auto"/>
                <w:sz w:val="24"/>
                <w:szCs w:val="24"/>
                <w:lang w:val="en-US" w:eastAsia="zh-CN"/>
              </w:rPr>
              <w:t>发生事故时，可以停止</w:t>
            </w:r>
            <w:r>
              <w:rPr>
                <w:rFonts w:hint="eastAsia" w:ascii="Times New Roman" w:hAnsi="Times New Roman" w:cs="Times New Roman"/>
                <w:b w:val="0"/>
                <w:bCs/>
                <w:color w:val="auto"/>
                <w:sz w:val="24"/>
                <w:szCs w:val="24"/>
                <w:lang w:val="en-US" w:eastAsia="zh-CN"/>
              </w:rPr>
              <w:t>生产运行</w:t>
            </w:r>
            <w:r>
              <w:rPr>
                <w:rFonts w:hint="default" w:ascii="Times New Roman" w:hAnsi="Times New Roman" w:eastAsia="宋体" w:cs="Times New Roman"/>
                <w:b w:val="0"/>
                <w:bCs/>
                <w:color w:val="auto"/>
                <w:sz w:val="24"/>
                <w:szCs w:val="24"/>
                <w:lang w:val="en-US" w:eastAsia="zh-CN"/>
              </w:rPr>
              <w:t>，无必须进入该收集系统的生产废水量。</w:t>
            </w:r>
          </w:p>
          <w:p w14:paraId="45681A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⑤</w:t>
            </w:r>
            <w:r>
              <w:rPr>
                <w:rFonts w:hint="default" w:ascii="Times New Roman" w:hAnsi="Times New Roman" w:eastAsia="宋体" w:cs="Times New Roman"/>
                <w:b w:val="0"/>
                <w:bCs/>
                <w:color w:val="auto"/>
                <w:sz w:val="24"/>
                <w:szCs w:val="24"/>
                <w:lang w:val="en-US" w:eastAsia="zh-CN"/>
              </w:rPr>
              <w:t>雨水量(V</w:t>
            </w:r>
            <w:r>
              <w:rPr>
                <w:rFonts w:hint="default" w:ascii="Times New Roman" w:hAnsi="Times New Roman" w:eastAsia="宋体" w:cs="Times New Roman"/>
                <w:b w:val="0"/>
                <w:bCs/>
                <w:color w:val="auto"/>
                <w:sz w:val="24"/>
                <w:szCs w:val="24"/>
                <w:vertAlign w:val="subscript"/>
                <w:lang w:val="en-US" w:eastAsia="zh-CN"/>
              </w:rPr>
              <w:t>5</w:t>
            </w:r>
            <w:r>
              <w:rPr>
                <w:rFonts w:hint="default" w:ascii="Times New Roman" w:hAnsi="Times New Roman" w:eastAsia="宋体" w:cs="Times New Roman"/>
                <w:b w:val="0"/>
                <w:bCs/>
                <w:color w:val="auto"/>
                <w:sz w:val="24"/>
                <w:szCs w:val="24"/>
                <w:lang w:val="en-US" w:eastAsia="zh-CN"/>
              </w:rPr>
              <w:t>)：经计算，本项目的雨水量为</w:t>
            </w:r>
            <w:r>
              <w:rPr>
                <w:rFonts w:hint="eastAsia" w:ascii="Times New Roman" w:hAnsi="Times New Roman" w:eastAsia="宋体" w:cs="Times New Roman"/>
                <w:b w:val="0"/>
                <w:bCs/>
                <w:color w:val="auto"/>
                <w:sz w:val="24"/>
                <w:szCs w:val="24"/>
                <w:lang w:val="en-US" w:eastAsia="zh-CN"/>
              </w:rPr>
              <w:t>28.28</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w:t>
            </w:r>
          </w:p>
          <w:p w14:paraId="5E24A6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本项目</w:t>
            </w:r>
            <w:r>
              <w:rPr>
                <w:rFonts w:hint="default" w:ascii="Times New Roman" w:hAnsi="Times New Roman" w:eastAsia="宋体" w:cs="Times New Roman"/>
                <w:b w:val="0"/>
                <w:bCs/>
                <w:color w:val="auto"/>
                <w:sz w:val="24"/>
                <w:szCs w:val="24"/>
                <w:lang w:val="en-US" w:eastAsia="zh-CN"/>
              </w:rPr>
              <w:t>事故池有效容积（V总）计算：</w:t>
            </w:r>
            <w:r>
              <w:rPr>
                <w:rFonts w:hint="eastAsia" w:ascii="Times New Roman" w:hAnsi="Times New Roman" w:cs="Times New Roman"/>
                <w:b w:val="0"/>
                <w:bCs/>
                <w:color w:val="auto"/>
                <w:sz w:val="24"/>
                <w:szCs w:val="24"/>
                <w:lang w:val="en-US" w:eastAsia="zh-CN"/>
              </w:rPr>
              <w:t>5.299</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（物料量）+</w:t>
            </w:r>
            <w:r>
              <w:rPr>
                <w:rFonts w:hint="eastAsia" w:ascii="Times New Roman" w:hAnsi="Times New Roman" w:eastAsia="宋体" w:cs="Times New Roman"/>
                <w:b w:val="0"/>
                <w:bCs/>
                <w:color w:val="auto"/>
                <w:sz w:val="24"/>
                <w:szCs w:val="24"/>
                <w:lang w:val="en-US" w:eastAsia="zh-CN"/>
              </w:rPr>
              <w:t>252</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（消防事故水）</w:t>
            </w:r>
            <w:r>
              <w:rPr>
                <w:rFonts w:hint="eastAsia" w:ascii="Times New Roman" w:hAnsi="Times New Roman" w:eastAsia="宋体" w:cs="Times New Roman"/>
                <w:b w:val="0"/>
                <w:bCs/>
                <w:color w:val="auto"/>
                <w:sz w:val="24"/>
                <w:szCs w:val="24"/>
                <w:lang w:val="en-US" w:eastAsia="zh-CN"/>
              </w:rPr>
              <w:t>+28.28</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初级雨水</w:t>
            </w:r>
            <w:r>
              <w:rPr>
                <w:rFonts w:hint="default" w:ascii="Times New Roman" w:hAnsi="Times New Roman" w:eastAsia="宋体" w:cs="Times New Roman"/>
                <w:b w:val="0"/>
                <w:bCs/>
                <w:color w:val="auto"/>
                <w:sz w:val="24"/>
                <w:szCs w:val="24"/>
                <w:lang w:val="en-US" w:eastAsia="zh-CN"/>
              </w:rPr>
              <w:t>）</w:t>
            </w:r>
            <w:r>
              <w:rPr>
                <w:rFonts w:hint="eastAsia" w:ascii="Times New Roman" w:hAnsi="Times New Roman" w:eastAsia="宋体" w:cs="Times New Roman"/>
                <w:b w:val="0"/>
                <w:bCs/>
                <w:color w:val="auto"/>
                <w:sz w:val="24"/>
                <w:szCs w:val="24"/>
                <w:lang w:val="en-US" w:eastAsia="zh-CN"/>
              </w:rPr>
              <w:t>-</w:t>
            </w:r>
            <w:r>
              <w:rPr>
                <w:rFonts w:hint="eastAsia" w:ascii="Times New Roman" w:hAnsi="Times New Roman" w:cs="Times New Roman"/>
                <w:b w:val="0"/>
                <w:bCs/>
                <w:color w:val="auto"/>
                <w:sz w:val="24"/>
                <w:szCs w:val="24"/>
                <w:lang w:val="en-US" w:eastAsia="zh-CN"/>
              </w:rPr>
              <w:t>5.299</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（废水</w:t>
            </w:r>
            <w:r>
              <w:rPr>
                <w:rFonts w:hint="eastAsia" w:ascii="Times New Roman" w:hAnsi="Times New Roman" w:cs="Times New Roman"/>
                <w:b w:val="0"/>
                <w:bCs/>
                <w:color w:val="auto"/>
                <w:sz w:val="24"/>
                <w:szCs w:val="24"/>
                <w:lang w:val="en-US" w:eastAsia="zh-CN"/>
              </w:rPr>
              <w:t>收集沟渠</w:t>
            </w:r>
            <w:r>
              <w:rPr>
                <w:rFonts w:hint="eastAsia" w:ascii="Times New Roman" w:hAnsi="Times New Roman" w:eastAsia="宋体" w:cs="Times New Roman"/>
                <w:b w:val="0"/>
                <w:bCs/>
                <w:color w:val="auto"/>
                <w:sz w:val="24"/>
                <w:szCs w:val="24"/>
                <w:lang w:val="en-US" w:eastAsia="zh-CN"/>
              </w:rPr>
              <w:t>）=280.28</w:t>
            </w:r>
            <w:r>
              <w:rPr>
                <w:rFonts w:hint="default" w:ascii="Times New Roman" w:hAnsi="Times New Roman" w:eastAsia="宋体" w:cs="Times New Roman"/>
                <w:b w:val="0"/>
                <w:bCs/>
                <w:color w:val="auto"/>
                <w:sz w:val="24"/>
                <w:szCs w:val="24"/>
                <w:lang w:val="en-US" w:eastAsia="zh-CN"/>
              </w:rPr>
              <w:t>m</w:t>
            </w:r>
            <w:r>
              <w:rPr>
                <w:rFonts w:hint="default"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w:t>
            </w:r>
          </w:p>
          <w:p w14:paraId="59BC364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本项目依托厂区现有秸秆粪便资源化利用（一期）项目的1座20000m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黑膜沼液池和1座10000m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沼液暂存池（好氧塘）用于在农田非施肥季节暂存沼液，储存池的储存期不得低于当地农作物生产用肥的最大间隔时间和冬季封冻期或雨季最长降雨期，一般不得小于3个月的排放总量，储存池按3个月的产生量设计，项目进入沼液池存储最大废水量约为6000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，考虑预留10%有效容积，则沼液暂存池有效容积应至少为18000m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，因此本项目建成20000m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沼液池，可以余出12000m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容积作为事故状态下事故水和初期雨水的贮存，符合要求。</w:t>
            </w:r>
          </w:p>
          <w:p w14:paraId="0D789E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本项目依托厂区现有秸秆粪便资源化利用（一期）项目的1座20000m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黑膜沼液池和1座10000m</w:t>
            </w:r>
            <w:r>
              <w:rPr>
                <w:rFonts w:hint="eastAsia" w:ascii="Times New Roman" w:hAnsi="Times New Roman" w:eastAsia="宋体" w:cs="Times New Roman"/>
                <w:b w:val="0"/>
                <w:bCs/>
                <w:color w:val="auto"/>
                <w:sz w:val="24"/>
                <w:szCs w:val="24"/>
                <w:vertAlign w:val="superscript"/>
                <w:lang w:val="en-US" w:eastAsia="zh-CN"/>
              </w:rPr>
              <w:t>3</w:t>
            </w:r>
            <w:r>
              <w:rPr>
                <w:rFonts w:hint="eastAsia" w:ascii="Times New Roman" w:hAnsi="Times New Roman" w:eastAsia="宋体" w:cs="Times New Roman"/>
                <w:b w:val="0"/>
                <w:bCs/>
                <w:color w:val="auto"/>
                <w:sz w:val="24"/>
                <w:szCs w:val="24"/>
                <w:lang w:val="en-US" w:eastAsia="zh-CN"/>
              </w:rPr>
              <w:t>沼液暂存池（好氧塘），可满足事故情况下的事故废水的暂存要求。</w:t>
            </w:r>
          </w:p>
          <w:bookmarkEnd w:id="27"/>
          <w:p w14:paraId="3B20CF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cs="Times New Roman"/>
                <w:b w:val="0"/>
                <w:bCs/>
                <w:color w:val="auto"/>
                <w:sz w:val="24"/>
                <w:szCs w:val="24"/>
                <w:lang w:val="en-US" w:eastAsia="zh-CN"/>
              </w:rPr>
              <w:t>9</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编制突发环境事件应急预案</w:t>
            </w:r>
          </w:p>
          <w:p w14:paraId="154A9E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应急预案是指根据预测危险源、危险目标可能发生事故的类别和危害程度而制定的事故应急救援方案。是在贯彻预防为主的前提下，对建设项目可能出现的事故，为及时控制危害源，抢救受害人员，指导居民防护和组织撤离，消除危害后果而组织的救援活动的预想方案，是针对危险源制定的一项应急反应计划。</w:t>
            </w:r>
          </w:p>
          <w:p w14:paraId="1C5565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针对可能发生的环境污染事件，为迅速、有序地开展环境应急行动，企业应参照《石油化工企业环境应急预案编制指南》(环办[2010]10号)、《关于印发企业事业单位突发环境事件应急预案备案管理办法（试行）的通知》（环发【2015】4号）、《企业事业单位突发环境事件应急预案评审工作指南（试行）》（环办应急[2018]8号）等相关要求，编制企业环境风险应急预案，并按《企业事业单位突发环境事件应急预案备案管理办法(试行)》要求，向项目所在地生态环境主管部门备案，并与镇政府建立应急联动。本评价参考相关规范要求，列出应急预案编制内容要求汇总见下表</w:t>
            </w:r>
            <w:r>
              <w:rPr>
                <w:rFonts w:hint="eastAsia" w:ascii="Times New Roman" w:hAnsi="Times New Roman" w:eastAsia="宋体" w:cs="Times New Roman"/>
                <w:b w:val="0"/>
                <w:bCs/>
                <w:color w:val="auto"/>
                <w:sz w:val="24"/>
                <w:szCs w:val="24"/>
                <w:lang w:val="en-US" w:eastAsia="zh-CN"/>
              </w:rPr>
              <w:t>。</w:t>
            </w:r>
          </w:p>
          <w:p w14:paraId="4405CEDB">
            <w:pPr>
              <w:pStyle w:val="26"/>
              <w:rPr>
                <w:color w:val="auto"/>
              </w:rPr>
            </w:pPr>
            <w:r>
              <w:rPr>
                <w:rFonts w:hint="eastAsia"/>
                <w:color w:val="auto"/>
              </w:rPr>
              <w:t>表</w:t>
            </w:r>
            <w:r>
              <w:rPr>
                <w:rFonts w:hint="eastAsia"/>
                <w:color w:val="auto"/>
                <w:lang w:val="en-US" w:eastAsia="zh-CN"/>
              </w:rPr>
              <w:t xml:space="preserve">4-14  </w:t>
            </w:r>
            <w:r>
              <w:rPr>
                <w:color w:val="auto"/>
              </w:rPr>
              <w:t>企业环境风险应急预案编制内容要求汇总一览表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682"/>
              <w:gridCol w:w="5727"/>
            </w:tblGrid>
            <w:tr w14:paraId="7499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34C1BA36">
                  <w:pPr>
                    <w:adjustRightInd w:val="0"/>
                    <w:snapToGrid w:val="0"/>
                    <w:spacing w:before="60" w:after="60" w:line="240" w:lineRule="auto"/>
                    <w:jc w:val="center"/>
                    <w:rPr>
                      <w:color w:val="auto"/>
                      <w:sz w:val="21"/>
                      <w:szCs w:val="21"/>
                    </w:rPr>
                  </w:pPr>
                  <w:r>
                    <w:rPr>
                      <w:rFonts w:hint="eastAsia"/>
                      <w:color w:val="auto"/>
                      <w:sz w:val="21"/>
                      <w:szCs w:val="21"/>
                    </w:rPr>
                    <w:t>序号</w:t>
                  </w:r>
                </w:p>
              </w:tc>
              <w:tc>
                <w:tcPr>
                  <w:tcW w:w="1734" w:type="dxa"/>
                  <w:vAlign w:val="center"/>
                </w:tcPr>
                <w:p w14:paraId="0E238EF9">
                  <w:pPr>
                    <w:adjustRightInd w:val="0"/>
                    <w:snapToGrid w:val="0"/>
                    <w:spacing w:before="60" w:after="60" w:line="240" w:lineRule="auto"/>
                    <w:jc w:val="center"/>
                    <w:rPr>
                      <w:color w:val="auto"/>
                      <w:sz w:val="21"/>
                      <w:szCs w:val="21"/>
                    </w:rPr>
                  </w:pPr>
                  <w:r>
                    <w:rPr>
                      <w:rFonts w:hint="eastAsia"/>
                      <w:color w:val="auto"/>
                      <w:sz w:val="21"/>
                      <w:szCs w:val="21"/>
                    </w:rPr>
                    <w:t>章节</w:t>
                  </w:r>
                </w:p>
              </w:tc>
              <w:tc>
                <w:tcPr>
                  <w:tcW w:w="5919" w:type="dxa"/>
                  <w:vAlign w:val="center"/>
                </w:tcPr>
                <w:p w14:paraId="2F2E4197">
                  <w:pPr>
                    <w:adjustRightInd w:val="0"/>
                    <w:snapToGrid w:val="0"/>
                    <w:spacing w:before="60" w:after="60" w:line="240" w:lineRule="auto"/>
                    <w:jc w:val="center"/>
                    <w:rPr>
                      <w:color w:val="auto"/>
                      <w:sz w:val="21"/>
                      <w:szCs w:val="21"/>
                    </w:rPr>
                  </w:pPr>
                  <w:r>
                    <w:rPr>
                      <w:rFonts w:hint="eastAsia"/>
                      <w:color w:val="auto"/>
                      <w:sz w:val="21"/>
                      <w:szCs w:val="21"/>
                    </w:rPr>
                    <w:t>主要内容</w:t>
                  </w:r>
                </w:p>
              </w:tc>
            </w:tr>
            <w:tr w14:paraId="17B8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2A5125F5">
                  <w:pPr>
                    <w:adjustRightInd w:val="0"/>
                    <w:snapToGrid w:val="0"/>
                    <w:spacing w:before="60" w:after="60" w:line="240" w:lineRule="auto"/>
                    <w:jc w:val="center"/>
                    <w:rPr>
                      <w:color w:val="auto"/>
                      <w:sz w:val="21"/>
                      <w:szCs w:val="21"/>
                    </w:rPr>
                  </w:pPr>
                  <w:r>
                    <w:rPr>
                      <w:rFonts w:hint="eastAsia"/>
                      <w:color w:val="auto"/>
                      <w:sz w:val="21"/>
                      <w:szCs w:val="21"/>
                    </w:rPr>
                    <w:t>1</w:t>
                  </w:r>
                </w:p>
              </w:tc>
              <w:tc>
                <w:tcPr>
                  <w:tcW w:w="1734" w:type="dxa"/>
                  <w:vAlign w:val="center"/>
                </w:tcPr>
                <w:p w14:paraId="636B70AF">
                  <w:pPr>
                    <w:adjustRightInd w:val="0"/>
                    <w:snapToGrid w:val="0"/>
                    <w:spacing w:before="60" w:after="60" w:line="240" w:lineRule="auto"/>
                    <w:jc w:val="center"/>
                    <w:rPr>
                      <w:color w:val="auto"/>
                      <w:sz w:val="21"/>
                      <w:szCs w:val="21"/>
                    </w:rPr>
                  </w:pPr>
                  <w:r>
                    <w:rPr>
                      <w:rFonts w:hint="eastAsia"/>
                      <w:color w:val="auto"/>
                      <w:sz w:val="21"/>
                      <w:szCs w:val="21"/>
                    </w:rPr>
                    <w:t>总则</w:t>
                  </w:r>
                </w:p>
              </w:tc>
              <w:tc>
                <w:tcPr>
                  <w:tcW w:w="5919" w:type="dxa"/>
                  <w:vAlign w:val="center"/>
                </w:tcPr>
                <w:p w14:paraId="42BF501A">
                  <w:pPr>
                    <w:adjustRightInd w:val="0"/>
                    <w:snapToGrid w:val="0"/>
                    <w:spacing w:before="60" w:after="60" w:line="240" w:lineRule="auto"/>
                    <w:jc w:val="center"/>
                    <w:rPr>
                      <w:color w:val="auto"/>
                      <w:sz w:val="21"/>
                      <w:szCs w:val="21"/>
                    </w:rPr>
                  </w:pPr>
                  <w:r>
                    <w:rPr>
                      <w:rFonts w:hint="eastAsia"/>
                      <w:color w:val="auto"/>
                      <w:sz w:val="21"/>
                      <w:szCs w:val="21"/>
                    </w:rPr>
                    <w:t>明确预案编制的目的、依据、适用范围、等级划分等</w:t>
                  </w:r>
                </w:p>
              </w:tc>
            </w:tr>
            <w:tr w14:paraId="0E9F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66867E0D">
                  <w:pPr>
                    <w:adjustRightInd w:val="0"/>
                    <w:snapToGrid w:val="0"/>
                    <w:spacing w:before="60" w:after="60" w:line="240" w:lineRule="auto"/>
                    <w:jc w:val="center"/>
                    <w:rPr>
                      <w:color w:val="auto"/>
                      <w:sz w:val="21"/>
                      <w:szCs w:val="21"/>
                    </w:rPr>
                  </w:pPr>
                  <w:r>
                    <w:rPr>
                      <w:rFonts w:hint="eastAsia"/>
                      <w:color w:val="auto"/>
                      <w:sz w:val="21"/>
                      <w:szCs w:val="21"/>
                    </w:rPr>
                    <w:t>2</w:t>
                  </w:r>
                </w:p>
              </w:tc>
              <w:tc>
                <w:tcPr>
                  <w:tcW w:w="1734" w:type="dxa"/>
                  <w:vAlign w:val="center"/>
                </w:tcPr>
                <w:p w14:paraId="7EF18BC0">
                  <w:pPr>
                    <w:adjustRightInd w:val="0"/>
                    <w:snapToGrid w:val="0"/>
                    <w:spacing w:before="60" w:after="60" w:line="240" w:lineRule="auto"/>
                    <w:jc w:val="center"/>
                    <w:rPr>
                      <w:color w:val="auto"/>
                      <w:sz w:val="21"/>
                      <w:szCs w:val="21"/>
                    </w:rPr>
                  </w:pPr>
                  <w:r>
                    <w:rPr>
                      <w:rFonts w:hint="eastAsia"/>
                      <w:color w:val="auto"/>
                      <w:sz w:val="21"/>
                      <w:szCs w:val="21"/>
                    </w:rPr>
                    <w:t>组织结构和职责</w:t>
                  </w:r>
                </w:p>
              </w:tc>
              <w:tc>
                <w:tcPr>
                  <w:tcW w:w="5919" w:type="dxa"/>
                  <w:vAlign w:val="center"/>
                </w:tcPr>
                <w:p w14:paraId="03926E69">
                  <w:pPr>
                    <w:adjustRightInd w:val="0"/>
                    <w:snapToGrid w:val="0"/>
                    <w:spacing w:before="60" w:after="60" w:line="240" w:lineRule="auto"/>
                    <w:jc w:val="center"/>
                    <w:rPr>
                      <w:color w:val="auto"/>
                      <w:sz w:val="21"/>
                      <w:szCs w:val="21"/>
                    </w:rPr>
                  </w:pPr>
                  <w:r>
                    <w:rPr>
                      <w:rFonts w:hint="eastAsia"/>
                      <w:color w:val="auto"/>
                      <w:sz w:val="21"/>
                      <w:szCs w:val="21"/>
                    </w:rPr>
                    <w:t>明确应急机构的组成、各机构职责等</w:t>
                  </w:r>
                </w:p>
              </w:tc>
            </w:tr>
            <w:tr w14:paraId="380F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6B9DE447">
                  <w:pPr>
                    <w:adjustRightInd w:val="0"/>
                    <w:snapToGrid w:val="0"/>
                    <w:spacing w:before="60" w:after="60" w:line="240" w:lineRule="auto"/>
                    <w:jc w:val="center"/>
                    <w:rPr>
                      <w:color w:val="auto"/>
                      <w:sz w:val="21"/>
                      <w:szCs w:val="21"/>
                    </w:rPr>
                  </w:pPr>
                  <w:r>
                    <w:rPr>
                      <w:rFonts w:hint="eastAsia"/>
                      <w:color w:val="auto"/>
                      <w:sz w:val="21"/>
                      <w:szCs w:val="21"/>
                    </w:rPr>
                    <w:t>3</w:t>
                  </w:r>
                </w:p>
              </w:tc>
              <w:tc>
                <w:tcPr>
                  <w:tcW w:w="1734" w:type="dxa"/>
                  <w:vAlign w:val="center"/>
                </w:tcPr>
                <w:p w14:paraId="7DE1722B">
                  <w:pPr>
                    <w:adjustRightInd w:val="0"/>
                    <w:snapToGrid w:val="0"/>
                    <w:spacing w:before="60" w:after="60" w:line="240" w:lineRule="auto"/>
                    <w:jc w:val="center"/>
                    <w:rPr>
                      <w:color w:val="auto"/>
                      <w:sz w:val="21"/>
                      <w:szCs w:val="21"/>
                    </w:rPr>
                  </w:pPr>
                  <w:r>
                    <w:rPr>
                      <w:rFonts w:hint="eastAsia"/>
                      <w:color w:val="auto"/>
                      <w:sz w:val="21"/>
                      <w:szCs w:val="21"/>
                    </w:rPr>
                    <w:t>预防与预警</w:t>
                  </w:r>
                </w:p>
              </w:tc>
              <w:tc>
                <w:tcPr>
                  <w:tcW w:w="5919" w:type="dxa"/>
                  <w:vAlign w:val="center"/>
                </w:tcPr>
                <w:p w14:paraId="314CFAEE">
                  <w:pPr>
                    <w:adjustRightInd w:val="0"/>
                    <w:snapToGrid w:val="0"/>
                    <w:spacing w:before="60" w:after="60" w:line="240" w:lineRule="auto"/>
                    <w:jc w:val="center"/>
                    <w:rPr>
                      <w:color w:val="auto"/>
                      <w:sz w:val="21"/>
                      <w:szCs w:val="21"/>
                    </w:rPr>
                  </w:pPr>
                  <w:r>
                    <w:rPr>
                      <w:rFonts w:hint="eastAsia"/>
                      <w:color w:val="auto"/>
                      <w:sz w:val="21"/>
                      <w:szCs w:val="21"/>
                    </w:rPr>
                    <w:t>明确区域内的重大危险源分布、各应急机构根据职责开展应急预防和应急准备等</w:t>
                  </w:r>
                </w:p>
              </w:tc>
            </w:tr>
            <w:tr w14:paraId="71EF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231676C5">
                  <w:pPr>
                    <w:adjustRightInd w:val="0"/>
                    <w:snapToGrid w:val="0"/>
                    <w:spacing w:before="60" w:after="60" w:line="240" w:lineRule="auto"/>
                    <w:jc w:val="center"/>
                    <w:rPr>
                      <w:color w:val="auto"/>
                      <w:sz w:val="21"/>
                      <w:szCs w:val="21"/>
                    </w:rPr>
                  </w:pPr>
                  <w:r>
                    <w:rPr>
                      <w:rFonts w:hint="eastAsia"/>
                      <w:color w:val="auto"/>
                      <w:sz w:val="21"/>
                      <w:szCs w:val="21"/>
                    </w:rPr>
                    <w:t>4</w:t>
                  </w:r>
                </w:p>
              </w:tc>
              <w:tc>
                <w:tcPr>
                  <w:tcW w:w="1734" w:type="dxa"/>
                  <w:vAlign w:val="center"/>
                </w:tcPr>
                <w:p w14:paraId="138A76CA">
                  <w:pPr>
                    <w:adjustRightInd w:val="0"/>
                    <w:snapToGrid w:val="0"/>
                    <w:spacing w:before="60" w:after="60" w:line="240" w:lineRule="auto"/>
                    <w:jc w:val="center"/>
                    <w:rPr>
                      <w:color w:val="auto"/>
                      <w:sz w:val="21"/>
                      <w:szCs w:val="21"/>
                    </w:rPr>
                  </w:pPr>
                  <w:r>
                    <w:rPr>
                      <w:rFonts w:hint="eastAsia"/>
                      <w:color w:val="auto"/>
                      <w:sz w:val="21"/>
                      <w:szCs w:val="21"/>
                    </w:rPr>
                    <w:t>应急响应</w:t>
                  </w:r>
                </w:p>
              </w:tc>
              <w:tc>
                <w:tcPr>
                  <w:tcW w:w="5919" w:type="dxa"/>
                  <w:vAlign w:val="center"/>
                </w:tcPr>
                <w:p w14:paraId="602A8CA7">
                  <w:pPr>
                    <w:adjustRightInd w:val="0"/>
                    <w:snapToGrid w:val="0"/>
                    <w:spacing w:before="60" w:after="60" w:line="240" w:lineRule="auto"/>
                    <w:jc w:val="center"/>
                    <w:rPr>
                      <w:color w:val="auto"/>
                      <w:sz w:val="21"/>
                      <w:szCs w:val="21"/>
                    </w:rPr>
                  </w:pPr>
                  <w:r>
                    <w:rPr>
                      <w:rFonts w:hint="eastAsia"/>
                      <w:color w:val="auto"/>
                      <w:sz w:val="21"/>
                      <w:szCs w:val="21"/>
                    </w:rPr>
                    <w:t>明确预案应急响应的流程、分级响应及启动条件、信息报告与处置及现场处置等</w:t>
                  </w:r>
                </w:p>
              </w:tc>
            </w:tr>
            <w:tr w14:paraId="3F712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65678CF8">
                  <w:pPr>
                    <w:adjustRightInd w:val="0"/>
                    <w:snapToGrid w:val="0"/>
                    <w:spacing w:before="60" w:after="60" w:line="240" w:lineRule="auto"/>
                    <w:jc w:val="center"/>
                    <w:rPr>
                      <w:color w:val="auto"/>
                      <w:sz w:val="21"/>
                      <w:szCs w:val="21"/>
                    </w:rPr>
                  </w:pPr>
                  <w:r>
                    <w:rPr>
                      <w:rFonts w:hint="eastAsia"/>
                      <w:color w:val="auto"/>
                      <w:sz w:val="21"/>
                      <w:szCs w:val="21"/>
                    </w:rPr>
                    <w:t>5</w:t>
                  </w:r>
                </w:p>
              </w:tc>
              <w:tc>
                <w:tcPr>
                  <w:tcW w:w="1734" w:type="dxa"/>
                  <w:vAlign w:val="center"/>
                </w:tcPr>
                <w:p w14:paraId="47B7D47E">
                  <w:pPr>
                    <w:adjustRightInd w:val="0"/>
                    <w:snapToGrid w:val="0"/>
                    <w:spacing w:before="60" w:after="60" w:line="240" w:lineRule="auto"/>
                    <w:jc w:val="center"/>
                    <w:rPr>
                      <w:color w:val="auto"/>
                      <w:sz w:val="21"/>
                      <w:szCs w:val="21"/>
                    </w:rPr>
                  </w:pPr>
                  <w:r>
                    <w:rPr>
                      <w:rFonts w:hint="eastAsia"/>
                      <w:color w:val="auto"/>
                      <w:sz w:val="21"/>
                      <w:szCs w:val="21"/>
                    </w:rPr>
                    <w:t>安全防护</w:t>
                  </w:r>
                </w:p>
              </w:tc>
              <w:tc>
                <w:tcPr>
                  <w:tcW w:w="5919" w:type="dxa"/>
                  <w:vAlign w:val="center"/>
                </w:tcPr>
                <w:p w14:paraId="4BEA39E5">
                  <w:pPr>
                    <w:adjustRightInd w:val="0"/>
                    <w:snapToGrid w:val="0"/>
                    <w:spacing w:before="60" w:after="60" w:line="240" w:lineRule="auto"/>
                    <w:jc w:val="center"/>
                    <w:rPr>
                      <w:color w:val="auto"/>
                      <w:sz w:val="21"/>
                      <w:szCs w:val="21"/>
                    </w:rPr>
                  </w:pPr>
                  <w:r>
                    <w:rPr>
                      <w:rFonts w:hint="eastAsia"/>
                      <w:color w:val="auto"/>
                      <w:sz w:val="21"/>
                      <w:szCs w:val="21"/>
                    </w:rPr>
                    <w:t>明确事件现场保护措施、群众安全转移措施、次生灾害方法治措施等</w:t>
                  </w:r>
                </w:p>
              </w:tc>
            </w:tr>
            <w:tr w14:paraId="7EF1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64255232">
                  <w:pPr>
                    <w:adjustRightInd w:val="0"/>
                    <w:snapToGrid w:val="0"/>
                    <w:spacing w:before="60" w:after="60" w:line="240" w:lineRule="auto"/>
                    <w:jc w:val="center"/>
                    <w:rPr>
                      <w:color w:val="auto"/>
                      <w:sz w:val="21"/>
                      <w:szCs w:val="21"/>
                    </w:rPr>
                  </w:pPr>
                  <w:r>
                    <w:rPr>
                      <w:rFonts w:hint="eastAsia"/>
                      <w:color w:val="auto"/>
                      <w:sz w:val="21"/>
                      <w:szCs w:val="21"/>
                    </w:rPr>
                    <w:t>6</w:t>
                  </w:r>
                </w:p>
              </w:tc>
              <w:tc>
                <w:tcPr>
                  <w:tcW w:w="1734" w:type="dxa"/>
                  <w:vAlign w:val="center"/>
                </w:tcPr>
                <w:p w14:paraId="71EDD816">
                  <w:pPr>
                    <w:adjustRightInd w:val="0"/>
                    <w:snapToGrid w:val="0"/>
                    <w:spacing w:before="60" w:after="60" w:line="240" w:lineRule="auto"/>
                    <w:jc w:val="center"/>
                    <w:rPr>
                      <w:color w:val="auto"/>
                      <w:sz w:val="21"/>
                      <w:szCs w:val="21"/>
                    </w:rPr>
                  </w:pPr>
                  <w:r>
                    <w:rPr>
                      <w:rFonts w:hint="eastAsia"/>
                      <w:color w:val="auto"/>
                      <w:sz w:val="21"/>
                      <w:szCs w:val="21"/>
                    </w:rPr>
                    <w:t>应急状态解除</w:t>
                  </w:r>
                </w:p>
              </w:tc>
              <w:tc>
                <w:tcPr>
                  <w:tcW w:w="5919" w:type="dxa"/>
                  <w:vAlign w:val="center"/>
                </w:tcPr>
                <w:p w14:paraId="12B7F5A8">
                  <w:pPr>
                    <w:adjustRightInd w:val="0"/>
                    <w:snapToGrid w:val="0"/>
                    <w:spacing w:before="60" w:after="60" w:line="240" w:lineRule="auto"/>
                    <w:jc w:val="center"/>
                    <w:rPr>
                      <w:color w:val="auto"/>
                      <w:sz w:val="21"/>
                      <w:szCs w:val="21"/>
                    </w:rPr>
                  </w:pPr>
                  <w:r>
                    <w:rPr>
                      <w:rFonts w:hint="eastAsia"/>
                      <w:color w:val="auto"/>
                      <w:sz w:val="21"/>
                      <w:szCs w:val="21"/>
                    </w:rPr>
                    <w:t>明确应急终止的条件、程序及跟踪监测和评估方案等</w:t>
                  </w:r>
                </w:p>
              </w:tc>
            </w:tr>
            <w:tr w14:paraId="4517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1E5BDA86">
                  <w:pPr>
                    <w:adjustRightInd w:val="0"/>
                    <w:snapToGrid w:val="0"/>
                    <w:spacing w:before="60" w:after="60" w:line="240" w:lineRule="auto"/>
                    <w:jc w:val="center"/>
                    <w:rPr>
                      <w:color w:val="auto"/>
                      <w:sz w:val="21"/>
                      <w:szCs w:val="21"/>
                    </w:rPr>
                  </w:pPr>
                  <w:r>
                    <w:rPr>
                      <w:rFonts w:hint="eastAsia"/>
                      <w:color w:val="auto"/>
                      <w:sz w:val="21"/>
                      <w:szCs w:val="21"/>
                    </w:rPr>
                    <w:t>7</w:t>
                  </w:r>
                </w:p>
              </w:tc>
              <w:tc>
                <w:tcPr>
                  <w:tcW w:w="1734" w:type="dxa"/>
                  <w:vAlign w:val="center"/>
                </w:tcPr>
                <w:p w14:paraId="2BF3D17A">
                  <w:pPr>
                    <w:adjustRightInd w:val="0"/>
                    <w:snapToGrid w:val="0"/>
                    <w:spacing w:before="60" w:after="60" w:line="240" w:lineRule="auto"/>
                    <w:jc w:val="center"/>
                    <w:rPr>
                      <w:color w:val="auto"/>
                      <w:sz w:val="21"/>
                      <w:szCs w:val="21"/>
                    </w:rPr>
                  </w:pPr>
                  <w:r>
                    <w:rPr>
                      <w:rFonts w:hint="eastAsia"/>
                      <w:color w:val="auto"/>
                      <w:sz w:val="21"/>
                      <w:szCs w:val="21"/>
                    </w:rPr>
                    <w:t>善后处置</w:t>
                  </w:r>
                </w:p>
              </w:tc>
              <w:tc>
                <w:tcPr>
                  <w:tcW w:w="5919" w:type="dxa"/>
                  <w:vAlign w:val="center"/>
                </w:tcPr>
                <w:p w14:paraId="187E55AF">
                  <w:pPr>
                    <w:adjustRightInd w:val="0"/>
                    <w:snapToGrid w:val="0"/>
                    <w:spacing w:before="60" w:after="60" w:line="240" w:lineRule="auto"/>
                    <w:jc w:val="center"/>
                    <w:rPr>
                      <w:color w:val="auto"/>
                      <w:sz w:val="21"/>
                      <w:szCs w:val="21"/>
                    </w:rPr>
                  </w:pPr>
                  <w:r>
                    <w:rPr>
                      <w:rFonts w:hint="eastAsia"/>
                      <w:color w:val="auto"/>
                      <w:sz w:val="21"/>
                      <w:szCs w:val="21"/>
                    </w:rPr>
                    <w:t>明确受灾人员的安置及赔偿方案等</w:t>
                  </w:r>
                </w:p>
              </w:tc>
            </w:tr>
            <w:tr w14:paraId="5860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3A474DBD">
                  <w:pPr>
                    <w:adjustRightInd w:val="0"/>
                    <w:snapToGrid w:val="0"/>
                    <w:spacing w:before="60" w:after="60" w:line="240" w:lineRule="auto"/>
                    <w:jc w:val="center"/>
                    <w:rPr>
                      <w:color w:val="auto"/>
                      <w:sz w:val="21"/>
                      <w:szCs w:val="21"/>
                    </w:rPr>
                  </w:pPr>
                  <w:r>
                    <w:rPr>
                      <w:rFonts w:hint="eastAsia"/>
                      <w:color w:val="auto"/>
                      <w:sz w:val="21"/>
                      <w:szCs w:val="21"/>
                    </w:rPr>
                    <w:t>8</w:t>
                  </w:r>
                </w:p>
              </w:tc>
              <w:tc>
                <w:tcPr>
                  <w:tcW w:w="1734" w:type="dxa"/>
                  <w:vAlign w:val="center"/>
                </w:tcPr>
                <w:p w14:paraId="4BD427E7">
                  <w:pPr>
                    <w:adjustRightInd w:val="0"/>
                    <w:snapToGrid w:val="0"/>
                    <w:spacing w:before="60" w:after="60" w:line="240" w:lineRule="auto"/>
                    <w:jc w:val="center"/>
                    <w:rPr>
                      <w:color w:val="auto"/>
                      <w:sz w:val="21"/>
                      <w:szCs w:val="21"/>
                    </w:rPr>
                  </w:pPr>
                  <w:r>
                    <w:rPr>
                      <w:rFonts w:hint="eastAsia"/>
                      <w:color w:val="auto"/>
                      <w:sz w:val="21"/>
                      <w:szCs w:val="21"/>
                    </w:rPr>
                    <w:t>应急保障</w:t>
                  </w:r>
                </w:p>
              </w:tc>
              <w:tc>
                <w:tcPr>
                  <w:tcW w:w="5919" w:type="dxa"/>
                  <w:vAlign w:val="center"/>
                </w:tcPr>
                <w:p w14:paraId="3496DCDD">
                  <w:pPr>
                    <w:adjustRightInd w:val="0"/>
                    <w:snapToGrid w:val="0"/>
                    <w:spacing w:before="60" w:after="60" w:line="240" w:lineRule="auto"/>
                    <w:jc w:val="center"/>
                    <w:rPr>
                      <w:color w:val="auto"/>
                      <w:sz w:val="21"/>
                      <w:szCs w:val="21"/>
                    </w:rPr>
                  </w:pPr>
                  <w:r>
                    <w:rPr>
                      <w:rFonts w:hint="eastAsia"/>
                      <w:color w:val="auto"/>
                      <w:sz w:val="21"/>
                      <w:szCs w:val="21"/>
                    </w:rPr>
                    <w:t>明确应急保障计划、应急物资、装备保障及其他保障措施等</w:t>
                  </w:r>
                </w:p>
              </w:tc>
            </w:tr>
            <w:tr w14:paraId="45D7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69" w:type="dxa"/>
                  <w:vAlign w:val="center"/>
                </w:tcPr>
                <w:p w14:paraId="448BE50D">
                  <w:pPr>
                    <w:adjustRightInd w:val="0"/>
                    <w:snapToGrid w:val="0"/>
                    <w:spacing w:before="60" w:after="60" w:line="240" w:lineRule="auto"/>
                    <w:jc w:val="center"/>
                    <w:rPr>
                      <w:color w:val="auto"/>
                      <w:sz w:val="21"/>
                      <w:szCs w:val="21"/>
                    </w:rPr>
                  </w:pPr>
                  <w:r>
                    <w:rPr>
                      <w:rFonts w:hint="eastAsia"/>
                      <w:color w:val="auto"/>
                      <w:sz w:val="21"/>
                      <w:szCs w:val="21"/>
                    </w:rPr>
                    <w:t>9</w:t>
                  </w:r>
                </w:p>
              </w:tc>
              <w:tc>
                <w:tcPr>
                  <w:tcW w:w="1734" w:type="dxa"/>
                  <w:vAlign w:val="center"/>
                </w:tcPr>
                <w:p w14:paraId="0490FEFF">
                  <w:pPr>
                    <w:adjustRightInd w:val="0"/>
                    <w:snapToGrid w:val="0"/>
                    <w:spacing w:before="60" w:after="60" w:line="240" w:lineRule="auto"/>
                    <w:jc w:val="center"/>
                    <w:rPr>
                      <w:color w:val="auto"/>
                      <w:sz w:val="21"/>
                      <w:szCs w:val="21"/>
                    </w:rPr>
                  </w:pPr>
                  <w:r>
                    <w:rPr>
                      <w:rFonts w:hint="eastAsia"/>
                      <w:color w:val="auto"/>
                      <w:sz w:val="21"/>
                      <w:szCs w:val="21"/>
                    </w:rPr>
                    <w:t>预案管理</w:t>
                  </w:r>
                </w:p>
              </w:tc>
              <w:tc>
                <w:tcPr>
                  <w:tcW w:w="5919" w:type="dxa"/>
                  <w:vAlign w:val="center"/>
                </w:tcPr>
                <w:p w14:paraId="51A7DAFE">
                  <w:pPr>
                    <w:adjustRightInd w:val="0"/>
                    <w:snapToGrid w:val="0"/>
                    <w:spacing w:before="60" w:after="60" w:line="240" w:lineRule="auto"/>
                    <w:jc w:val="center"/>
                    <w:rPr>
                      <w:color w:val="auto"/>
                      <w:sz w:val="21"/>
                      <w:szCs w:val="21"/>
                    </w:rPr>
                  </w:pPr>
                  <w:r>
                    <w:rPr>
                      <w:rFonts w:hint="eastAsia"/>
                      <w:color w:val="auto"/>
                      <w:sz w:val="21"/>
                      <w:szCs w:val="21"/>
                    </w:rPr>
                    <w:t>明确预案的演练计划、修订方案及备案程序等</w:t>
                  </w:r>
                </w:p>
              </w:tc>
            </w:tr>
          </w:tbl>
          <w:p w14:paraId="4107B121">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针对可能存在的环境风险，拟建项目应当设立事故状态下的应急救援领导小组。应急救援领导小组是公司为预防和处置各类突发事故的常设机构，其主要职责有：</w:t>
            </w:r>
          </w:p>
          <w:p w14:paraId="68F01D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（1）编制和修改事故应急救援预案。</w:t>
            </w:r>
          </w:p>
          <w:p w14:paraId="63C111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（2）组建应急救援队伍并组织实施训练和演习。</w:t>
            </w:r>
          </w:p>
          <w:p w14:paraId="573A54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（3）检查各项安全工作的实施情况。</w:t>
            </w:r>
          </w:p>
          <w:p w14:paraId="12BC66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（4）检查督促做好重大事故的预防措施和应急救援的各项准备工作。</w:t>
            </w:r>
          </w:p>
          <w:p w14:paraId="6AF6A6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（5）在应急救援行动中发布和解除各项命令。</w:t>
            </w:r>
          </w:p>
          <w:p w14:paraId="6F1029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（6）负责向上级和政府有关部门报告以及向友邻单位、周边居民通报事故情况。</w:t>
            </w:r>
          </w:p>
          <w:p w14:paraId="0A8DCE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color w:val="auto"/>
              </w:rPr>
            </w:pPr>
            <w:r>
              <w:rPr>
                <w:rFonts w:hint="default" w:ascii="Times New Roman" w:hAnsi="Times New Roman" w:eastAsia="宋体" w:cs="Times New Roman"/>
                <w:b w:val="0"/>
                <w:bCs/>
                <w:color w:val="auto"/>
                <w:sz w:val="24"/>
                <w:szCs w:val="24"/>
                <w:lang w:val="en-US" w:eastAsia="zh-CN"/>
              </w:rPr>
              <w:t>（7）负责组织调查事故发生的原因、妥善处理事故并总结经验教训</w:t>
            </w:r>
            <w:r>
              <w:rPr>
                <w:rFonts w:hint="eastAsia"/>
                <w:color w:val="auto"/>
                <w:sz w:val="24"/>
              </w:rPr>
              <w:t>。</w:t>
            </w:r>
          </w:p>
          <w:p w14:paraId="77FD75D2">
            <w:pPr>
              <w:widowControl/>
              <w:spacing w:line="360" w:lineRule="auto"/>
              <w:jc w:val="left"/>
              <w:rPr>
                <w:b/>
                <w:bCs/>
                <w:color w:val="auto"/>
                <w:sz w:val="24"/>
              </w:rPr>
            </w:pPr>
            <w:r>
              <w:rPr>
                <w:rFonts w:hint="eastAsia"/>
                <w:b/>
                <w:bCs/>
                <w:color w:val="auto"/>
                <w:sz w:val="24"/>
              </w:rPr>
              <w:t>七、环保投资</w:t>
            </w:r>
          </w:p>
          <w:p w14:paraId="7E148119">
            <w:pPr>
              <w:spacing w:line="360" w:lineRule="auto"/>
              <w:ind w:firstLine="573"/>
              <w:rPr>
                <w:color w:val="auto"/>
                <w:sz w:val="24"/>
              </w:rPr>
            </w:pPr>
            <w:r>
              <w:rPr>
                <w:color w:val="auto"/>
                <w:sz w:val="24"/>
              </w:rPr>
              <w:t>本项目环保投资约为</w:t>
            </w:r>
            <w:r>
              <w:rPr>
                <w:rFonts w:hint="eastAsia"/>
                <w:color w:val="auto"/>
                <w:sz w:val="24"/>
                <w:lang w:val="en-US" w:eastAsia="zh-CN"/>
              </w:rPr>
              <w:t>60</w:t>
            </w:r>
            <w:r>
              <w:rPr>
                <w:color w:val="auto"/>
                <w:sz w:val="24"/>
              </w:rPr>
              <w:t>万元，占总投资</w:t>
            </w:r>
            <w:r>
              <w:rPr>
                <w:rFonts w:hint="eastAsia"/>
                <w:color w:val="auto"/>
                <w:sz w:val="24"/>
                <w:lang w:val="en-US" w:eastAsia="zh-CN"/>
              </w:rPr>
              <w:t>1000</w:t>
            </w:r>
            <w:r>
              <w:rPr>
                <w:color w:val="auto"/>
                <w:sz w:val="24"/>
              </w:rPr>
              <w:t>万</w:t>
            </w:r>
            <w:r>
              <w:rPr>
                <w:rFonts w:hint="eastAsia"/>
                <w:color w:val="auto"/>
                <w:sz w:val="24"/>
              </w:rPr>
              <w:t>元</w:t>
            </w:r>
            <w:r>
              <w:rPr>
                <w:color w:val="auto"/>
                <w:sz w:val="24"/>
              </w:rPr>
              <w:t>的</w:t>
            </w:r>
            <w:r>
              <w:rPr>
                <w:rFonts w:hint="eastAsia"/>
                <w:color w:val="auto"/>
                <w:sz w:val="24"/>
                <w:lang w:val="en-US" w:eastAsia="zh-CN"/>
              </w:rPr>
              <w:t>6.00</w:t>
            </w:r>
            <w:r>
              <w:rPr>
                <w:color w:val="auto"/>
                <w:sz w:val="24"/>
              </w:rPr>
              <w:t>%，主要环保投资见下表。</w:t>
            </w:r>
          </w:p>
          <w:p w14:paraId="0B8F6388">
            <w:pPr>
              <w:ind w:firstLine="422" w:firstLineChars="200"/>
              <w:jc w:val="center"/>
              <w:rPr>
                <w:b/>
                <w:bCs/>
                <w:color w:val="auto"/>
                <w:szCs w:val="21"/>
              </w:rPr>
            </w:pPr>
            <w:r>
              <w:rPr>
                <w:b/>
                <w:bCs/>
                <w:color w:val="auto"/>
                <w:szCs w:val="21"/>
              </w:rPr>
              <w:t>表</w:t>
            </w:r>
            <w:r>
              <w:rPr>
                <w:rFonts w:hint="eastAsia"/>
                <w:b/>
                <w:bCs/>
                <w:color w:val="auto"/>
                <w:szCs w:val="21"/>
              </w:rPr>
              <w:t>4-1</w:t>
            </w:r>
            <w:r>
              <w:rPr>
                <w:rFonts w:hint="eastAsia"/>
                <w:b/>
                <w:bCs/>
                <w:color w:val="auto"/>
                <w:szCs w:val="21"/>
                <w:lang w:val="en-US" w:eastAsia="zh-CN"/>
              </w:rPr>
              <w:t>5</w:t>
            </w:r>
            <w:r>
              <w:rPr>
                <w:b/>
                <w:bCs/>
                <w:color w:val="auto"/>
                <w:szCs w:val="21"/>
              </w:rPr>
              <w:t xml:space="preserve"> 环保投资及</w:t>
            </w:r>
            <w:r>
              <w:rPr>
                <w:rFonts w:hint="eastAsia"/>
                <w:b/>
                <w:bCs/>
                <w:color w:val="auto"/>
                <w:szCs w:val="21"/>
              </w:rPr>
              <w:t>“</w:t>
            </w:r>
            <w:r>
              <w:rPr>
                <w:b/>
                <w:bCs/>
                <w:color w:val="auto"/>
                <w:szCs w:val="21"/>
              </w:rPr>
              <w:t>三同时</w:t>
            </w:r>
            <w:r>
              <w:rPr>
                <w:rFonts w:hint="eastAsia"/>
                <w:b/>
                <w:bCs/>
                <w:color w:val="auto"/>
                <w:szCs w:val="21"/>
              </w:rPr>
              <w:t>”</w:t>
            </w:r>
            <w:r>
              <w:rPr>
                <w:b/>
                <w:bCs/>
                <w:color w:val="auto"/>
                <w:szCs w:val="21"/>
              </w:rPr>
              <w:t>验收一览表</w:t>
            </w:r>
            <w:r>
              <w:rPr>
                <w:rFonts w:hint="eastAsia"/>
                <w:b/>
                <w:bCs/>
                <w:color w:val="auto"/>
                <w:szCs w:val="21"/>
              </w:rPr>
              <w:t xml:space="preserve">  单位：万元</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555"/>
              <w:gridCol w:w="4214"/>
              <w:gridCol w:w="693"/>
              <w:gridCol w:w="1321"/>
            </w:tblGrid>
            <w:tr w14:paraId="0EE2A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tcBorders>
                    <w:tl2br w:val="nil"/>
                    <w:tr2bl w:val="nil"/>
                  </w:tcBorders>
                  <w:noWrap/>
                  <w:vAlign w:val="center"/>
                </w:tcPr>
                <w:p w14:paraId="764101B0">
                  <w:pPr>
                    <w:adjustRightInd w:val="0"/>
                    <w:snapToGrid w:val="0"/>
                    <w:spacing w:before="60" w:after="60"/>
                    <w:jc w:val="center"/>
                    <w:rPr>
                      <w:b/>
                      <w:bCs/>
                      <w:color w:val="auto"/>
                      <w:sz w:val="21"/>
                      <w:szCs w:val="21"/>
                    </w:rPr>
                  </w:pPr>
                  <w:r>
                    <w:rPr>
                      <w:b/>
                      <w:bCs/>
                      <w:color w:val="auto"/>
                      <w:sz w:val="21"/>
                      <w:szCs w:val="21"/>
                    </w:rPr>
                    <w:t>项目</w:t>
                  </w:r>
                </w:p>
              </w:tc>
              <w:tc>
                <w:tcPr>
                  <w:tcW w:w="941" w:type="pct"/>
                  <w:tcBorders>
                    <w:tl2br w:val="nil"/>
                    <w:tr2bl w:val="nil"/>
                  </w:tcBorders>
                  <w:noWrap/>
                  <w:vAlign w:val="center"/>
                </w:tcPr>
                <w:p w14:paraId="136F4A77">
                  <w:pPr>
                    <w:adjustRightInd w:val="0"/>
                    <w:snapToGrid w:val="0"/>
                    <w:spacing w:before="60" w:after="60"/>
                    <w:jc w:val="center"/>
                    <w:rPr>
                      <w:b/>
                      <w:bCs/>
                      <w:color w:val="auto"/>
                      <w:sz w:val="21"/>
                      <w:szCs w:val="21"/>
                    </w:rPr>
                  </w:pPr>
                  <w:r>
                    <w:rPr>
                      <w:b/>
                      <w:bCs/>
                      <w:color w:val="auto"/>
                      <w:sz w:val="21"/>
                      <w:szCs w:val="21"/>
                    </w:rPr>
                    <w:t>污染源</w:t>
                  </w:r>
                </w:p>
              </w:tc>
              <w:tc>
                <w:tcPr>
                  <w:tcW w:w="2550" w:type="pct"/>
                  <w:tcBorders>
                    <w:tl2br w:val="nil"/>
                    <w:tr2bl w:val="nil"/>
                  </w:tcBorders>
                  <w:noWrap/>
                  <w:vAlign w:val="center"/>
                </w:tcPr>
                <w:p w14:paraId="6CE0B0C1">
                  <w:pPr>
                    <w:adjustRightInd w:val="0"/>
                    <w:snapToGrid w:val="0"/>
                    <w:spacing w:before="60" w:after="60"/>
                    <w:jc w:val="center"/>
                    <w:rPr>
                      <w:b/>
                      <w:bCs/>
                      <w:color w:val="auto"/>
                      <w:sz w:val="21"/>
                      <w:szCs w:val="21"/>
                    </w:rPr>
                  </w:pPr>
                  <w:r>
                    <w:rPr>
                      <w:b/>
                      <w:bCs/>
                      <w:color w:val="auto"/>
                      <w:sz w:val="21"/>
                      <w:szCs w:val="21"/>
                    </w:rPr>
                    <w:t>主要污染防治措施</w:t>
                  </w:r>
                </w:p>
              </w:tc>
              <w:tc>
                <w:tcPr>
                  <w:tcW w:w="420" w:type="pct"/>
                  <w:tcBorders>
                    <w:tl2br w:val="nil"/>
                    <w:tr2bl w:val="nil"/>
                  </w:tcBorders>
                  <w:noWrap/>
                  <w:vAlign w:val="center"/>
                </w:tcPr>
                <w:p w14:paraId="15BC33BD">
                  <w:pPr>
                    <w:adjustRightInd w:val="0"/>
                    <w:snapToGrid w:val="0"/>
                    <w:spacing w:before="60" w:after="60"/>
                    <w:jc w:val="center"/>
                    <w:rPr>
                      <w:b/>
                      <w:bCs/>
                      <w:color w:val="auto"/>
                      <w:sz w:val="21"/>
                      <w:szCs w:val="21"/>
                    </w:rPr>
                  </w:pPr>
                  <w:r>
                    <w:rPr>
                      <w:b/>
                      <w:bCs/>
                      <w:color w:val="auto"/>
                      <w:sz w:val="21"/>
                      <w:szCs w:val="21"/>
                    </w:rPr>
                    <w:t>投资</w:t>
                  </w:r>
                </w:p>
              </w:tc>
              <w:tc>
                <w:tcPr>
                  <w:tcW w:w="800" w:type="pct"/>
                  <w:tcBorders>
                    <w:tl2br w:val="nil"/>
                    <w:tr2bl w:val="nil"/>
                  </w:tcBorders>
                  <w:noWrap/>
                  <w:vAlign w:val="center"/>
                </w:tcPr>
                <w:p w14:paraId="4C838DE8">
                  <w:pPr>
                    <w:adjustRightInd w:val="0"/>
                    <w:snapToGrid w:val="0"/>
                    <w:spacing w:before="60" w:after="60"/>
                    <w:jc w:val="center"/>
                    <w:rPr>
                      <w:b/>
                      <w:bCs/>
                      <w:color w:val="auto"/>
                      <w:sz w:val="21"/>
                      <w:szCs w:val="21"/>
                    </w:rPr>
                  </w:pPr>
                  <w:r>
                    <w:rPr>
                      <w:b/>
                      <w:bCs/>
                      <w:color w:val="auto"/>
                      <w:sz w:val="21"/>
                      <w:szCs w:val="21"/>
                    </w:rPr>
                    <w:t>完成时间</w:t>
                  </w:r>
                </w:p>
              </w:tc>
            </w:tr>
            <w:tr w14:paraId="75FB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Merge w:val="restart"/>
                  <w:tcBorders>
                    <w:tl2br w:val="nil"/>
                    <w:tr2bl w:val="nil"/>
                  </w:tcBorders>
                  <w:noWrap/>
                  <w:vAlign w:val="center"/>
                </w:tcPr>
                <w:p w14:paraId="00E4331D">
                  <w:pPr>
                    <w:adjustRightInd w:val="0"/>
                    <w:snapToGrid w:val="0"/>
                    <w:spacing w:before="60" w:after="60"/>
                    <w:jc w:val="center"/>
                    <w:rPr>
                      <w:color w:val="auto"/>
                      <w:sz w:val="21"/>
                      <w:szCs w:val="21"/>
                    </w:rPr>
                  </w:pPr>
                  <w:r>
                    <w:rPr>
                      <w:color w:val="auto"/>
                      <w:sz w:val="21"/>
                      <w:szCs w:val="21"/>
                    </w:rPr>
                    <w:t>废气</w:t>
                  </w:r>
                </w:p>
              </w:tc>
              <w:tc>
                <w:tcPr>
                  <w:tcW w:w="941" w:type="pct"/>
                  <w:tcBorders>
                    <w:tl2br w:val="nil"/>
                    <w:tr2bl w:val="nil"/>
                  </w:tcBorders>
                  <w:noWrap/>
                  <w:vAlign w:val="center"/>
                </w:tcPr>
                <w:p w14:paraId="7C884D13">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沼气锅炉废气</w:t>
                  </w:r>
                </w:p>
              </w:tc>
              <w:tc>
                <w:tcPr>
                  <w:tcW w:w="2550" w:type="pct"/>
                  <w:tcBorders>
                    <w:tl2br w:val="nil"/>
                    <w:tr2bl w:val="nil"/>
                  </w:tcBorders>
                  <w:noWrap/>
                  <w:vAlign w:val="center"/>
                </w:tcPr>
                <w:p w14:paraId="243698DB">
                  <w:pPr>
                    <w:adjustRightInd w:val="0"/>
                    <w:snapToGrid w:val="0"/>
                    <w:spacing w:before="60" w:after="60"/>
                    <w:jc w:val="center"/>
                    <w:rPr>
                      <w:color w:val="auto"/>
                      <w:kern w:val="0"/>
                      <w:sz w:val="21"/>
                      <w:szCs w:val="21"/>
                    </w:rPr>
                  </w:pPr>
                  <w:r>
                    <w:rPr>
                      <w:rFonts w:hint="eastAsia"/>
                      <w:color w:val="auto"/>
                      <w:kern w:val="0"/>
                      <w:sz w:val="21"/>
                      <w:szCs w:val="21"/>
                      <w:lang w:val="en-US" w:eastAsia="zh-CN"/>
                    </w:rPr>
                    <w:t>低氮燃烧器</w:t>
                  </w:r>
                  <w:r>
                    <w:rPr>
                      <w:rFonts w:hint="eastAsia"/>
                      <w:color w:val="auto"/>
                      <w:kern w:val="0"/>
                      <w:sz w:val="21"/>
                      <w:szCs w:val="21"/>
                    </w:rPr>
                    <w:t>+</w:t>
                  </w:r>
                  <w:r>
                    <w:rPr>
                      <w:rFonts w:hint="eastAsia"/>
                      <w:color w:val="auto"/>
                      <w:kern w:val="0"/>
                      <w:sz w:val="21"/>
                      <w:szCs w:val="21"/>
                      <w:lang w:val="en-US" w:eastAsia="zh-CN"/>
                    </w:rPr>
                    <w:t>8</w:t>
                  </w:r>
                  <w:r>
                    <w:rPr>
                      <w:color w:val="auto"/>
                      <w:kern w:val="0"/>
                      <w:sz w:val="21"/>
                      <w:szCs w:val="21"/>
                    </w:rPr>
                    <w:t>m高排气筒</w:t>
                  </w:r>
                </w:p>
              </w:tc>
              <w:tc>
                <w:tcPr>
                  <w:tcW w:w="420" w:type="pct"/>
                  <w:tcBorders>
                    <w:tl2br w:val="nil"/>
                    <w:tr2bl w:val="nil"/>
                  </w:tcBorders>
                  <w:noWrap/>
                  <w:vAlign w:val="center"/>
                </w:tcPr>
                <w:p w14:paraId="411DEABB">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20</w:t>
                  </w:r>
                </w:p>
              </w:tc>
              <w:tc>
                <w:tcPr>
                  <w:tcW w:w="800" w:type="pct"/>
                  <w:vMerge w:val="restart"/>
                  <w:tcBorders>
                    <w:tl2br w:val="nil"/>
                    <w:tr2bl w:val="nil"/>
                  </w:tcBorders>
                  <w:noWrap/>
                  <w:vAlign w:val="center"/>
                </w:tcPr>
                <w:p w14:paraId="7ED98DB9">
                  <w:pPr>
                    <w:adjustRightInd w:val="0"/>
                    <w:snapToGrid w:val="0"/>
                    <w:spacing w:before="60" w:after="60"/>
                    <w:jc w:val="center"/>
                    <w:rPr>
                      <w:color w:val="auto"/>
                      <w:sz w:val="21"/>
                      <w:szCs w:val="21"/>
                    </w:rPr>
                  </w:pPr>
                  <w:r>
                    <w:rPr>
                      <w:color w:val="auto"/>
                      <w:sz w:val="21"/>
                      <w:szCs w:val="21"/>
                    </w:rPr>
                    <w:t>与建设项目同时设计，同时施工，同时投入运行</w:t>
                  </w:r>
                </w:p>
              </w:tc>
            </w:tr>
            <w:tr w14:paraId="059C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Merge w:val="continue"/>
                  <w:tcBorders>
                    <w:tl2br w:val="nil"/>
                    <w:tr2bl w:val="nil"/>
                  </w:tcBorders>
                  <w:noWrap/>
                  <w:vAlign w:val="center"/>
                </w:tcPr>
                <w:p w14:paraId="5CF44DF8">
                  <w:pPr>
                    <w:adjustRightInd w:val="0"/>
                    <w:snapToGrid w:val="0"/>
                    <w:spacing w:before="60" w:after="60"/>
                    <w:jc w:val="center"/>
                    <w:rPr>
                      <w:color w:val="auto"/>
                      <w:sz w:val="21"/>
                      <w:szCs w:val="21"/>
                    </w:rPr>
                  </w:pPr>
                </w:p>
              </w:tc>
              <w:tc>
                <w:tcPr>
                  <w:tcW w:w="941" w:type="pct"/>
                  <w:tcBorders>
                    <w:tl2br w:val="nil"/>
                    <w:tr2bl w:val="nil"/>
                  </w:tcBorders>
                  <w:noWrap/>
                  <w:vAlign w:val="center"/>
                </w:tcPr>
                <w:p w14:paraId="78C66F0B">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厂区无组织</w:t>
                  </w:r>
                  <w:r>
                    <w:rPr>
                      <w:rFonts w:hint="eastAsia"/>
                      <w:color w:val="auto"/>
                      <w:sz w:val="21"/>
                      <w:szCs w:val="21"/>
                    </w:rPr>
                    <w:t>恶臭废气</w:t>
                  </w:r>
                  <w:r>
                    <w:rPr>
                      <w:rFonts w:hint="eastAsia"/>
                      <w:color w:val="auto"/>
                      <w:sz w:val="21"/>
                      <w:szCs w:val="21"/>
                      <w:lang w:val="en-US" w:eastAsia="zh-CN"/>
                    </w:rPr>
                    <w:t>和粉尘</w:t>
                  </w:r>
                </w:p>
              </w:tc>
              <w:tc>
                <w:tcPr>
                  <w:tcW w:w="2550" w:type="pct"/>
                  <w:tcBorders>
                    <w:tl2br w:val="nil"/>
                    <w:tr2bl w:val="nil"/>
                  </w:tcBorders>
                  <w:noWrap/>
                  <w:vAlign w:val="center"/>
                </w:tcPr>
                <w:p w14:paraId="0BC20247">
                  <w:pPr>
                    <w:adjustRightInd w:val="0"/>
                    <w:snapToGrid w:val="0"/>
                    <w:spacing w:before="60" w:after="60"/>
                    <w:jc w:val="center"/>
                    <w:rPr>
                      <w:rFonts w:hint="default" w:eastAsia="宋体"/>
                      <w:color w:val="auto"/>
                      <w:sz w:val="21"/>
                      <w:szCs w:val="21"/>
                      <w:lang w:val="en-US" w:eastAsia="zh-CN"/>
                    </w:rPr>
                  </w:pPr>
                  <w:r>
                    <w:rPr>
                      <w:rFonts w:hint="eastAsia"/>
                      <w:color w:val="auto"/>
                      <w:kern w:val="0"/>
                      <w:sz w:val="21"/>
                      <w:szCs w:val="21"/>
                      <w:lang w:val="en-US" w:eastAsia="zh-CN"/>
                    </w:rPr>
                    <w:t>加强车间通风换风</w:t>
                  </w:r>
                </w:p>
              </w:tc>
              <w:tc>
                <w:tcPr>
                  <w:tcW w:w="420" w:type="pct"/>
                  <w:tcBorders>
                    <w:tl2br w:val="nil"/>
                    <w:tr2bl w:val="nil"/>
                  </w:tcBorders>
                  <w:noWrap/>
                  <w:vAlign w:val="center"/>
                </w:tcPr>
                <w:p w14:paraId="1FAF0431">
                  <w:pPr>
                    <w:adjustRightInd w:val="0"/>
                    <w:snapToGrid w:val="0"/>
                    <w:spacing w:before="60" w:after="60"/>
                    <w:jc w:val="center"/>
                    <w:rPr>
                      <w:color w:val="auto"/>
                      <w:sz w:val="21"/>
                      <w:szCs w:val="21"/>
                    </w:rPr>
                  </w:pPr>
                  <w:r>
                    <w:rPr>
                      <w:rFonts w:hint="eastAsia"/>
                      <w:color w:val="auto"/>
                      <w:sz w:val="21"/>
                      <w:szCs w:val="21"/>
                    </w:rPr>
                    <w:t>10</w:t>
                  </w:r>
                </w:p>
              </w:tc>
              <w:tc>
                <w:tcPr>
                  <w:tcW w:w="800" w:type="pct"/>
                  <w:vMerge w:val="continue"/>
                  <w:tcBorders>
                    <w:tl2br w:val="nil"/>
                    <w:tr2bl w:val="nil"/>
                  </w:tcBorders>
                  <w:noWrap/>
                  <w:vAlign w:val="center"/>
                </w:tcPr>
                <w:p w14:paraId="0EB01760">
                  <w:pPr>
                    <w:adjustRightInd w:val="0"/>
                    <w:snapToGrid w:val="0"/>
                    <w:spacing w:before="60" w:after="60"/>
                    <w:jc w:val="center"/>
                    <w:rPr>
                      <w:color w:val="auto"/>
                      <w:sz w:val="21"/>
                      <w:szCs w:val="21"/>
                    </w:rPr>
                  </w:pPr>
                </w:p>
              </w:tc>
            </w:tr>
            <w:tr w14:paraId="6802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tcBorders>
                    <w:tl2br w:val="nil"/>
                    <w:tr2bl w:val="nil"/>
                  </w:tcBorders>
                  <w:noWrap/>
                  <w:vAlign w:val="center"/>
                </w:tcPr>
                <w:p w14:paraId="15965915">
                  <w:pPr>
                    <w:adjustRightInd w:val="0"/>
                    <w:snapToGrid w:val="0"/>
                    <w:spacing w:before="60" w:after="60"/>
                    <w:jc w:val="center"/>
                    <w:rPr>
                      <w:color w:val="auto"/>
                      <w:sz w:val="21"/>
                      <w:szCs w:val="21"/>
                    </w:rPr>
                  </w:pPr>
                  <w:r>
                    <w:rPr>
                      <w:rFonts w:hint="eastAsia"/>
                      <w:color w:val="auto"/>
                      <w:sz w:val="21"/>
                      <w:szCs w:val="21"/>
                    </w:rPr>
                    <w:t>废水</w:t>
                  </w:r>
                </w:p>
              </w:tc>
              <w:tc>
                <w:tcPr>
                  <w:tcW w:w="941" w:type="pct"/>
                  <w:tcBorders>
                    <w:tl2br w:val="nil"/>
                    <w:tr2bl w:val="nil"/>
                  </w:tcBorders>
                  <w:noWrap/>
                  <w:vAlign w:val="center"/>
                </w:tcPr>
                <w:p w14:paraId="5CB0A6D7">
                  <w:pPr>
                    <w:adjustRightInd w:val="0"/>
                    <w:snapToGrid w:val="0"/>
                    <w:spacing w:before="60" w:after="60"/>
                    <w:jc w:val="center"/>
                    <w:rPr>
                      <w:color w:val="auto"/>
                      <w:sz w:val="21"/>
                      <w:szCs w:val="21"/>
                    </w:rPr>
                  </w:pPr>
                  <w:r>
                    <w:rPr>
                      <w:rFonts w:hint="eastAsia"/>
                      <w:color w:val="auto"/>
                      <w:sz w:val="21"/>
                      <w:szCs w:val="21"/>
                    </w:rPr>
                    <w:t>生产废气</w:t>
                  </w:r>
                </w:p>
              </w:tc>
              <w:tc>
                <w:tcPr>
                  <w:tcW w:w="2550" w:type="pct"/>
                  <w:tcBorders>
                    <w:tl2br w:val="nil"/>
                    <w:tr2bl w:val="nil"/>
                  </w:tcBorders>
                  <w:noWrap/>
                  <w:vAlign w:val="center"/>
                </w:tcPr>
                <w:p w14:paraId="53695175">
                  <w:pPr>
                    <w:adjustRightInd w:val="0"/>
                    <w:snapToGrid w:val="0"/>
                    <w:spacing w:before="60" w:after="60"/>
                    <w:jc w:val="center"/>
                    <w:rPr>
                      <w:rFonts w:hint="eastAsia" w:eastAsia="宋体"/>
                      <w:color w:val="auto"/>
                      <w:sz w:val="21"/>
                      <w:szCs w:val="21"/>
                      <w:lang w:eastAsia="zh-CN"/>
                    </w:rPr>
                  </w:pPr>
                  <w:r>
                    <w:rPr>
                      <w:rFonts w:hint="eastAsia"/>
                      <w:color w:val="auto"/>
                      <w:sz w:val="21"/>
                      <w:szCs w:val="21"/>
                    </w:rPr>
                    <w:t>生活污水经化粪池处理后和生产废水统一回用于</w:t>
                  </w:r>
                  <w:r>
                    <w:rPr>
                      <w:rFonts w:hint="eastAsia"/>
                      <w:color w:val="auto"/>
                      <w:sz w:val="21"/>
                      <w:szCs w:val="21"/>
                      <w:lang w:val="en-US" w:eastAsia="zh-CN"/>
                    </w:rPr>
                    <w:t>沼气发电系统</w:t>
                  </w:r>
                  <w:r>
                    <w:rPr>
                      <w:rFonts w:hint="eastAsia"/>
                      <w:color w:val="auto"/>
                      <w:sz w:val="21"/>
                      <w:szCs w:val="21"/>
                    </w:rPr>
                    <w:t>预处理池，不外排</w:t>
                  </w:r>
                  <w:r>
                    <w:rPr>
                      <w:rFonts w:hint="eastAsia"/>
                      <w:color w:val="auto"/>
                      <w:sz w:val="21"/>
                      <w:szCs w:val="21"/>
                      <w:lang w:eastAsia="zh-CN"/>
                    </w:rPr>
                    <w:t>（</w:t>
                  </w:r>
                  <w:r>
                    <w:rPr>
                      <w:rFonts w:hint="eastAsia"/>
                      <w:color w:val="auto"/>
                      <w:sz w:val="21"/>
                      <w:szCs w:val="21"/>
                      <w:lang w:val="en-US" w:eastAsia="zh-CN"/>
                    </w:rPr>
                    <w:t>管道布设及防渗等</w:t>
                  </w:r>
                  <w:r>
                    <w:rPr>
                      <w:rFonts w:hint="eastAsia"/>
                      <w:color w:val="auto"/>
                      <w:sz w:val="21"/>
                      <w:szCs w:val="21"/>
                      <w:lang w:eastAsia="zh-CN"/>
                    </w:rPr>
                    <w:t>）</w:t>
                  </w:r>
                </w:p>
              </w:tc>
              <w:tc>
                <w:tcPr>
                  <w:tcW w:w="420" w:type="pct"/>
                  <w:tcBorders>
                    <w:tl2br w:val="nil"/>
                    <w:tr2bl w:val="nil"/>
                  </w:tcBorders>
                  <w:noWrap/>
                  <w:vAlign w:val="center"/>
                </w:tcPr>
                <w:p w14:paraId="1B8821DC">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5</w:t>
                  </w:r>
                </w:p>
              </w:tc>
              <w:tc>
                <w:tcPr>
                  <w:tcW w:w="800" w:type="pct"/>
                  <w:vMerge w:val="continue"/>
                  <w:tcBorders>
                    <w:tl2br w:val="nil"/>
                    <w:tr2bl w:val="nil"/>
                  </w:tcBorders>
                  <w:noWrap/>
                  <w:vAlign w:val="center"/>
                </w:tcPr>
                <w:p w14:paraId="0D9F4128">
                  <w:pPr>
                    <w:adjustRightInd w:val="0"/>
                    <w:snapToGrid w:val="0"/>
                    <w:spacing w:before="60" w:after="60"/>
                    <w:jc w:val="center"/>
                    <w:rPr>
                      <w:color w:val="auto"/>
                      <w:sz w:val="21"/>
                      <w:szCs w:val="21"/>
                    </w:rPr>
                  </w:pPr>
                </w:p>
              </w:tc>
            </w:tr>
            <w:tr w14:paraId="2FF2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6" w:type="pct"/>
                  <w:tcBorders>
                    <w:tl2br w:val="nil"/>
                    <w:tr2bl w:val="nil"/>
                  </w:tcBorders>
                  <w:noWrap/>
                  <w:vAlign w:val="center"/>
                </w:tcPr>
                <w:p w14:paraId="05073717">
                  <w:pPr>
                    <w:adjustRightInd w:val="0"/>
                    <w:snapToGrid w:val="0"/>
                    <w:spacing w:before="60" w:after="60"/>
                    <w:jc w:val="center"/>
                    <w:rPr>
                      <w:color w:val="auto"/>
                      <w:sz w:val="21"/>
                      <w:szCs w:val="21"/>
                    </w:rPr>
                  </w:pPr>
                  <w:r>
                    <w:rPr>
                      <w:color w:val="auto"/>
                      <w:sz w:val="21"/>
                      <w:szCs w:val="21"/>
                    </w:rPr>
                    <w:t>噪声</w:t>
                  </w:r>
                </w:p>
              </w:tc>
              <w:tc>
                <w:tcPr>
                  <w:tcW w:w="941" w:type="pct"/>
                  <w:tcBorders>
                    <w:tl2br w:val="nil"/>
                    <w:tr2bl w:val="nil"/>
                  </w:tcBorders>
                  <w:noWrap/>
                  <w:vAlign w:val="center"/>
                </w:tcPr>
                <w:p w14:paraId="10DA0B11">
                  <w:pPr>
                    <w:adjustRightInd w:val="0"/>
                    <w:snapToGrid w:val="0"/>
                    <w:spacing w:before="60" w:after="60"/>
                    <w:jc w:val="center"/>
                    <w:rPr>
                      <w:color w:val="auto"/>
                      <w:sz w:val="21"/>
                      <w:szCs w:val="21"/>
                    </w:rPr>
                  </w:pPr>
                  <w:r>
                    <w:rPr>
                      <w:color w:val="auto"/>
                      <w:sz w:val="21"/>
                      <w:szCs w:val="21"/>
                    </w:rPr>
                    <w:t>主要产噪设备</w:t>
                  </w:r>
                </w:p>
              </w:tc>
              <w:tc>
                <w:tcPr>
                  <w:tcW w:w="2550" w:type="pct"/>
                  <w:tcBorders>
                    <w:tl2br w:val="nil"/>
                    <w:tr2bl w:val="nil"/>
                  </w:tcBorders>
                  <w:noWrap/>
                  <w:vAlign w:val="center"/>
                </w:tcPr>
                <w:p w14:paraId="30EB1D76">
                  <w:pPr>
                    <w:adjustRightInd w:val="0"/>
                    <w:snapToGrid w:val="0"/>
                    <w:spacing w:before="60" w:after="60"/>
                    <w:jc w:val="center"/>
                    <w:rPr>
                      <w:color w:val="auto"/>
                      <w:sz w:val="21"/>
                      <w:szCs w:val="21"/>
                    </w:rPr>
                  </w:pPr>
                  <w:r>
                    <w:rPr>
                      <w:color w:val="auto"/>
                      <w:sz w:val="21"/>
                      <w:szCs w:val="21"/>
                    </w:rPr>
                    <w:t>合理布局、减振、消声、隔声等措施</w:t>
                  </w:r>
                </w:p>
              </w:tc>
              <w:tc>
                <w:tcPr>
                  <w:tcW w:w="420" w:type="pct"/>
                  <w:tcBorders>
                    <w:tl2br w:val="nil"/>
                    <w:tr2bl w:val="nil"/>
                  </w:tcBorders>
                  <w:noWrap/>
                  <w:vAlign w:val="center"/>
                </w:tcPr>
                <w:p w14:paraId="5E14BDBF">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15</w:t>
                  </w:r>
                </w:p>
              </w:tc>
              <w:tc>
                <w:tcPr>
                  <w:tcW w:w="800" w:type="pct"/>
                  <w:vMerge w:val="continue"/>
                  <w:tcBorders>
                    <w:tl2br w:val="nil"/>
                    <w:tr2bl w:val="nil"/>
                  </w:tcBorders>
                  <w:noWrap/>
                  <w:vAlign w:val="center"/>
                </w:tcPr>
                <w:p w14:paraId="60DC2697">
                  <w:pPr>
                    <w:adjustRightInd w:val="0"/>
                    <w:snapToGrid w:val="0"/>
                    <w:spacing w:before="60" w:after="60"/>
                    <w:jc w:val="center"/>
                    <w:rPr>
                      <w:color w:val="auto"/>
                      <w:sz w:val="21"/>
                      <w:szCs w:val="21"/>
                    </w:rPr>
                  </w:pPr>
                </w:p>
              </w:tc>
            </w:tr>
            <w:tr w14:paraId="57CA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6" w:type="pct"/>
                  <w:vMerge w:val="restart"/>
                  <w:tcBorders>
                    <w:tl2br w:val="nil"/>
                    <w:tr2bl w:val="nil"/>
                  </w:tcBorders>
                  <w:noWrap/>
                  <w:vAlign w:val="center"/>
                </w:tcPr>
                <w:p w14:paraId="738584C7">
                  <w:pPr>
                    <w:adjustRightInd w:val="0"/>
                    <w:snapToGrid w:val="0"/>
                    <w:spacing w:before="60" w:after="60"/>
                    <w:jc w:val="center"/>
                    <w:rPr>
                      <w:color w:val="auto"/>
                      <w:sz w:val="21"/>
                      <w:szCs w:val="21"/>
                    </w:rPr>
                  </w:pPr>
                  <w:r>
                    <w:rPr>
                      <w:color w:val="auto"/>
                      <w:sz w:val="21"/>
                      <w:szCs w:val="21"/>
                    </w:rPr>
                    <w:t>固体</w:t>
                  </w:r>
                </w:p>
                <w:p w14:paraId="0C9E16AA">
                  <w:pPr>
                    <w:adjustRightInd w:val="0"/>
                    <w:snapToGrid w:val="0"/>
                    <w:spacing w:before="60" w:after="60"/>
                    <w:jc w:val="center"/>
                    <w:rPr>
                      <w:color w:val="auto"/>
                      <w:sz w:val="21"/>
                      <w:szCs w:val="21"/>
                    </w:rPr>
                  </w:pPr>
                  <w:r>
                    <w:rPr>
                      <w:color w:val="auto"/>
                      <w:sz w:val="21"/>
                      <w:szCs w:val="21"/>
                    </w:rPr>
                    <w:t>废物</w:t>
                  </w:r>
                </w:p>
              </w:tc>
              <w:tc>
                <w:tcPr>
                  <w:tcW w:w="941" w:type="pct"/>
                  <w:tcBorders>
                    <w:tl2br w:val="nil"/>
                    <w:tr2bl w:val="nil"/>
                  </w:tcBorders>
                  <w:noWrap/>
                  <w:vAlign w:val="center"/>
                </w:tcPr>
                <w:p w14:paraId="0075605A">
                  <w:pPr>
                    <w:adjustRightInd w:val="0"/>
                    <w:snapToGrid w:val="0"/>
                    <w:spacing w:before="60" w:after="60"/>
                    <w:jc w:val="center"/>
                    <w:rPr>
                      <w:bCs/>
                      <w:snapToGrid w:val="0"/>
                      <w:color w:val="auto"/>
                      <w:sz w:val="21"/>
                      <w:szCs w:val="21"/>
                    </w:rPr>
                  </w:pPr>
                  <w:r>
                    <w:rPr>
                      <w:rFonts w:hint="eastAsia"/>
                      <w:bCs/>
                      <w:snapToGrid w:val="0"/>
                      <w:color w:val="auto"/>
                      <w:sz w:val="21"/>
                      <w:szCs w:val="21"/>
                    </w:rPr>
                    <w:t>一般固废</w:t>
                  </w:r>
                </w:p>
              </w:tc>
              <w:tc>
                <w:tcPr>
                  <w:tcW w:w="2550" w:type="pct"/>
                  <w:tcBorders>
                    <w:tl2br w:val="nil"/>
                    <w:tr2bl w:val="nil"/>
                  </w:tcBorders>
                  <w:noWrap/>
                  <w:vAlign w:val="center"/>
                </w:tcPr>
                <w:p w14:paraId="13F78BD1">
                  <w:pPr>
                    <w:adjustRightInd w:val="0"/>
                    <w:snapToGrid w:val="0"/>
                    <w:spacing w:before="60" w:after="60"/>
                    <w:jc w:val="center"/>
                    <w:rPr>
                      <w:rFonts w:hint="default" w:eastAsia="宋体"/>
                      <w:bCs/>
                      <w:snapToGrid w:val="0"/>
                      <w:color w:val="auto"/>
                      <w:sz w:val="21"/>
                      <w:szCs w:val="21"/>
                      <w:lang w:val="en-US" w:eastAsia="zh-CN"/>
                    </w:rPr>
                  </w:pPr>
                  <w:r>
                    <w:rPr>
                      <w:rFonts w:hint="eastAsia"/>
                      <w:bCs/>
                      <w:snapToGrid w:val="0"/>
                      <w:color w:val="auto"/>
                      <w:sz w:val="21"/>
                      <w:szCs w:val="21"/>
                    </w:rPr>
                    <w:t>由生产厂家回收利用或</w:t>
                  </w:r>
                  <w:r>
                    <w:rPr>
                      <w:rFonts w:hint="eastAsia"/>
                      <w:bCs/>
                      <w:snapToGrid w:val="0"/>
                      <w:color w:val="auto"/>
                      <w:sz w:val="21"/>
                      <w:szCs w:val="21"/>
                      <w:lang w:val="en-US" w:eastAsia="zh-CN"/>
                    </w:rPr>
                    <w:t>作为饲料</w:t>
                  </w:r>
                </w:p>
              </w:tc>
              <w:tc>
                <w:tcPr>
                  <w:tcW w:w="420" w:type="pct"/>
                  <w:tcBorders>
                    <w:tl2br w:val="nil"/>
                    <w:tr2bl w:val="nil"/>
                  </w:tcBorders>
                  <w:noWrap/>
                  <w:vAlign w:val="center"/>
                </w:tcPr>
                <w:p w14:paraId="3E014A3A">
                  <w:pPr>
                    <w:adjustRightInd w:val="0"/>
                    <w:snapToGrid w:val="0"/>
                    <w:spacing w:before="60" w:after="60"/>
                    <w:jc w:val="center"/>
                    <w:rPr>
                      <w:color w:val="auto"/>
                      <w:sz w:val="21"/>
                      <w:szCs w:val="21"/>
                    </w:rPr>
                  </w:pPr>
                  <w:r>
                    <w:rPr>
                      <w:rFonts w:hint="eastAsia"/>
                      <w:color w:val="auto"/>
                      <w:sz w:val="21"/>
                      <w:szCs w:val="21"/>
                    </w:rPr>
                    <w:t>/</w:t>
                  </w:r>
                </w:p>
              </w:tc>
              <w:tc>
                <w:tcPr>
                  <w:tcW w:w="800" w:type="pct"/>
                  <w:vMerge w:val="continue"/>
                  <w:tcBorders>
                    <w:tl2br w:val="nil"/>
                    <w:tr2bl w:val="nil"/>
                  </w:tcBorders>
                  <w:noWrap/>
                  <w:vAlign w:val="center"/>
                </w:tcPr>
                <w:p w14:paraId="5F05B4D4">
                  <w:pPr>
                    <w:adjustRightInd w:val="0"/>
                    <w:snapToGrid w:val="0"/>
                    <w:spacing w:before="60" w:after="60"/>
                    <w:jc w:val="center"/>
                    <w:rPr>
                      <w:color w:val="auto"/>
                      <w:sz w:val="21"/>
                      <w:szCs w:val="21"/>
                    </w:rPr>
                  </w:pPr>
                </w:p>
              </w:tc>
            </w:tr>
            <w:tr w14:paraId="0937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6" w:type="pct"/>
                  <w:vMerge w:val="continue"/>
                  <w:tcBorders>
                    <w:tl2br w:val="nil"/>
                    <w:tr2bl w:val="nil"/>
                  </w:tcBorders>
                  <w:noWrap/>
                  <w:vAlign w:val="center"/>
                </w:tcPr>
                <w:p w14:paraId="0D6F0EF9">
                  <w:pPr>
                    <w:adjustRightInd w:val="0"/>
                    <w:snapToGrid w:val="0"/>
                    <w:spacing w:before="60" w:after="60"/>
                    <w:jc w:val="center"/>
                    <w:rPr>
                      <w:color w:val="auto"/>
                      <w:sz w:val="21"/>
                      <w:szCs w:val="21"/>
                    </w:rPr>
                  </w:pPr>
                </w:p>
              </w:tc>
              <w:tc>
                <w:tcPr>
                  <w:tcW w:w="941" w:type="pct"/>
                  <w:tcBorders>
                    <w:tl2br w:val="nil"/>
                    <w:tr2bl w:val="nil"/>
                  </w:tcBorders>
                  <w:noWrap/>
                  <w:vAlign w:val="center"/>
                </w:tcPr>
                <w:p w14:paraId="5E9EF4A7">
                  <w:pPr>
                    <w:adjustRightInd w:val="0"/>
                    <w:snapToGrid w:val="0"/>
                    <w:spacing w:before="60" w:after="60"/>
                    <w:jc w:val="center"/>
                    <w:rPr>
                      <w:bCs/>
                      <w:snapToGrid w:val="0"/>
                      <w:color w:val="auto"/>
                      <w:sz w:val="21"/>
                      <w:szCs w:val="21"/>
                    </w:rPr>
                  </w:pPr>
                  <w:r>
                    <w:rPr>
                      <w:rFonts w:hint="eastAsia"/>
                      <w:color w:val="auto"/>
                      <w:sz w:val="21"/>
                      <w:szCs w:val="21"/>
                    </w:rPr>
                    <w:t>生活垃圾</w:t>
                  </w:r>
                </w:p>
              </w:tc>
              <w:tc>
                <w:tcPr>
                  <w:tcW w:w="2550" w:type="pct"/>
                  <w:tcBorders>
                    <w:tl2br w:val="nil"/>
                    <w:tr2bl w:val="nil"/>
                  </w:tcBorders>
                  <w:noWrap/>
                  <w:vAlign w:val="center"/>
                </w:tcPr>
                <w:p w14:paraId="0E4D5215">
                  <w:pPr>
                    <w:adjustRightInd w:val="0"/>
                    <w:snapToGrid w:val="0"/>
                    <w:spacing w:before="60" w:after="60"/>
                    <w:jc w:val="center"/>
                    <w:rPr>
                      <w:bCs/>
                      <w:snapToGrid w:val="0"/>
                      <w:color w:val="auto"/>
                      <w:sz w:val="21"/>
                      <w:szCs w:val="21"/>
                    </w:rPr>
                  </w:pPr>
                  <w:r>
                    <w:rPr>
                      <w:rFonts w:hint="eastAsia"/>
                      <w:color w:val="auto"/>
                      <w:sz w:val="21"/>
                      <w:szCs w:val="21"/>
                    </w:rPr>
                    <w:t>垃圾桶，由</w:t>
                  </w:r>
                  <w:r>
                    <w:rPr>
                      <w:color w:val="auto"/>
                      <w:sz w:val="21"/>
                      <w:szCs w:val="21"/>
                    </w:rPr>
                    <w:t>环卫部门定期清运</w:t>
                  </w:r>
                </w:p>
              </w:tc>
              <w:tc>
                <w:tcPr>
                  <w:tcW w:w="420" w:type="pct"/>
                  <w:tcBorders>
                    <w:tl2br w:val="nil"/>
                    <w:tr2bl w:val="nil"/>
                  </w:tcBorders>
                  <w:noWrap/>
                  <w:vAlign w:val="center"/>
                </w:tcPr>
                <w:p w14:paraId="28598573">
                  <w:pPr>
                    <w:adjustRightInd w:val="0"/>
                    <w:snapToGrid w:val="0"/>
                    <w:spacing w:before="60" w:after="60"/>
                    <w:jc w:val="center"/>
                    <w:rPr>
                      <w:color w:val="auto"/>
                      <w:sz w:val="21"/>
                      <w:szCs w:val="21"/>
                    </w:rPr>
                  </w:pPr>
                  <w:r>
                    <w:rPr>
                      <w:rFonts w:hint="eastAsia"/>
                      <w:color w:val="auto"/>
                      <w:sz w:val="21"/>
                      <w:szCs w:val="21"/>
                    </w:rPr>
                    <w:t>/</w:t>
                  </w:r>
                </w:p>
              </w:tc>
              <w:tc>
                <w:tcPr>
                  <w:tcW w:w="800" w:type="pct"/>
                  <w:vMerge w:val="continue"/>
                  <w:tcBorders>
                    <w:tl2br w:val="nil"/>
                    <w:tr2bl w:val="nil"/>
                  </w:tcBorders>
                  <w:noWrap/>
                  <w:vAlign w:val="center"/>
                </w:tcPr>
                <w:p w14:paraId="0524CD25">
                  <w:pPr>
                    <w:adjustRightInd w:val="0"/>
                    <w:snapToGrid w:val="0"/>
                    <w:spacing w:before="60" w:after="60"/>
                    <w:jc w:val="center"/>
                    <w:rPr>
                      <w:color w:val="auto"/>
                      <w:sz w:val="21"/>
                      <w:szCs w:val="21"/>
                    </w:rPr>
                  </w:pPr>
                </w:p>
              </w:tc>
            </w:tr>
            <w:tr w14:paraId="7E3B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pct"/>
                  <w:gridSpan w:val="2"/>
                  <w:tcBorders>
                    <w:tl2br w:val="nil"/>
                    <w:tr2bl w:val="nil"/>
                  </w:tcBorders>
                  <w:noWrap/>
                  <w:vAlign w:val="center"/>
                </w:tcPr>
                <w:p w14:paraId="53AB687C">
                  <w:pPr>
                    <w:adjustRightInd w:val="0"/>
                    <w:snapToGrid w:val="0"/>
                    <w:spacing w:before="60" w:after="60"/>
                    <w:jc w:val="center"/>
                    <w:rPr>
                      <w:snapToGrid w:val="0"/>
                      <w:color w:val="auto"/>
                      <w:sz w:val="21"/>
                      <w:szCs w:val="21"/>
                    </w:rPr>
                  </w:pPr>
                  <w:r>
                    <w:rPr>
                      <w:snapToGrid w:val="0"/>
                      <w:color w:val="auto"/>
                      <w:sz w:val="21"/>
                      <w:szCs w:val="21"/>
                    </w:rPr>
                    <w:t>地下水防范措施</w:t>
                  </w:r>
                </w:p>
              </w:tc>
              <w:tc>
                <w:tcPr>
                  <w:tcW w:w="2550" w:type="pct"/>
                  <w:tcBorders>
                    <w:tl2br w:val="nil"/>
                    <w:tr2bl w:val="nil"/>
                  </w:tcBorders>
                  <w:noWrap/>
                  <w:vAlign w:val="center"/>
                </w:tcPr>
                <w:p w14:paraId="6F8B8A0D">
                  <w:pPr>
                    <w:adjustRightInd w:val="0"/>
                    <w:snapToGrid w:val="0"/>
                    <w:spacing w:before="60" w:after="60"/>
                    <w:jc w:val="center"/>
                    <w:rPr>
                      <w:rFonts w:hint="eastAsia" w:eastAsia="宋体"/>
                      <w:bCs/>
                      <w:color w:val="auto"/>
                      <w:sz w:val="21"/>
                      <w:szCs w:val="21"/>
                      <w:lang w:eastAsia="zh-CN"/>
                    </w:rPr>
                  </w:pPr>
                  <w:r>
                    <w:rPr>
                      <w:rFonts w:hint="eastAsia"/>
                      <w:color w:val="auto"/>
                      <w:sz w:val="21"/>
                      <w:szCs w:val="21"/>
                    </w:rPr>
                    <w:t>生产区域、办公区及道路</w:t>
                  </w:r>
                  <w:r>
                    <w:rPr>
                      <w:color w:val="auto"/>
                      <w:sz w:val="21"/>
                      <w:szCs w:val="21"/>
                    </w:rPr>
                    <w:t>等设置为一般防渗区</w:t>
                  </w:r>
                  <w:r>
                    <w:rPr>
                      <w:rFonts w:hint="eastAsia"/>
                      <w:color w:val="auto"/>
                      <w:sz w:val="21"/>
                      <w:szCs w:val="21"/>
                      <w:lang w:eastAsia="zh-CN"/>
                    </w:rPr>
                    <w:t>；废水运输管道放置于废水专用运输沟渠内进行运输，废水专用运输沟渠内进行防腐防渗处理</w:t>
                  </w:r>
                </w:p>
              </w:tc>
              <w:tc>
                <w:tcPr>
                  <w:tcW w:w="420" w:type="pct"/>
                  <w:tcBorders>
                    <w:tl2br w:val="nil"/>
                    <w:tr2bl w:val="nil"/>
                  </w:tcBorders>
                  <w:noWrap/>
                  <w:vAlign w:val="center"/>
                </w:tcPr>
                <w:p w14:paraId="7DC77DCE">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10</w:t>
                  </w:r>
                </w:p>
              </w:tc>
              <w:tc>
                <w:tcPr>
                  <w:tcW w:w="800" w:type="pct"/>
                  <w:vMerge w:val="continue"/>
                  <w:tcBorders>
                    <w:tl2br w:val="nil"/>
                    <w:tr2bl w:val="nil"/>
                  </w:tcBorders>
                  <w:noWrap/>
                  <w:vAlign w:val="center"/>
                </w:tcPr>
                <w:p w14:paraId="67B8585E">
                  <w:pPr>
                    <w:adjustRightInd w:val="0"/>
                    <w:snapToGrid w:val="0"/>
                    <w:spacing w:before="60" w:after="60"/>
                    <w:jc w:val="center"/>
                    <w:rPr>
                      <w:color w:val="auto"/>
                      <w:sz w:val="21"/>
                      <w:szCs w:val="21"/>
                    </w:rPr>
                  </w:pPr>
                </w:p>
              </w:tc>
            </w:tr>
            <w:tr w14:paraId="0B9A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7" w:type="pct"/>
                  <w:gridSpan w:val="2"/>
                  <w:tcBorders>
                    <w:tl2br w:val="nil"/>
                    <w:tr2bl w:val="nil"/>
                  </w:tcBorders>
                  <w:noWrap/>
                  <w:vAlign w:val="center"/>
                </w:tcPr>
                <w:p w14:paraId="66893630">
                  <w:pPr>
                    <w:adjustRightInd w:val="0"/>
                    <w:snapToGrid w:val="0"/>
                    <w:spacing w:before="60" w:after="60"/>
                    <w:jc w:val="center"/>
                    <w:rPr>
                      <w:snapToGrid w:val="0"/>
                      <w:color w:val="auto"/>
                      <w:sz w:val="21"/>
                      <w:szCs w:val="21"/>
                    </w:rPr>
                  </w:pPr>
                  <w:r>
                    <w:rPr>
                      <w:rFonts w:hint="eastAsia"/>
                      <w:snapToGrid w:val="0"/>
                      <w:color w:val="auto"/>
                      <w:sz w:val="21"/>
                      <w:szCs w:val="21"/>
                    </w:rPr>
                    <w:t>合计</w:t>
                  </w:r>
                </w:p>
              </w:tc>
              <w:tc>
                <w:tcPr>
                  <w:tcW w:w="2550" w:type="pct"/>
                  <w:tcBorders>
                    <w:tl2br w:val="nil"/>
                    <w:tr2bl w:val="nil"/>
                  </w:tcBorders>
                  <w:noWrap/>
                  <w:vAlign w:val="center"/>
                </w:tcPr>
                <w:p w14:paraId="10E1668F">
                  <w:pPr>
                    <w:adjustRightInd w:val="0"/>
                    <w:snapToGrid w:val="0"/>
                    <w:spacing w:before="60" w:after="60"/>
                    <w:jc w:val="center"/>
                    <w:rPr>
                      <w:bCs/>
                      <w:color w:val="auto"/>
                      <w:sz w:val="21"/>
                      <w:szCs w:val="21"/>
                    </w:rPr>
                  </w:pPr>
                </w:p>
              </w:tc>
              <w:tc>
                <w:tcPr>
                  <w:tcW w:w="420" w:type="pct"/>
                  <w:tcBorders>
                    <w:tl2br w:val="nil"/>
                    <w:tr2bl w:val="nil"/>
                  </w:tcBorders>
                  <w:noWrap/>
                  <w:vAlign w:val="center"/>
                </w:tcPr>
                <w:p w14:paraId="6CAFB054">
                  <w:pPr>
                    <w:adjustRightInd w:val="0"/>
                    <w:snapToGrid w:val="0"/>
                    <w:spacing w:before="60" w:after="60"/>
                    <w:jc w:val="center"/>
                    <w:rPr>
                      <w:rFonts w:hint="default" w:eastAsia="宋体"/>
                      <w:color w:val="auto"/>
                      <w:sz w:val="21"/>
                      <w:szCs w:val="21"/>
                      <w:lang w:val="en-US" w:eastAsia="zh-CN"/>
                    </w:rPr>
                  </w:pPr>
                  <w:r>
                    <w:rPr>
                      <w:rFonts w:hint="eastAsia"/>
                      <w:color w:val="auto"/>
                      <w:sz w:val="21"/>
                      <w:szCs w:val="21"/>
                      <w:lang w:val="en-US" w:eastAsia="zh-CN"/>
                    </w:rPr>
                    <w:t>60</w:t>
                  </w:r>
                </w:p>
              </w:tc>
              <w:tc>
                <w:tcPr>
                  <w:tcW w:w="800" w:type="pct"/>
                  <w:tcBorders>
                    <w:tl2br w:val="nil"/>
                    <w:tr2bl w:val="nil"/>
                  </w:tcBorders>
                  <w:noWrap/>
                  <w:vAlign w:val="center"/>
                </w:tcPr>
                <w:p w14:paraId="4AB582CE">
                  <w:pPr>
                    <w:adjustRightInd w:val="0"/>
                    <w:snapToGrid w:val="0"/>
                    <w:spacing w:before="60" w:after="60"/>
                    <w:jc w:val="center"/>
                    <w:rPr>
                      <w:color w:val="auto"/>
                      <w:sz w:val="21"/>
                      <w:szCs w:val="21"/>
                    </w:rPr>
                  </w:pPr>
                </w:p>
              </w:tc>
            </w:tr>
          </w:tbl>
          <w:p w14:paraId="7A89C1FD">
            <w:pPr>
              <w:spacing w:line="360" w:lineRule="auto"/>
              <w:rPr>
                <w:color w:val="auto"/>
                <w:sz w:val="24"/>
              </w:rPr>
            </w:pPr>
          </w:p>
        </w:tc>
      </w:tr>
    </w:tbl>
    <w:p w14:paraId="7C662D0B">
      <w:pPr>
        <w:rPr>
          <w:color w:val="auto"/>
        </w:rPr>
        <w:sectPr>
          <w:pgSz w:w="11907" w:h="16840"/>
          <w:pgMar w:top="1701" w:right="1531" w:bottom="2127" w:left="1531" w:header="851" w:footer="851" w:gutter="0"/>
          <w:cols w:space="720" w:num="1"/>
          <w:docGrid w:linePitch="312" w:charSpace="0"/>
        </w:sectPr>
      </w:pPr>
    </w:p>
    <w:p w14:paraId="58183878">
      <w:pPr>
        <w:pStyle w:val="25"/>
        <w:jc w:val="center"/>
        <w:outlineLvl w:val="0"/>
        <w:rPr>
          <w:rFonts w:ascii="Times New Roman" w:hAnsi="Times New Roman" w:eastAsia="黑体"/>
          <w:snapToGrid w:val="0"/>
          <w:color w:val="auto"/>
          <w:kern w:val="21"/>
          <w:sz w:val="30"/>
          <w:szCs w:val="30"/>
        </w:rPr>
      </w:pPr>
      <w:r>
        <w:rPr>
          <w:rFonts w:ascii="Times New Roman" w:hAnsi="Times New Roman" w:eastAsia="黑体"/>
          <w:snapToGrid w:val="0"/>
          <w:color w:val="auto"/>
          <w:kern w:val="21"/>
          <w:sz w:val="30"/>
          <w:szCs w:val="30"/>
        </w:rPr>
        <w:t>五、</w:t>
      </w:r>
      <w:bookmarkStart w:id="28" w:name="_Hlk54167917"/>
      <w:r>
        <w:rPr>
          <w:rFonts w:ascii="Times New Roman" w:hAnsi="Times New Roman" w:eastAsia="黑体"/>
          <w:snapToGrid w:val="0"/>
          <w:color w:val="auto"/>
          <w:kern w:val="21"/>
          <w:sz w:val="30"/>
          <w:szCs w:val="30"/>
        </w:rPr>
        <w:t>环境保护措施监督检查清单</w:t>
      </w:r>
      <w:bookmarkEnd w:id="28"/>
    </w:p>
    <w:tbl>
      <w:tblPr>
        <w:tblStyle w:val="29"/>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1659"/>
        <w:gridCol w:w="1366"/>
        <w:gridCol w:w="1976"/>
        <w:gridCol w:w="2710"/>
      </w:tblGrid>
      <w:tr w14:paraId="2F568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tcBorders>
              <w:tl2br w:val="single" w:color="auto" w:sz="4" w:space="0"/>
            </w:tcBorders>
            <w:vAlign w:val="center"/>
          </w:tcPr>
          <w:p w14:paraId="58DECFAD">
            <w:pPr>
              <w:adjustRightInd w:val="0"/>
              <w:snapToGrid w:val="0"/>
              <w:jc w:val="right"/>
              <w:rPr>
                <w:b/>
                <w:bCs/>
                <w:color w:val="auto"/>
                <w:kern w:val="21"/>
                <w:sz w:val="24"/>
              </w:rPr>
            </w:pPr>
            <w:r>
              <w:rPr>
                <w:b/>
                <w:bCs/>
                <w:color w:val="auto"/>
                <w:kern w:val="21"/>
                <w:sz w:val="24"/>
              </w:rPr>
              <w:t>内容</w:t>
            </w:r>
          </w:p>
          <w:p w14:paraId="7FC4E46C">
            <w:pPr>
              <w:adjustRightInd w:val="0"/>
              <w:snapToGrid w:val="0"/>
              <w:spacing w:before="60" w:after="60"/>
              <w:jc w:val="left"/>
              <w:rPr>
                <w:b/>
                <w:bCs/>
                <w:color w:val="auto"/>
                <w:kern w:val="21"/>
                <w:sz w:val="24"/>
              </w:rPr>
            </w:pPr>
            <w:r>
              <w:rPr>
                <w:b/>
                <w:bCs/>
                <w:color w:val="auto"/>
                <w:kern w:val="21"/>
                <w:sz w:val="24"/>
              </w:rPr>
              <w:t>要素</w:t>
            </w:r>
          </w:p>
        </w:tc>
        <w:tc>
          <w:tcPr>
            <w:tcW w:w="916" w:type="pct"/>
            <w:vAlign w:val="center"/>
          </w:tcPr>
          <w:p w14:paraId="6DDCE9C1">
            <w:pPr>
              <w:adjustRightInd w:val="0"/>
              <w:snapToGrid w:val="0"/>
              <w:spacing w:before="60" w:after="60"/>
              <w:jc w:val="center"/>
              <w:rPr>
                <w:b/>
                <w:bCs/>
                <w:color w:val="auto"/>
                <w:kern w:val="21"/>
                <w:sz w:val="24"/>
              </w:rPr>
            </w:pPr>
            <w:r>
              <w:rPr>
                <w:b/>
                <w:bCs/>
                <w:color w:val="auto"/>
                <w:kern w:val="21"/>
                <w:sz w:val="24"/>
              </w:rPr>
              <w:t>排放口</w:t>
            </w:r>
            <w:r>
              <w:rPr>
                <w:rFonts w:hint="eastAsia"/>
                <w:b/>
                <w:bCs/>
                <w:color w:val="auto"/>
                <w:kern w:val="21"/>
                <w:sz w:val="24"/>
              </w:rPr>
              <w:t>（</w:t>
            </w:r>
            <w:r>
              <w:rPr>
                <w:b/>
                <w:bCs/>
                <w:color w:val="auto"/>
                <w:kern w:val="21"/>
                <w:sz w:val="24"/>
              </w:rPr>
              <w:t>编号、</w:t>
            </w:r>
          </w:p>
          <w:p w14:paraId="05D9BF11">
            <w:pPr>
              <w:adjustRightInd w:val="0"/>
              <w:snapToGrid w:val="0"/>
              <w:spacing w:before="60" w:after="60"/>
              <w:jc w:val="center"/>
              <w:rPr>
                <w:b/>
                <w:bCs/>
                <w:color w:val="auto"/>
                <w:kern w:val="21"/>
                <w:sz w:val="24"/>
              </w:rPr>
            </w:pPr>
            <w:r>
              <w:rPr>
                <w:b/>
                <w:bCs/>
                <w:color w:val="auto"/>
                <w:kern w:val="21"/>
                <w:sz w:val="24"/>
              </w:rPr>
              <w:t>名称</w:t>
            </w:r>
            <w:r>
              <w:rPr>
                <w:rFonts w:hint="eastAsia"/>
                <w:b/>
                <w:bCs/>
                <w:color w:val="auto"/>
                <w:kern w:val="21"/>
                <w:sz w:val="24"/>
              </w:rPr>
              <w:t>）</w:t>
            </w:r>
            <w:r>
              <w:rPr>
                <w:b/>
                <w:bCs/>
                <w:color w:val="auto"/>
                <w:kern w:val="21"/>
                <w:sz w:val="24"/>
              </w:rPr>
              <w:t>/污染源</w:t>
            </w:r>
          </w:p>
        </w:tc>
        <w:tc>
          <w:tcPr>
            <w:tcW w:w="754" w:type="pct"/>
            <w:vAlign w:val="center"/>
          </w:tcPr>
          <w:p w14:paraId="0DF4178C">
            <w:pPr>
              <w:adjustRightInd w:val="0"/>
              <w:snapToGrid w:val="0"/>
              <w:spacing w:before="60" w:after="60"/>
              <w:jc w:val="center"/>
              <w:rPr>
                <w:b/>
                <w:bCs/>
                <w:color w:val="auto"/>
                <w:kern w:val="21"/>
                <w:sz w:val="24"/>
              </w:rPr>
            </w:pPr>
            <w:r>
              <w:rPr>
                <w:b/>
                <w:bCs/>
                <w:color w:val="auto"/>
                <w:kern w:val="21"/>
                <w:sz w:val="24"/>
              </w:rPr>
              <w:t>污染物项目</w:t>
            </w:r>
          </w:p>
        </w:tc>
        <w:tc>
          <w:tcPr>
            <w:tcW w:w="1091" w:type="pct"/>
            <w:vAlign w:val="center"/>
          </w:tcPr>
          <w:p w14:paraId="384928A6">
            <w:pPr>
              <w:adjustRightInd w:val="0"/>
              <w:snapToGrid w:val="0"/>
              <w:spacing w:before="60" w:after="60"/>
              <w:jc w:val="center"/>
              <w:rPr>
                <w:b/>
                <w:bCs/>
                <w:color w:val="auto"/>
                <w:kern w:val="21"/>
                <w:sz w:val="24"/>
              </w:rPr>
            </w:pPr>
            <w:r>
              <w:rPr>
                <w:b/>
                <w:bCs/>
                <w:color w:val="auto"/>
                <w:kern w:val="21"/>
                <w:sz w:val="24"/>
              </w:rPr>
              <w:t>环境保护措施</w:t>
            </w:r>
          </w:p>
        </w:tc>
        <w:tc>
          <w:tcPr>
            <w:tcW w:w="1495" w:type="pct"/>
            <w:vAlign w:val="center"/>
          </w:tcPr>
          <w:p w14:paraId="7A5CF9D4">
            <w:pPr>
              <w:adjustRightInd w:val="0"/>
              <w:snapToGrid w:val="0"/>
              <w:spacing w:before="60" w:after="60"/>
              <w:jc w:val="center"/>
              <w:rPr>
                <w:b/>
                <w:bCs/>
                <w:color w:val="auto"/>
                <w:kern w:val="21"/>
                <w:sz w:val="24"/>
              </w:rPr>
            </w:pPr>
            <w:r>
              <w:rPr>
                <w:b/>
                <w:bCs/>
                <w:color w:val="auto"/>
                <w:kern w:val="21"/>
                <w:sz w:val="24"/>
              </w:rPr>
              <w:t>执行标准</w:t>
            </w:r>
          </w:p>
        </w:tc>
      </w:tr>
      <w:tr w14:paraId="1872E3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2" w:type="pct"/>
            <w:vMerge w:val="restart"/>
            <w:vAlign w:val="center"/>
          </w:tcPr>
          <w:p w14:paraId="336884E3">
            <w:pPr>
              <w:adjustRightInd w:val="0"/>
              <w:snapToGrid w:val="0"/>
              <w:spacing w:before="60" w:after="60"/>
              <w:jc w:val="center"/>
              <w:rPr>
                <w:b/>
                <w:bCs/>
                <w:color w:val="auto"/>
                <w:kern w:val="21"/>
                <w:sz w:val="24"/>
              </w:rPr>
            </w:pPr>
            <w:r>
              <w:rPr>
                <w:b/>
                <w:bCs/>
                <w:color w:val="auto"/>
                <w:kern w:val="21"/>
                <w:sz w:val="24"/>
              </w:rPr>
              <w:t>大气环境</w:t>
            </w:r>
          </w:p>
        </w:tc>
        <w:tc>
          <w:tcPr>
            <w:tcW w:w="916" w:type="pct"/>
            <w:vMerge w:val="restart"/>
            <w:vAlign w:val="center"/>
          </w:tcPr>
          <w:p w14:paraId="27AB98E5">
            <w:pPr>
              <w:widowControl/>
              <w:adjustRightInd w:val="0"/>
              <w:snapToGrid w:val="0"/>
              <w:spacing w:before="60" w:after="60"/>
              <w:jc w:val="center"/>
              <w:rPr>
                <w:color w:val="auto"/>
                <w:sz w:val="24"/>
              </w:rPr>
            </w:pPr>
            <w:r>
              <w:rPr>
                <w:rFonts w:hint="eastAsia"/>
                <w:color w:val="auto"/>
                <w:sz w:val="24"/>
              </w:rPr>
              <w:t>沼气锅炉废气</w:t>
            </w:r>
            <w:r>
              <w:rPr>
                <w:rFonts w:hint="eastAsia"/>
                <w:color w:val="auto"/>
                <w:sz w:val="24"/>
                <w:lang w:eastAsia="zh-CN"/>
              </w:rPr>
              <w:t>排放口</w:t>
            </w:r>
            <w:r>
              <w:rPr>
                <w:color w:val="auto"/>
                <w:sz w:val="24"/>
              </w:rPr>
              <w:t>（DA001）</w:t>
            </w:r>
          </w:p>
        </w:tc>
        <w:tc>
          <w:tcPr>
            <w:tcW w:w="754" w:type="pct"/>
            <w:vAlign w:val="center"/>
          </w:tcPr>
          <w:p w14:paraId="4B01F9B7">
            <w:pPr>
              <w:adjustRightInd w:val="0"/>
              <w:snapToGrid w:val="0"/>
              <w:spacing w:before="60" w:after="60"/>
              <w:jc w:val="center"/>
              <w:rPr>
                <w:rFonts w:hint="default" w:eastAsia="宋体"/>
                <w:color w:val="auto"/>
                <w:sz w:val="24"/>
                <w:lang w:val="en-US" w:eastAsia="zh-CN"/>
              </w:rPr>
            </w:pPr>
            <w:r>
              <w:rPr>
                <w:rFonts w:hint="eastAsia"/>
                <w:color w:val="auto"/>
                <w:sz w:val="24"/>
                <w:lang w:val="en-US" w:eastAsia="zh-CN"/>
              </w:rPr>
              <w:t>SO</w:t>
            </w:r>
            <w:r>
              <w:rPr>
                <w:rFonts w:hint="eastAsia"/>
                <w:color w:val="auto"/>
                <w:sz w:val="24"/>
                <w:vertAlign w:val="subscript"/>
                <w:lang w:val="en-US" w:eastAsia="zh-CN"/>
              </w:rPr>
              <w:t>2</w:t>
            </w:r>
          </w:p>
        </w:tc>
        <w:tc>
          <w:tcPr>
            <w:tcW w:w="1091" w:type="pct"/>
            <w:vMerge w:val="restart"/>
            <w:vAlign w:val="center"/>
          </w:tcPr>
          <w:p w14:paraId="51B70298">
            <w:pPr>
              <w:widowControl/>
              <w:adjustRightInd w:val="0"/>
              <w:snapToGrid w:val="0"/>
              <w:spacing w:before="60" w:after="60"/>
              <w:jc w:val="center"/>
              <w:rPr>
                <w:color w:val="auto"/>
                <w:sz w:val="24"/>
              </w:rPr>
            </w:pPr>
            <w:r>
              <w:rPr>
                <w:rFonts w:hint="eastAsia"/>
                <w:color w:val="auto"/>
                <w:sz w:val="24"/>
                <w:lang w:eastAsia="zh-CN"/>
              </w:rPr>
              <w:t>低氮燃烧器</w:t>
            </w:r>
            <w:r>
              <w:rPr>
                <w:color w:val="auto"/>
                <w:sz w:val="24"/>
              </w:rPr>
              <w:t>+</w:t>
            </w:r>
            <w:r>
              <w:rPr>
                <w:rFonts w:hint="eastAsia"/>
                <w:color w:val="auto"/>
                <w:sz w:val="24"/>
                <w:lang w:val="en-US" w:eastAsia="zh-CN"/>
              </w:rPr>
              <w:t>8</w:t>
            </w:r>
            <w:r>
              <w:rPr>
                <w:color w:val="auto"/>
                <w:sz w:val="24"/>
              </w:rPr>
              <w:t>m高排气筒</w:t>
            </w:r>
          </w:p>
        </w:tc>
        <w:tc>
          <w:tcPr>
            <w:tcW w:w="1495" w:type="pct"/>
            <w:vMerge w:val="restart"/>
            <w:vAlign w:val="center"/>
          </w:tcPr>
          <w:p w14:paraId="4252193F">
            <w:pPr>
              <w:widowControl/>
              <w:adjustRightInd w:val="0"/>
              <w:snapToGrid w:val="0"/>
              <w:spacing w:before="60" w:after="60"/>
              <w:jc w:val="center"/>
              <w:rPr>
                <w:color w:val="auto"/>
                <w:sz w:val="24"/>
              </w:rPr>
            </w:pPr>
            <w:r>
              <w:rPr>
                <w:rFonts w:hint="eastAsia"/>
                <w:color w:val="auto"/>
                <w:sz w:val="24"/>
              </w:rPr>
              <w:t>锅炉大气污染物排放标准》（GB13271-2014）表3中燃气锅炉特别排放限值；氮氧化物执行《淮南市大气环境质量限期达标规划》（淮府办秘〔2022〕10号）中规定的50mg/m</w:t>
            </w:r>
            <w:r>
              <w:rPr>
                <w:rFonts w:hint="eastAsia"/>
                <w:color w:val="auto"/>
                <w:sz w:val="24"/>
                <w:vertAlign w:val="superscript"/>
                <w:lang w:val="en-US" w:eastAsia="zh-CN"/>
              </w:rPr>
              <w:t>3</w:t>
            </w:r>
            <w:r>
              <w:rPr>
                <w:rFonts w:hint="eastAsia"/>
                <w:color w:val="auto"/>
                <w:sz w:val="24"/>
              </w:rPr>
              <w:t>排放限值要求</w:t>
            </w:r>
          </w:p>
        </w:tc>
      </w:tr>
      <w:tr w14:paraId="2A53A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2" w:type="pct"/>
            <w:vMerge w:val="continue"/>
            <w:vAlign w:val="center"/>
          </w:tcPr>
          <w:p w14:paraId="70D35C69">
            <w:pPr>
              <w:adjustRightInd w:val="0"/>
              <w:snapToGrid w:val="0"/>
              <w:spacing w:before="60" w:after="60"/>
              <w:jc w:val="center"/>
              <w:rPr>
                <w:color w:val="auto"/>
              </w:rPr>
            </w:pPr>
          </w:p>
        </w:tc>
        <w:tc>
          <w:tcPr>
            <w:tcW w:w="916" w:type="pct"/>
            <w:vMerge w:val="continue"/>
            <w:vAlign w:val="center"/>
          </w:tcPr>
          <w:p w14:paraId="017379E3">
            <w:pPr>
              <w:adjustRightInd w:val="0"/>
              <w:snapToGrid w:val="0"/>
              <w:spacing w:before="60" w:after="60"/>
              <w:jc w:val="center"/>
              <w:rPr>
                <w:color w:val="auto"/>
              </w:rPr>
            </w:pPr>
          </w:p>
        </w:tc>
        <w:tc>
          <w:tcPr>
            <w:tcW w:w="754" w:type="pct"/>
            <w:vAlign w:val="center"/>
          </w:tcPr>
          <w:p w14:paraId="3FF6A814">
            <w:pPr>
              <w:adjustRightInd w:val="0"/>
              <w:snapToGrid w:val="0"/>
              <w:spacing w:before="60" w:after="60"/>
              <w:jc w:val="center"/>
              <w:rPr>
                <w:rFonts w:hint="default" w:eastAsia="宋体"/>
                <w:color w:val="auto"/>
                <w:sz w:val="24"/>
                <w:lang w:val="en-US" w:eastAsia="zh-CN"/>
              </w:rPr>
            </w:pPr>
            <w:r>
              <w:rPr>
                <w:rFonts w:hint="eastAsia"/>
                <w:color w:val="auto"/>
                <w:sz w:val="24"/>
                <w:lang w:val="en-US" w:eastAsia="zh-CN"/>
              </w:rPr>
              <w:t>NOx</w:t>
            </w:r>
          </w:p>
        </w:tc>
        <w:tc>
          <w:tcPr>
            <w:tcW w:w="1091" w:type="pct"/>
            <w:vMerge w:val="continue"/>
            <w:vAlign w:val="center"/>
          </w:tcPr>
          <w:p w14:paraId="03AA7EC7">
            <w:pPr>
              <w:adjustRightInd w:val="0"/>
              <w:snapToGrid w:val="0"/>
              <w:spacing w:before="60" w:after="60"/>
              <w:jc w:val="center"/>
              <w:rPr>
                <w:rFonts w:hint="eastAsia"/>
                <w:color w:val="auto"/>
                <w:sz w:val="24"/>
              </w:rPr>
            </w:pPr>
          </w:p>
        </w:tc>
        <w:tc>
          <w:tcPr>
            <w:tcW w:w="1495" w:type="pct"/>
            <w:vMerge w:val="continue"/>
            <w:vAlign w:val="center"/>
          </w:tcPr>
          <w:p w14:paraId="62FB3A41">
            <w:pPr>
              <w:adjustRightInd w:val="0"/>
              <w:snapToGrid w:val="0"/>
              <w:spacing w:before="60" w:after="60"/>
              <w:jc w:val="center"/>
              <w:rPr>
                <w:rFonts w:hint="eastAsia"/>
                <w:color w:val="auto"/>
                <w:sz w:val="24"/>
              </w:rPr>
            </w:pPr>
          </w:p>
        </w:tc>
      </w:tr>
      <w:tr w14:paraId="7DC41B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42" w:type="pct"/>
            <w:vMerge w:val="continue"/>
            <w:vAlign w:val="center"/>
          </w:tcPr>
          <w:p w14:paraId="4CCDE899">
            <w:pPr>
              <w:adjustRightInd w:val="0"/>
              <w:snapToGrid w:val="0"/>
              <w:spacing w:before="60" w:after="60"/>
              <w:jc w:val="center"/>
              <w:rPr>
                <w:rFonts w:hint="eastAsia"/>
                <w:color w:val="auto"/>
                <w:sz w:val="24"/>
              </w:rPr>
            </w:pPr>
          </w:p>
        </w:tc>
        <w:tc>
          <w:tcPr>
            <w:tcW w:w="916" w:type="pct"/>
            <w:vMerge w:val="continue"/>
            <w:vAlign w:val="center"/>
          </w:tcPr>
          <w:p w14:paraId="29D4FF6F">
            <w:pPr>
              <w:adjustRightInd w:val="0"/>
              <w:snapToGrid w:val="0"/>
              <w:spacing w:before="60" w:after="60"/>
              <w:jc w:val="center"/>
              <w:rPr>
                <w:rFonts w:hint="eastAsia"/>
                <w:color w:val="auto"/>
                <w:sz w:val="24"/>
              </w:rPr>
            </w:pPr>
          </w:p>
        </w:tc>
        <w:tc>
          <w:tcPr>
            <w:tcW w:w="754" w:type="pct"/>
            <w:vAlign w:val="center"/>
          </w:tcPr>
          <w:p w14:paraId="7F0DB6F1">
            <w:pPr>
              <w:adjustRightInd w:val="0"/>
              <w:snapToGrid w:val="0"/>
              <w:spacing w:before="60" w:after="60"/>
              <w:jc w:val="center"/>
              <w:rPr>
                <w:rFonts w:hint="eastAsia" w:eastAsia="宋体"/>
                <w:color w:val="auto"/>
                <w:sz w:val="24"/>
                <w:lang w:val="en-US" w:eastAsia="zh-CN"/>
              </w:rPr>
            </w:pPr>
            <w:r>
              <w:rPr>
                <w:rFonts w:hint="eastAsia"/>
                <w:color w:val="auto"/>
                <w:sz w:val="24"/>
                <w:lang w:val="en-US" w:eastAsia="zh-CN"/>
              </w:rPr>
              <w:t>颗粒物</w:t>
            </w:r>
          </w:p>
        </w:tc>
        <w:tc>
          <w:tcPr>
            <w:tcW w:w="1091" w:type="pct"/>
            <w:vMerge w:val="continue"/>
            <w:vAlign w:val="center"/>
          </w:tcPr>
          <w:p w14:paraId="37168330">
            <w:pPr>
              <w:adjustRightInd w:val="0"/>
              <w:snapToGrid w:val="0"/>
              <w:spacing w:before="60" w:after="60"/>
              <w:jc w:val="center"/>
              <w:rPr>
                <w:rFonts w:hint="eastAsia"/>
                <w:color w:val="auto"/>
                <w:sz w:val="24"/>
              </w:rPr>
            </w:pPr>
          </w:p>
        </w:tc>
        <w:tc>
          <w:tcPr>
            <w:tcW w:w="1495" w:type="pct"/>
            <w:vMerge w:val="continue"/>
            <w:vAlign w:val="center"/>
          </w:tcPr>
          <w:p w14:paraId="0AFE27FE">
            <w:pPr>
              <w:adjustRightInd w:val="0"/>
              <w:snapToGrid w:val="0"/>
              <w:spacing w:before="60" w:after="60"/>
              <w:jc w:val="center"/>
              <w:rPr>
                <w:rFonts w:hint="eastAsia"/>
                <w:color w:val="auto"/>
                <w:sz w:val="24"/>
              </w:rPr>
            </w:pPr>
          </w:p>
        </w:tc>
      </w:tr>
      <w:tr w14:paraId="40C5F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Merge w:val="continue"/>
            <w:vAlign w:val="center"/>
          </w:tcPr>
          <w:p w14:paraId="57C2B3BD">
            <w:pPr>
              <w:adjustRightInd w:val="0"/>
              <w:snapToGrid w:val="0"/>
              <w:spacing w:before="60" w:after="60"/>
              <w:jc w:val="center"/>
              <w:rPr>
                <w:b/>
                <w:bCs/>
                <w:color w:val="auto"/>
                <w:kern w:val="21"/>
                <w:sz w:val="24"/>
              </w:rPr>
            </w:pPr>
          </w:p>
        </w:tc>
        <w:tc>
          <w:tcPr>
            <w:tcW w:w="916" w:type="pct"/>
            <w:vMerge w:val="restart"/>
            <w:vAlign w:val="center"/>
          </w:tcPr>
          <w:p w14:paraId="5F0CE365">
            <w:pPr>
              <w:adjustRightInd w:val="0"/>
              <w:snapToGrid w:val="0"/>
              <w:spacing w:before="60" w:after="60"/>
              <w:jc w:val="center"/>
              <w:rPr>
                <w:color w:val="auto"/>
                <w:sz w:val="24"/>
              </w:rPr>
            </w:pPr>
            <w:r>
              <w:rPr>
                <w:color w:val="auto"/>
                <w:sz w:val="24"/>
              </w:rPr>
              <w:t>厂界</w:t>
            </w:r>
          </w:p>
        </w:tc>
        <w:tc>
          <w:tcPr>
            <w:tcW w:w="754" w:type="pct"/>
            <w:vAlign w:val="center"/>
          </w:tcPr>
          <w:p w14:paraId="7E07F8CE">
            <w:pPr>
              <w:adjustRightInd w:val="0"/>
              <w:snapToGrid w:val="0"/>
              <w:spacing w:before="60" w:after="60"/>
              <w:jc w:val="center"/>
              <w:rPr>
                <w:color w:val="auto"/>
                <w:sz w:val="24"/>
              </w:rPr>
            </w:pPr>
            <w:r>
              <w:rPr>
                <w:color w:val="auto"/>
                <w:sz w:val="24"/>
              </w:rPr>
              <w:t>NH</w:t>
            </w:r>
            <w:r>
              <w:rPr>
                <w:color w:val="auto"/>
                <w:sz w:val="24"/>
                <w:vertAlign w:val="subscript"/>
              </w:rPr>
              <w:t>3</w:t>
            </w:r>
          </w:p>
        </w:tc>
        <w:tc>
          <w:tcPr>
            <w:tcW w:w="1091" w:type="pct"/>
            <w:vMerge w:val="restart"/>
            <w:vAlign w:val="center"/>
          </w:tcPr>
          <w:p w14:paraId="58A4FC4C">
            <w:pPr>
              <w:widowControl/>
              <w:jc w:val="center"/>
              <w:rPr>
                <w:color w:val="auto"/>
                <w:sz w:val="24"/>
              </w:rPr>
            </w:pPr>
            <w:r>
              <w:rPr>
                <w:color w:val="auto"/>
                <w:sz w:val="24"/>
              </w:rPr>
              <w:t>加强车间封闭、每日喷洒生物除臭剂</w:t>
            </w:r>
          </w:p>
        </w:tc>
        <w:tc>
          <w:tcPr>
            <w:tcW w:w="1495" w:type="pct"/>
            <w:vMerge w:val="restart"/>
            <w:vAlign w:val="center"/>
          </w:tcPr>
          <w:p w14:paraId="6BF45FB7">
            <w:pPr>
              <w:adjustRightInd w:val="0"/>
              <w:snapToGrid w:val="0"/>
              <w:spacing w:before="60" w:after="60"/>
              <w:jc w:val="center"/>
              <w:rPr>
                <w:color w:val="auto"/>
                <w:sz w:val="24"/>
              </w:rPr>
            </w:pPr>
            <w:r>
              <w:rPr>
                <w:color w:val="auto"/>
                <w:kern w:val="0"/>
                <w:sz w:val="24"/>
              </w:rPr>
              <w:t>《恶臭污染物排放标准》（GB14554—93）</w:t>
            </w:r>
          </w:p>
        </w:tc>
      </w:tr>
      <w:tr w14:paraId="1F5228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Merge w:val="continue"/>
            <w:vAlign w:val="center"/>
          </w:tcPr>
          <w:p w14:paraId="416EC4E7">
            <w:pPr>
              <w:adjustRightInd w:val="0"/>
              <w:snapToGrid w:val="0"/>
              <w:spacing w:before="60" w:after="60"/>
              <w:jc w:val="center"/>
              <w:rPr>
                <w:b/>
                <w:bCs/>
                <w:color w:val="auto"/>
                <w:kern w:val="21"/>
                <w:sz w:val="24"/>
              </w:rPr>
            </w:pPr>
          </w:p>
        </w:tc>
        <w:tc>
          <w:tcPr>
            <w:tcW w:w="916" w:type="pct"/>
            <w:vMerge w:val="continue"/>
            <w:vAlign w:val="center"/>
          </w:tcPr>
          <w:p w14:paraId="21320E1F">
            <w:pPr>
              <w:adjustRightInd w:val="0"/>
              <w:snapToGrid w:val="0"/>
              <w:spacing w:before="60" w:after="60"/>
              <w:jc w:val="center"/>
              <w:rPr>
                <w:color w:val="auto"/>
                <w:sz w:val="24"/>
              </w:rPr>
            </w:pPr>
          </w:p>
        </w:tc>
        <w:tc>
          <w:tcPr>
            <w:tcW w:w="754" w:type="pct"/>
            <w:vAlign w:val="center"/>
          </w:tcPr>
          <w:p w14:paraId="5F624BBE">
            <w:pPr>
              <w:adjustRightInd w:val="0"/>
              <w:snapToGrid w:val="0"/>
              <w:spacing w:before="60" w:after="60"/>
              <w:jc w:val="center"/>
              <w:rPr>
                <w:color w:val="auto"/>
                <w:sz w:val="24"/>
              </w:rPr>
            </w:pPr>
            <w:r>
              <w:rPr>
                <w:color w:val="auto"/>
                <w:sz w:val="24"/>
              </w:rPr>
              <w:t>H</w:t>
            </w:r>
            <w:r>
              <w:rPr>
                <w:color w:val="auto"/>
                <w:sz w:val="24"/>
                <w:vertAlign w:val="subscript"/>
              </w:rPr>
              <w:t>2</w:t>
            </w:r>
            <w:r>
              <w:rPr>
                <w:color w:val="auto"/>
                <w:sz w:val="24"/>
              </w:rPr>
              <w:t>S</w:t>
            </w:r>
          </w:p>
        </w:tc>
        <w:tc>
          <w:tcPr>
            <w:tcW w:w="1091" w:type="pct"/>
            <w:vMerge w:val="continue"/>
            <w:vAlign w:val="center"/>
          </w:tcPr>
          <w:p w14:paraId="210CC0A5">
            <w:pPr>
              <w:adjustRightInd w:val="0"/>
              <w:snapToGrid w:val="0"/>
              <w:spacing w:before="60" w:after="60"/>
              <w:jc w:val="center"/>
              <w:rPr>
                <w:color w:val="auto"/>
                <w:sz w:val="24"/>
              </w:rPr>
            </w:pPr>
          </w:p>
        </w:tc>
        <w:tc>
          <w:tcPr>
            <w:tcW w:w="1495" w:type="pct"/>
            <w:vMerge w:val="continue"/>
            <w:vAlign w:val="center"/>
          </w:tcPr>
          <w:p w14:paraId="353D4EA7">
            <w:pPr>
              <w:adjustRightInd w:val="0"/>
              <w:snapToGrid w:val="0"/>
              <w:spacing w:before="60" w:after="60"/>
              <w:jc w:val="center"/>
              <w:rPr>
                <w:color w:val="auto"/>
                <w:sz w:val="24"/>
              </w:rPr>
            </w:pPr>
          </w:p>
        </w:tc>
      </w:tr>
      <w:tr w14:paraId="3A700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42" w:type="pct"/>
            <w:vMerge w:val="continue"/>
            <w:vAlign w:val="center"/>
          </w:tcPr>
          <w:p w14:paraId="2A40FE41">
            <w:pPr>
              <w:adjustRightInd w:val="0"/>
              <w:snapToGrid w:val="0"/>
              <w:spacing w:before="60" w:after="60"/>
              <w:jc w:val="center"/>
              <w:rPr>
                <w:b/>
                <w:bCs/>
                <w:color w:val="auto"/>
                <w:kern w:val="21"/>
                <w:sz w:val="24"/>
              </w:rPr>
            </w:pPr>
          </w:p>
        </w:tc>
        <w:tc>
          <w:tcPr>
            <w:tcW w:w="916" w:type="pct"/>
            <w:vMerge w:val="continue"/>
            <w:vAlign w:val="center"/>
          </w:tcPr>
          <w:p w14:paraId="55782A01">
            <w:pPr>
              <w:adjustRightInd w:val="0"/>
              <w:snapToGrid w:val="0"/>
              <w:spacing w:before="60" w:after="60"/>
              <w:jc w:val="center"/>
              <w:rPr>
                <w:color w:val="auto"/>
                <w:sz w:val="24"/>
              </w:rPr>
            </w:pPr>
          </w:p>
        </w:tc>
        <w:tc>
          <w:tcPr>
            <w:tcW w:w="754" w:type="pct"/>
            <w:vAlign w:val="center"/>
          </w:tcPr>
          <w:p w14:paraId="30B21EF7">
            <w:pPr>
              <w:adjustRightInd w:val="0"/>
              <w:snapToGrid w:val="0"/>
              <w:spacing w:before="60" w:after="60"/>
              <w:jc w:val="center"/>
              <w:rPr>
                <w:color w:val="auto"/>
                <w:sz w:val="24"/>
              </w:rPr>
            </w:pPr>
            <w:r>
              <w:rPr>
                <w:rFonts w:hint="eastAsia"/>
                <w:color w:val="auto"/>
                <w:sz w:val="24"/>
              </w:rPr>
              <w:t>臭气浓度</w:t>
            </w:r>
          </w:p>
        </w:tc>
        <w:tc>
          <w:tcPr>
            <w:tcW w:w="1091" w:type="pct"/>
            <w:vMerge w:val="continue"/>
            <w:vAlign w:val="center"/>
          </w:tcPr>
          <w:p w14:paraId="397024DB">
            <w:pPr>
              <w:adjustRightInd w:val="0"/>
              <w:snapToGrid w:val="0"/>
              <w:spacing w:before="60" w:after="60"/>
              <w:jc w:val="center"/>
              <w:rPr>
                <w:color w:val="auto"/>
                <w:sz w:val="24"/>
              </w:rPr>
            </w:pPr>
          </w:p>
        </w:tc>
        <w:tc>
          <w:tcPr>
            <w:tcW w:w="1495" w:type="pct"/>
            <w:vMerge w:val="continue"/>
            <w:vAlign w:val="center"/>
          </w:tcPr>
          <w:p w14:paraId="73BA8664">
            <w:pPr>
              <w:adjustRightInd w:val="0"/>
              <w:snapToGrid w:val="0"/>
              <w:spacing w:before="60" w:after="60"/>
              <w:jc w:val="center"/>
              <w:rPr>
                <w:color w:val="auto"/>
                <w:sz w:val="24"/>
              </w:rPr>
            </w:pPr>
          </w:p>
        </w:tc>
      </w:tr>
      <w:tr w14:paraId="77FA80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Merge w:val="continue"/>
            <w:vAlign w:val="center"/>
          </w:tcPr>
          <w:p w14:paraId="2B90A61D">
            <w:pPr>
              <w:adjustRightInd w:val="0"/>
              <w:snapToGrid w:val="0"/>
              <w:spacing w:before="60" w:after="60"/>
              <w:jc w:val="center"/>
              <w:rPr>
                <w:b/>
                <w:bCs/>
                <w:color w:val="auto"/>
                <w:kern w:val="21"/>
                <w:sz w:val="24"/>
              </w:rPr>
            </w:pPr>
          </w:p>
        </w:tc>
        <w:tc>
          <w:tcPr>
            <w:tcW w:w="916" w:type="pct"/>
            <w:vMerge w:val="continue"/>
            <w:vAlign w:val="center"/>
          </w:tcPr>
          <w:p w14:paraId="36C943C1">
            <w:pPr>
              <w:adjustRightInd w:val="0"/>
              <w:snapToGrid w:val="0"/>
              <w:spacing w:before="60" w:after="60"/>
              <w:jc w:val="center"/>
              <w:rPr>
                <w:color w:val="auto"/>
                <w:sz w:val="24"/>
              </w:rPr>
            </w:pPr>
          </w:p>
        </w:tc>
        <w:tc>
          <w:tcPr>
            <w:tcW w:w="754" w:type="pct"/>
            <w:vAlign w:val="center"/>
          </w:tcPr>
          <w:p w14:paraId="18C8966E">
            <w:pPr>
              <w:adjustRightInd w:val="0"/>
              <w:snapToGrid w:val="0"/>
              <w:spacing w:before="60" w:after="60"/>
              <w:jc w:val="center"/>
              <w:rPr>
                <w:color w:val="auto"/>
                <w:sz w:val="24"/>
              </w:rPr>
            </w:pPr>
            <w:r>
              <w:rPr>
                <w:rFonts w:hint="eastAsia"/>
                <w:color w:val="auto"/>
                <w:sz w:val="24"/>
              </w:rPr>
              <w:t>颗粒物</w:t>
            </w:r>
          </w:p>
        </w:tc>
        <w:tc>
          <w:tcPr>
            <w:tcW w:w="1091" w:type="pct"/>
            <w:vAlign w:val="center"/>
          </w:tcPr>
          <w:p w14:paraId="51C33EC4">
            <w:pPr>
              <w:adjustRightInd w:val="0"/>
              <w:snapToGrid w:val="0"/>
              <w:jc w:val="center"/>
              <w:rPr>
                <w:color w:val="auto"/>
                <w:sz w:val="24"/>
              </w:rPr>
            </w:pPr>
            <w:r>
              <w:rPr>
                <w:bCs/>
                <w:color w:val="auto"/>
                <w:sz w:val="24"/>
              </w:rPr>
              <w:t>密闭生产车间</w:t>
            </w:r>
          </w:p>
        </w:tc>
        <w:tc>
          <w:tcPr>
            <w:tcW w:w="1495" w:type="pct"/>
            <w:vAlign w:val="center"/>
          </w:tcPr>
          <w:p w14:paraId="1D4E699F">
            <w:pPr>
              <w:adjustRightInd w:val="0"/>
              <w:snapToGrid w:val="0"/>
              <w:spacing w:before="60" w:after="60"/>
              <w:jc w:val="center"/>
              <w:rPr>
                <w:color w:val="auto"/>
                <w:sz w:val="24"/>
              </w:rPr>
            </w:pPr>
            <w:r>
              <w:rPr>
                <w:color w:val="auto"/>
                <w:kern w:val="0"/>
                <w:sz w:val="24"/>
              </w:rPr>
              <w:t>《大气污染物综合排放标准》（GB16297-1996）表2中二级标准限值</w:t>
            </w:r>
          </w:p>
        </w:tc>
      </w:tr>
      <w:tr w14:paraId="2EFB4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Merge w:val="restart"/>
            <w:vAlign w:val="center"/>
          </w:tcPr>
          <w:p w14:paraId="587A2DD1">
            <w:pPr>
              <w:adjustRightInd w:val="0"/>
              <w:snapToGrid w:val="0"/>
              <w:spacing w:before="60" w:after="60"/>
              <w:jc w:val="center"/>
              <w:rPr>
                <w:b/>
                <w:bCs/>
                <w:color w:val="auto"/>
                <w:kern w:val="21"/>
                <w:sz w:val="24"/>
              </w:rPr>
            </w:pPr>
            <w:r>
              <w:rPr>
                <w:b/>
                <w:bCs/>
                <w:color w:val="auto"/>
                <w:kern w:val="21"/>
                <w:sz w:val="24"/>
              </w:rPr>
              <w:t>地表水环境</w:t>
            </w:r>
          </w:p>
        </w:tc>
        <w:tc>
          <w:tcPr>
            <w:tcW w:w="916" w:type="pct"/>
            <w:vAlign w:val="center"/>
          </w:tcPr>
          <w:p w14:paraId="0B8BB8FA">
            <w:pPr>
              <w:adjustRightInd w:val="0"/>
              <w:snapToGrid w:val="0"/>
              <w:spacing w:before="60" w:after="60"/>
              <w:jc w:val="center"/>
              <w:rPr>
                <w:bCs/>
                <w:color w:val="auto"/>
                <w:spacing w:val="-4"/>
                <w:sz w:val="24"/>
              </w:rPr>
            </w:pPr>
            <w:r>
              <w:rPr>
                <w:rFonts w:hint="eastAsia"/>
                <w:bCs/>
                <w:color w:val="auto"/>
                <w:spacing w:val="-4"/>
                <w:sz w:val="24"/>
              </w:rPr>
              <w:t>生活废水</w:t>
            </w:r>
          </w:p>
        </w:tc>
        <w:tc>
          <w:tcPr>
            <w:tcW w:w="754" w:type="pct"/>
            <w:vAlign w:val="center"/>
          </w:tcPr>
          <w:p w14:paraId="56507B5B">
            <w:pPr>
              <w:adjustRightInd w:val="0"/>
              <w:snapToGrid w:val="0"/>
              <w:spacing w:before="60" w:after="60"/>
              <w:jc w:val="center"/>
              <w:rPr>
                <w:color w:val="auto"/>
                <w:spacing w:val="-4"/>
                <w:sz w:val="24"/>
              </w:rPr>
            </w:pPr>
            <w:r>
              <w:rPr>
                <w:snapToGrid w:val="0"/>
                <w:color w:val="auto"/>
                <w:kern w:val="21"/>
                <w:sz w:val="24"/>
              </w:rPr>
              <w:t>COD</w:t>
            </w:r>
            <w:r>
              <w:rPr>
                <w:color w:val="auto"/>
                <w:sz w:val="24"/>
              </w:rPr>
              <w:t>、BOD</w:t>
            </w:r>
            <w:r>
              <w:rPr>
                <w:color w:val="auto"/>
                <w:sz w:val="24"/>
                <w:vertAlign w:val="subscript"/>
              </w:rPr>
              <w:t>5</w:t>
            </w:r>
            <w:r>
              <w:rPr>
                <w:snapToGrid w:val="0"/>
                <w:color w:val="auto"/>
                <w:kern w:val="21"/>
                <w:sz w:val="24"/>
              </w:rPr>
              <w:t>、</w:t>
            </w:r>
            <w:r>
              <w:rPr>
                <w:color w:val="auto"/>
                <w:sz w:val="24"/>
              </w:rPr>
              <w:t>SS</w:t>
            </w:r>
            <w:r>
              <w:rPr>
                <w:snapToGrid w:val="0"/>
                <w:color w:val="auto"/>
                <w:kern w:val="21"/>
                <w:sz w:val="24"/>
              </w:rPr>
              <w:t>、</w:t>
            </w:r>
            <w:r>
              <w:rPr>
                <w:color w:val="auto"/>
                <w:sz w:val="24"/>
              </w:rPr>
              <w:t>氨氮</w:t>
            </w:r>
          </w:p>
        </w:tc>
        <w:tc>
          <w:tcPr>
            <w:tcW w:w="1091" w:type="pct"/>
            <w:vAlign w:val="center"/>
          </w:tcPr>
          <w:p w14:paraId="252CD042">
            <w:pPr>
              <w:widowControl/>
              <w:adjustRightInd w:val="0"/>
              <w:snapToGrid w:val="0"/>
              <w:spacing w:before="60" w:after="60"/>
              <w:jc w:val="center"/>
              <w:rPr>
                <w:color w:val="auto"/>
                <w:spacing w:val="-4"/>
                <w:sz w:val="24"/>
              </w:rPr>
            </w:pPr>
            <w:r>
              <w:rPr>
                <w:rFonts w:hint="eastAsia"/>
                <w:color w:val="auto"/>
                <w:spacing w:val="-4"/>
                <w:sz w:val="24"/>
              </w:rPr>
              <w:t>经化粪池处理后</w:t>
            </w:r>
            <w:r>
              <w:rPr>
                <w:rFonts w:hint="eastAsia"/>
                <w:color w:val="auto"/>
                <w:kern w:val="0"/>
                <w:sz w:val="24"/>
              </w:rPr>
              <w:t>回用</w:t>
            </w:r>
            <w:r>
              <w:rPr>
                <w:rFonts w:hint="eastAsia"/>
                <w:color w:val="auto"/>
                <w:kern w:val="0"/>
                <w:sz w:val="24"/>
                <w:lang w:eastAsia="zh-CN"/>
              </w:rPr>
              <w:t>于现有沼气发电系统</w:t>
            </w:r>
            <w:r>
              <w:rPr>
                <w:rFonts w:hint="eastAsia"/>
                <w:color w:val="auto"/>
                <w:kern w:val="0"/>
                <w:sz w:val="24"/>
              </w:rPr>
              <w:t>预处理池</w:t>
            </w:r>
          </w:p>
        </w:tc>
        <w:tc>
          <w:tcPr>
            <w:tcW w:w="1495" w:type="pct"/>
            <w:vAlign w:val="center"/>
          </w:tcPr>
          <w:p w14:paraId="3F35B7E2">
            <w:pPr>
              <w:adjustRightInd w:val="0"/>
              <w:snapToGrid w:val="0"/>
              <w:spacing w:before="60" w:after="60"/>
              <w:jc w:val="center"/>
              <w:rPr>
                <w:color w:val="auto"/>
                <w:sz w:val="24"/>
              </w:rPr>
            </w:pPr>
            <w:r>
              <w:rPr>
                <w:color w:val="auto"/>
                <w:sz w:val="24"/>
              </w:rPr>
              <w:t>不外排</w:t>
            </w:r>
          </w:p>
        </w:tc>
      </w:tr>
      <w:tr w14:paraId="14E7A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Merge w:val="continue"/>
            <w:vAlign w:val="center"/>
          </w:tcPr>
          <w:p w14:paraId="6B5433AB">
            <w:pPr>
              <w:adjustRightInd w:val="0"/>
              <w:snapToGrid w:val="0"/>
              <w:spacing w:before="60" w:after="60"/>
              <w:jc w:val="center"/>
              <w:rPr>
                <w:b/>
                <w:bCs/>
                <w:color w:val="auto"/>
                <w:kern w:val="21"/>
                <w:sz w:val="24"/>
              </w:rPr>
            </w:pPr>
          </w:p>
        </w:tc>
        <w:tc>
          <w:tcPr>
            <w:tcW w:w="916" w:type="pct"/>
            <w:vAlign w:val="center"/>
          </w:tcPr>
          <w:p w14:paraId="73D44E04">
            <w:pPr>
              <w:adjustRightInd w:val="0"/>
              <w:snapToGrid w:val="0"/>
              <w:spacing w:before="60" w:after="60"/>
              <w:jc w:val="center"/>
              <w:rPr>
                <w:bCs/>
                <w:color w:val="auto"/>
                <w:spacing w:val="-4"/>
                <w:sz w:val="24"/>
              </w:rPr>
            </w:pPr>
            <w:r>
              <w:rPr>
                <w:bCs/>
                <w:color w:val="auto"/>
                <w:spacing w:val="-4"/>
                <w:sz w:val="24"/>
              </w:rPr>
              <w:t>生产废水</w:t>
            </w:r>
          </w:p>
        </w:tc>
        <w:tc>
          <w:tcPr>
            <w:tcW w:w="754" w:type="pct"/>
            <w:vAlign w:val="center"/>
          </w:tcPr>
          <w:p w14:paraId="0C83B711">
            <w:pPr>
              <w:adjustRightInd w:val="0"/>
              <w:snapToGrid w:val="0"/>
              <w:spacing w:before="60" w:after="60"/>
              <w:jc w:val="center"/>
              <w:rPr>
                <w:snapToGrid w:val="0"/>
                <w:color w:val="auto"/>
                <w:kern w:val="21"/>
                <w:sz w:val="24"/>
              </w:rPr>
            </w:pPr>
            <w:r>
              <w:rPr>
                <w:snapToGrid w:val="0"/>
                <w:color w:val="auto"/>
                <w:kern w:val="21"/>
                <w:sz w:val="24"/>
              </w:rPr>
              <w:t>COD</w:t>
            </w:r>
            <w:r>
              <w:rPr>
                <w:color w:val="auto"/>
                <w:sz w:val="24"/>
              </w:rPr>
              <w:t>、BOD</w:t>
            </w:r>
            <w:r>
              <w:rPr>
                <w:color w:val="auto"/>
                <w:sz w:val="24"/>
                <w:vertAlign w:val="subscript"/>
              </w:rPr>
              <w:t>5</w:t>
            </w:r>
            <w:r>
              <w:rPr>
                <w:snapToGrid w:val="0"/>
                <w:color w:val="auto"/>
                <w:kern w:val="21"/>
                <w:sz w:val="24"/>
              </w:rPr>
              <w:t>、</w:t>
            </w:r>
            <w:r>
              <w:rPr>
                <w:color w:val="auto"/>
                <w:sz w:val="24"/>
              </w:rPr>
              <w:t>SS</w:t>
            </w:r>
            <w:r>
              <w:rPr>
                <w:snapToGrid w:val="0"/>
                <w:color w:val="auto"/>
                <w:kern w:val="21"/>
                <w:sz w:val="24"/>
              </w:rPr>
              <w:t>、</w:t>
            </w:r>
            <w:r>
              <w:rPr>
                <w:color w:val="auto"/>
                <w:sz w:val="24"/>
              </w:rPr>
              <w:t>氨氮</w:t>
            </w:r>
          </w:p>
        </w:tc>
        <w:tc>
          <w:tcPr>
            <w:tcW w:w="1091" w:type="pct"/>
            <w:vAlign w:val="center"/>
          </w:tcPr>
          <w:p w14:paraId="0366AFEA">
            <w:pPr>
              <w:widowControl/>
              <w:adjustRightInd w:val="0"/>
              <w:snapToGrid w:val="0"/>
              <w:spacing w:before="60" w:after="60"/>
              <w:jc w:val="center"/>
              <w:rPr>
                <w:color w:val="auto"/>
                <w:kern w:val="0"/>
                <w:sz w:val="24"/>
              </w:rPr>
            </w:pPr>
            <w:r>
              <w:rPr>
                <w:rFonts w:hint="eastAsia"/>
                <w:color w:val="auto"/>
                <w:kern w:val="0"/>
                <w:sz w:val="24"/>
              </w:rPr>
              <w:t>回用</w:t>
            </w:r>
            <w:r>
              <w:rPr>
                <w:rFonts w:hint="eastAsia"/>
                <w:color w:val="auto"/>
                <w:kern w:val="0"/>
                <w:sz w:val="24"/>
                <w:lang w:eastAsia="zh-CN"/>
              </w:rPr>
              <w:t>于现有沼气发电系统</w:t>
            </w:r>
            <w:r>
              <w:rPr>
                <w:rFonts w:hint="eastAsia"/>
                <w:color w:val="auto"/>
                <w:kern w:val="0"/>
                <w:sz w:val="24"/>
              </w:rPr>
              <w:t>预处理池</w:t>
            </w:r>
          </w:p>
        </w:tc>
        <w:tc>
          <w:tcPr>
            <w:tcW w:w="1495" w:type="pct"/>
            <w:vAlign w:val="center"/>
          </w:tcPr>
          <w:p w14:paraId="7196747B">
            <w:pPr>
              <w:adjustRightInd w:val="0"/>
              <w:snapToGrid w:val="0"/>
              <w:spacing w:before="60" w:after="60"/>
              <w:jc w:val="center"/>
              <w:rPr>
                <w:color w:val="auto"/>
                <w:sz w:val="24"/>
              </w:rPr>
            </w:pPr>
            <w:r>
              <w:rPr>
                <w:color w:val="auto"/>
                <w:sz w:val="24"/>
              </w:rPr>
              <w:t>不外排</w:t>
            </w:r>
          </w:p>
        </w:tc>
      </w:tr>
      <w:tr w14:paraId="714835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Align w:val="center"/>
          </w:tcPr>
          <w:p w14:paraId="10099295">
            <w:pPr>
              <w:adjustRightInd w:val="0"/>
              <w:snapToGrid w:val="0"/>
              <w:spacing w:before="60" w:after="60"/>
              <w:jc w:val="center"/>
              <w:rPr>
                <w:b/>
                <w:bCs/>
                <w:color w:val="auto"/>
                <w:kern w:val="21"/>
                <w:sz w:val="24"/>
              </w:rPr>
            </w:pPr>
            <w:r>
              <w:rPr>
                <w:b/>
                <w:bCs/>
                <w:color w:val="auto"/>
                <w:kern w:val="21"/>
                <w:sz w:val="24"/>
              </w:rPr>
              <w:t>声环境</w:t>
            </w:r>
          </w:p>
        </w:tc>
        <w:tc>
          <w:tcPr>
            <w:tcW w:w="916" w:type="pct"/>
            <w:vAlign w:val="center"/>
          </w:tcPr>
          <w:p w14:paraId="0B2F285D">
            <w:pPr>
              <w:adjustRightInd w:val="0"/>
              <w:snapToGrid w:val="0"/>
              <w:spacing w:before="60" w:after="60"/>
              <w:jc w:val="center"/>
              <w:rPr>
                <w:color w:val="auto"/>
                <w:kern w:val="21"/>
                <w:sz w:val="24"/>
              </w:rPr>
            </w:pPr>
            <w:r>
              <w:rPr>
                <w:bCs/>
                <w:color w:val="auto"/>
                <w:spacing w:val="-4"/>
                <w:sz w:val="24"/>
              </w:rPr>
              <w:t>设备噪声</w:t>
            </w:r>
          </w:p>
        </w:tc>
        <w:tc>
          <w:tcPr>
            <w:tcW w:w="754" w:type="pct"/>
            <w:vAlign w:val="center"/>
          </w:tcPr>
          <w:p w14:paraId="00CABE51">
            <w:pPr>
              <w:adjustRightInd w:val="0"/>
              <w:snapToGrid w:val="0"/>
              <w:spacing w:before="60" w:after="60"/>
              <w:jc w:val="center"/>
              <w:rPr>
                <w:color w:val="auto"/>
                <w:kern w:val="21"/>
                <w:sz w:val="24"/>
              </w:rPr>
            </w:pPr>
            <w:r>
              <w:rPr>
                <w:color w:val="auto"/>
                <w:spacing w:val="-4"/>
                <w:sz w:val="24"/>
              </w:rPr>
              <w:t>等效A声级</w:t>
            </w:r>
          </w:p>
        </w:tc>
        <w:tc>
          <w:tcPr>
            <w:tcW w:w="1091" w:type="pct"/>
            <w:vAlign w:val="center"/>
          </w:tcPr>
          <w:p w14:paraId="7A3391C0">
            <w:pPr>
              <w:adjustRightInd w:val="0"/>
              <w:snapToGrid w:val="0"/>
              <w:spacing w:before="60" w:after="60"/>
              <w:jc w:val="center"/>
              <w:rPr>
                <w:color w:val="auto"/>
                <w:spacing w:val="-4"/>
                <w:sz w:val="24"/>
              </w:rPr>
            </w:pPr>
            <w:r>
              <w:rPr>
                <w:color w:val="auto"/>
                <w:spacing w:val="-4"/>
                <w:sz w:val="24"/>
              </w:rPr>
              <w:t>选用低噪声设备，合理布局，对产噪设备采取基础减震、隔声等措施</w:t>
            </w:r>
          </w:p>
        </w:tc>
        <w:tc>
          <w:tcPr>
            <w:tcW w:w="1495" w:type="pct"/>
            <w:vAlign w:val="center"/>
          </w:tcPr>
          <w:p w14:paraId="34F137DD">
            <w:pPr>
              <w:adjustRightInd w:val="0"/>
              <w:snapToGrid w:val="0"/>
              <w:spacing w:before="60" w:after="60"/>
              <w:jc w:val="center"/>
              <w:rPr>
                <w:color w:val="auto"/>
                <w:kern w:val="21"/>
                <w:sz w:val="24"/>
              </w:rPr>
            </w:pPr>
            <w:r>
              <w:rPr>
                <w:color w:val="auto"/>
                <w:spacing w:val="-4"/>
                <w:sz w:val="24"/>
              </w:rPr>
              <w:t>《工业企业厂界环境噪声排放标准》（GB12348-2008）2类标准</w:t>
            </w:r>
          </w:p>
        </w:tc>
      </w:tr>
      <w:tr w14:paraId="5D11D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Align w:val="center"/>
          </w:tcPr>
          <w:p w14:paraId="74588E71">
            <w:pPr>
              <w:adjustRightInd w:val="0"/>
              <w:snapToGrid w:val="0"/>
              <w:spacing w:before="60" w:after="60"/>
              <w:jc w:val="center"/>
              <w:rPr>
                <w:b/>
                <w:bCs/>
                <w:color w:val="auto"/>
                <w:kern w:val="21"/>
                <w:sz w:val="24"/>
              </w:rPr>
            </w:pPr>
            <w:r>
              <w:rPr>
                <w:b/>
                <w:bCs/>
                <w:color w:val="auto"/>
                <w:kern w:val="21"/>
                <w:sz w:val="24"/>
              </w:rPr>
              <w:t>电磁辐射</w:t>
            </w:r>
          </w:p>
        </w:tc>
        <w:tc>
          <w:tcPr>
            <w:tcW w:w="4257" w:type="pct"/>
            <w:gridSpan w:val="4"/>
            <w:vAlign w:val="center"/>
          </w:tcPr>
          <w:p w14:paraId="0601A4BC">
            <w:pPr>
              <w:adjustRightInd w:val="0"/>
              <w:snapToGrid w:val="0"/>
              <w:spacing w:before="60" w:after="60"/>
              <w:jc w:val="center"/>
              <w:rPr>
                <w:color w:val="auto"/>
                <w:kern w:val="21"/>
                <w:sz w:val="24"/>
              </w:rPr>
            </w:pPr>
            <w:r>
              <w:rPr>
                <w:color w:val="auto"/>
                <w:sz w:val="24"/>
              </w:rPr>
              <w:t>/</w:t>
            </w:r>
          </w:p>
        </w:tc>
      </w:tr>
      <w:tr w14:paraId="1D1F2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Align w:val="center"/>
          </w:tcPr>
          <w:p w14:paraId="69D6D845">
            <w:pPr>
              <w:adjustRightInd w:val="0"/>
              <w:snapToGrid w:val="0"/>
              <w:spacing w:before="60" w:after="60"/>
              <w:jc w:val="center"/>
              <w:rPr>
                <w:b/>
                <w:bCs/>
                <w:color w:val="auto"/>
                <w:kern w:val="21"/>
                <w:sz w:val="24"/>
              </w:rPr>
            </w:pPr>
            <w:r>
              <w:rPr>
                <w:b/>
                <w:bCs/>
                <w:color w:val="auto"/>
                <w:kern w:val="21"/>
                <w:sz w:val="24"/>
              </w:rPr>
              <w:t>固体废物</w:t>
            </w:r>
          </w:p>
        </w:tc>
        <w:tc>
          <w:tcPr>
            <w:tcW w:w="4257" w:type="pct"/>
            <w:gridSpan w:val="4"/>
            <w:vAlign w:val="center"/>
          </w:tcPr>
          <w:p w14:paraId="1FBA6352">
            <w:pPr>
              <w:widowControl/>
              <w:adjustRightInd w:val="0"/>
              <w:snapToGrid w:val="0"/>
              <w:spacing w:before="60" w:after="60"/>
              <w:jc w:val="center"/>
              <w:rPr>
                <w:color w:val="auto"/>
                <w:kern w:val="0"/>
                <w:sz w:val="24"/>
              </w:rPr>
            </w:pPr>
            <w:r>
              <w:rPr>
                <w:rFonts w:hint="eastAsia"/>
                <w:color w:val="auto"/>
                <w:kern w:val="0"/>
                <w:sz w:val="24"/>
              </w:rPr>
              <w:t>豆渣外售到饲料加工厂综合利用；生活垃圾、边角料、不合格品和废弃黄豆等由环卫部门清运；废包装袋和废包装纸箱等由物资回收单位处理</w:t>
            </w:r>
            <w:r>
              <w:rPr>
                <w:color w:val="auto"/>
                <w:kern w:val="0"/>
                <w:sz w:val="24"/>
              </w:rPr>
              <w:t>。项目产生的固体废物在落实本次环评提出的措施后，对项目区外环境基本无影响。</w:t>
            </w:r>
          </w:p>
        </w:tc>
      </w:tr>
      <w:tr w14:paraId="7072C1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Align w:val="center"/>
          </w:tcPr>
          <w:p w14:paraId="60D4B867">
            <w:pPr>
              <w:adjustRightInd w:val="0"/>
              <w:snapToGrid w:val="0"/>
              <w:spacing w:before="60" w:after="60"/>
              <w:jc w:val="center"/>
              <w:rPr>
                <w:b/>
                <w:bCs/>
                <w:color w:val="auto"/>
                <w:kern w:val="21"/>
                <w:sz w:val="24"/>
              </w:rPr>
            </w:pPr>
            <w:r>
              <w:rPr>
                <w:b/>
                <w:bCs/>
                <w:color w:val="auto"/>
                <w:kern w:val="21"/>
                <w:sz w:val="24"/>
              </w:rPr>
              <w:t>土壤及地下水污染防治措施</w:t>
            </w:r>
          </w:p>
        </w:tc>
        <w:tc>
          <w:tcPr>
            <w:tcW w:w="4257" w:type="pct"/>
            <w:gridSpan w:val="4"/>
            <w:vAlign w:val="center"/>
          </w:tcPr>
          <w:p w14:paraId="6EE62730">
            <w:pPr>
              <w:adjustRightInd w:val="0"/>
              <w:snapToGrid w:val="0"/>
              <w:spacing w:before="60" w:after="60"/>
              <w:jc w:val="center"/>
              <w:rPr>
                <w:color w:val="auto"/>
                <w:sz w:val="24"/>
              </w:rPr>
            </w:pPr>
            <w:r>
              <w:rPr>
                <w:rFonts w:hint="eastAsia"/>
                <w:color w:val="auto"/>
                <w:sz w:val="24"/>
              </w:rPr>
              <w:t>重点防渗区：</w:t>
            </w:r>
            <w:r>
              <w:rPr>
                <w:rFonts w:hint="eastAsia"/>
                <w:color w:val="auto"/>
                <w:sz w:val="24"/>
                <w:lang w:val="en-US" w:eastAsia="zh-CN"/>
              </w:rPr>
              <w:t>废水运输专用沟渠</w:t>
            </w:r>
            <w:r>
              <w:rPr>
                <w:rFonts w:hint="eastAsia"/>
                <w:color w:val="auto"/>
                <w:sz w:val="24"/>
              </w:rPr>
              <w:t>为重点防渗区可参照《危险废物填埋污染控制标准》（</w:t>
            </w:r>
            <w:r>
              <w:rPr>
                <w:color w:val="auto"/>
                <w:sz w:val="24"/>
              </w:rPr>
              <w:t>GB18589-2001</w:t>
            </w:r>
            <w:r>
              <w:rPr>
                <w:rFonts w:hint="eastAsia"/>
                <w:color w:val="auto"/>
                <w:sz w:val="24"/>
              </w:rPr>
              <w:t>）设计，采用天然或人工材料构筑防渗层，渗透系数</w:t>
            </w:r>
            <w:r>
              <w:rPr>
                <w:color w:val="auto"/>
                <w:sz w:val="24"/>
              </w:rPr>
              <w:t>≤10</w:t>
            </w:r>
            <w:r>
              <w:rPr>
                <w:color w:val="auto"/>
                <w:sz w:val="24"/>
                <w:vertAlign w:val="superscript"/>
              </w:rPr>
              <w:t>-10</w:t>
            </w:r>
            <w:r>
              <w:rPr>
                <w:color w:val="auto"/>
                <w:sz w:val="24"/>
              </w:rPr>
              <w:t>cm/s</w:t>
            </w:r>
            <w:r>
              <w:rPr>
                <w:rFonts w:hint="eastAsia"/>
                <w:color w:val="auto"/>
                <w:sz w:val="24"/>
              </w:rPr>
              <w:t>。地面基础及内墙采取防渗措施，基础层素土夯实；面层浇注</w:t>
            </w:r>
            <w:r>
              <w:rPr>
                <w:color w:val="auto"/>
                <w:sz w:val="24"/>
              </w:rPr>
              <w:t>200mm</w:t>
            </w:r>
            <w:r>
              <w:rPr>
                <w:rFonts w:hint="eastAsia"/>
                <w:color w:val="auto"/>
                <w:sz w:val="24"/>
              </w:rPr>
              <w:t>厚水泥基渗透结晶型抗渗混凝土（</w:t>
            </w:r>
            <w:r>
              <w:rPr>
                <w:color w:val="auto"/>
                <w:sz w:val="24"/>
              </w:rPr>
              <w:t>C30</w:t>
            </w:r>
            <w:r>
              <w:rPr>
                <w:rFonts w:hint="eastAsia"/>
                <w:color w:val="auto"/>
                <w:sz w:val="24"/>
              </w:rPr>
              <w:t>，抗渗等级</w:t>
            </w:r>
            <w:r>
              <w:rPr>
                <w:color w:val="auto"/>
                <w:sz w:val="24"/>
              </w:rPr>
              <w:t>P6</w:t>
            </w:r>
            <w:r>
              <w:rPr>
                <w:rFonts w:hint="eastAsia"/>
                <w:color w:val="auto"/>
                <w:sz w:val="24"/>
              </w:rPr>
              <w:t>）作为面层；涂覆环氧树脂进行防渗。</w:t>
            </w:r>
          </w:p>
          <w:p w14:paraId="689824BC">
            <w:pPr>
              <w:adjustRightInd w:val="0"/>
              <w:snapToGrid w:val="0"/>
              <w:spacing w:before="60" w:after="60"/>
              <w:jc w:val="center"/>
              <w:rPr>
                <w:color w:val="auto"/>
                <w:sz w:val="24"/>
              </w:rPr>
            </w:pPr>
            <w:r>
              <w:rPr>
                <w:rFonts w:hint="eastAsia"/>
                <w:color w:val="auto"/>
                <w:sz w:val="24"/>
              </w:rPr>
              <w:t>一般防渗区：本项目一般工业固体废物堆场等</w:t>
            </w:r>
            <w:r>
              <w:rPr>
                <w:rFonts w:hint="eastAsia"/>
                <w:color w:val="auto"/>
                <w:sz w:val="24"/>
                <w:lang w:eastAsia="zh-CN"/>
              </w:rPr>
              <w:t>其他区域</w:t>
            </w:r>
            <w:r>
              <w:rPr>
                <w:rFonts w:hint="eastAsia"/>
                <w:color w:val="auto"/>
                <w:sz w:val="24"/>
              </w:rPr>
              <w:t>为一般防渗区，参照《一般工业固体废物贮存和填埋污染控制标准》（</w:t>
            </w:r>
            <w:r>
              <w:rPr>
                <w:color w:val="auto"/>
                <w:sz w:val="24"/>
              </w:rPr>
              <w:t>GB18599-2020</w:t>
            </w:r>
            <w:r>
              <w:rPr>
                <w:rFonts w:hint="eastAsia"/>
                <w:color w:val="auto"/>
                <w:sz w:val="24"/>
              </w:rPr>
              <w:t>）设计，应采用天然或人工材料构筑防渗层，渗透系数</w:t>
            </w:r>
            <w:r>
              <w:rPr>
                <w:color w:val="auto"/>
                <w:sz w:val="24"/>
              </w:rPr>
              <w:t>≤10</w:t>
            </w:r>
            <w:r>
              <w:rPr>
                <w:color w:val="auto"/>
                <w:sz w:val="24"/>
                <w:vertAlign w:val="superscript"/>
              </w:rPr>
              <w:t>-7</w:t>
            </w:r>
            <w:r>
              <w:rPr>
                <w:color w:val="auto"/>
                <w:sz w:val="24"/>
              </w:rPr>
              <w:t>cm/s</w:t>
            </w:r>
            <w:r>
              <w:rPr>
                <w:rFonts w:hint="eastAsia"/>
                <w:color w:val="auto"/>
                <w:sz w:val="24"/>
              </w:rPr>
              <w:t>。</w:t>
            </w:r>
          </w:p>
        </w:tc>
      </w:tr>
      <w:tr w14:paraId="03A05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Align w:val="center"/>
          </w:tcPr>
          <w:p w14:paraId="082A2688">
            <w:pPr>
              <w:adjustRightInd w:val="0"/>
              <w:snapToGrid w:val="0"/>
              <w:spacing w:before="60" w:after="60"/>
              <w:jc w:val="center"/>
              <w:rPr>
                <w:b/>
                <w:bCs/>
                <w:color w:val="auto"/>
                <w:kern w:val="21"/>
                <w:sz w:val="24"/>
              </w:rPr>
            </w:pPr>
            <w:r>
              <w:rPr>
                <w:b/>
                <w:bCs/>
                <w:color w:val="auto"/>
                <w:kern w:val="21"/>
                <w:sz w:val="24"/>
              </w:rPr>
              <w:t>生态保护措施</w:t>
            </w:r>
          </w:p>
        </w:tc>
        <w:tc>
          <w:tcPr>
            <w:tcW w:w="4257" w:type="pct"/>
            <w:gridSpan w:val="4"/>
            <w:vAlign w:val="center"/>
          </w:tcPr>
          <w:p w14:paraId="340ECB06">
            <w:pPr>
              <w:adjustRightInd w:val="0"/>
              <w:snapToGrid w:val="0"/>
              <w:spacing w:before="60" w:after="60"/>
              <w:jc w:val="center"/>
              <w:rPr>
                <w:color w:val="auto"/>
                <w:kern w:val="21"/>
                <w:sz w:val="24"/>
              </w:rPr>
            </w:pPr>
            <w:r>
              <w:rPr>
                <w:color w:val="auto"/>
                <w:kern w:val="21"/>
                <w:sz w:val="24"/>
              </w:rPr>
              <w:t>项目厂区空地植树种草等绿化措施</w:t>
            </w:r>
            <w:r>
              <w:rPr>
                <w:rFonts w:hint="eastAsia"/>
                <w:color w:val="auto"/>
                <w:kern w:val="21"/>
                <w:sz w:val="24"/>
              </w:rPr>
              <w:t>。</w:t>
            </w:r>
          </w:p>
        </w:tc>
      </w:tr>
      <w:tr w14:paraId="29138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Align w:val="center"/>
          </w:tcPr>
          <w:p w14:paraId="65A4845A">
            <w:pPr>
              <w:adjustRightInd w:val="0"/>
              <w:snapToGrid w:val="0"/>
              <w:spacing w:before="60" w:after="60"/>
              <w:jc w:val="center"/>
              <w:rPr>
                <w:b/>
                <w:bCs/>
                <w:color w:val="auto"/>
                <w:kern w:val="21"/>
                <w:sz w:val="24"/>
              </w:rPr>
            </w:pPr>
            <w:r>
              <w:rPr>
                <w:b/>
                <w:bCs/>
                <w:color w:val="auto"/>
                <w:kern w:val="21"/>
                <w:sz w:val="24"/>
              </w:rPr>
              <w:t>环境风险</w:t>
            </w:r>
          </w:p>
          <w:p w14:paraId="18DCF7BA">
            <w:pPr>
              <w:adjustRightInd w:val="0"/>
              <w:snapToGrid w:val="0"/>
              <w:spacing w:before="60" w:after="60"/>
              <w:jc w:val="center"/>
              <w:rPr>
                <w:b/>
                <w:bCs/>
                <w:color w:val="auto"/>
                <w:kern w:val="21"/>
                <w:sz w:val="24"/>
              </w:rPr>
            </w:pPr>
            <w:r>
              <w:rPr>
                <w:b/>
                <w:bCs/>
                <w:color w:val="auto"/>
                <w:kern w:val="21"/>
                <w:sz w:val="24"/>
              </w:rPr>
              <w:t>防范措施</w:t>
            </w:r>
          </w:p>
        </w:tc>
        <w:tc>
          <w:tcPr>
            <w:tcW w:w="4257" w:type="pct"/>
            <w:gridSpan w:val="4"/>
            <w:vAlign w:val="center"/>
          </w:tcPr>
          <w:p w14:paraId="2E1DDED0">
            <w:pPr>
              <w:adjustRightInd w:val="0"/>
              <w:snapToGrid w:val="0"/>
              <w:spacing w:before="60" w:after="60"/>
              <w:jc w:val="center"/>
              <w:rPr>
                <w:color w:val="auto"/>
                <w:kern w:val="21"/>
                <w:sz w:val="24"/>
              </w:rPr>
            </w:pPr>
            <w:r>
              <w:rPr>
                <w:rFonts w:hint="eastAsia"/>
                <w:color w:val="auto"/>
                <w:kern w:val="0"/>
                <w:sz w:val="24"/>
              </w:rPr>
              <w:t>废水运输管道放置于废水专用运输沟渠内进行运输，废水专用运输沟渠内进行防腐防渗处理；沼气锅炉房内安装沼气泄露报警装置；</w:t>
            </w:r>
            <w:r>
              <w:rPr>
                <w:color w:val="auto"/>
                <w:kern w:val="0"/>
                <w:sz w:val="24"/>
              </w:rPr>
              <w:t>完善风险防范与应急措施，</w:t>
            </w:r>
            <w:r>
              <w:rPr>
                <w:rFonts w:hint="eastAsia"/>
                <w:color w:val="auto"/>
                <w:kern w:val="0"/>
                <w:sz w:val="24"/>
                <w:lang w:val="en-US" w:eastAsia="zh-CN"/>
              </w:rPr>
              <w:t>修编</w:t>
            </w:r>
            <w:r>
              <w:rPr>
                <w:color w:val="auto"/>
                <w:kern w:val="0"/>
                <w:sz w:val="24"/>
              </w:rPr>
              <w:t>突发环境事件应急预案。</w:t>
            </w:r>
          </w:p>
        </w:tc>
      </w:tr>
      <w:tr w14:paraId="1C406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42" w:type="pct"/>
            <w:vAlign w:val="center"/>
          </w:tcPr>
          <w:p w14:paraId="4CC29676">
            <w:pPr>
              <w:adjustRightInd w:val="0"/>
              <w:snapToGrid w:val="0"/>
              <w:spacing w:before="60" w:after="60"/>
              <w:jc w:val="center"/>
              <w:rPr>
                <w:b/>
                <w:bCs/>
                <w:color w:val="auto"/>
                <w:kern w:val="21"/>
                <w:sz w:val="24"/>
              </w:rPr>
            </w:pPr>
            <w:r>
              <w:rPr>
                <w:b/>
                <w:bCs/>
                <w:color w:val="auto"/>
                <w:kern w:val="21"/>
                <w:sz w:val="24"/>
              </w:rPr>
              <w:t>其他环境</w:t>
            </w:r>
          </w:p>
          <w:p w14:paraId="52DF1022">
            <w:pPr>
              <w:adjustRightInd w:val="0"/>
              <w:snapToGrid w:val="0"/>
              <w:spacing w:before="60" w:after="60"/>
              <w:jc w:val="center"/>
              <w:rPr>
                <w:b/>
                <w:bCs/>
                <w:color w:val="auto"/>
                <w:kern w:val="21"/>
                <w:sz w:val="24"/>
              </w:rPr>
            </w:pPr>
            <w:r>
              <w:rPr>
                <w:b/>
                <w:bCs/>
                <w:color w:val="auto"/>
                <w:kern w:val="21"/>
                <w:sz w:val="24"/>
              </w:rPr>
              <w:t>管理要求</w:t>
            </w:r>
          </w:p>
        </w:tc>
        <w:tc>
          <w:tcPr>
            <w:tcW w:w="4257" w:type="pct"/>
            <w:gridSpan w:val="4"/>
            <w:vAlign w:val="center"/>
          </w:tcPr>
          <w:p w14:paraId="76676857">
            <w:pPr>
              <w:keepNext w:val="0"/>
              <w:keepLines w:val="0"/>
              <w:pageBreakBefore w:val="0"/>
              <w:widowControl/>
              <w:kinsoku/>
              <w:wordWrap/>
              <w:overflowPunct/>
              <w:topLinePunct w:val="0"/>
              <w:autoSpaceDE/>
              <w:autoSpaceDN/>
              <w:bidi w:val="0"/>
              <w:adjustRightInd w:val="0"/>
              <w:snapToGrid w:val="0"/>
              <w:spacing w:before="60" w:after="60" w:line="360" w:lineRule="auto"/>
              <w:ind w:firstLine="480" w:firstLineChars="200"/>
              <w:textAlignment w:val="auto"/>
              <w:rPr>
                <w:color w:val="auto"/>
                <w:kern w:val="0"/>
                <w:sz w:val="24"/>
              </w:rPr>
            </w:pPr>
            <w:r>
              <w:rPr>
                <w:color w:val="auto"/>
                <w:kern w:val="0"/>
                <w:sz w:val="24"/>
              </w:rPr>
              <w:t>①建立完善的环境管理制度，设立专门环境管理机构，建立完善的环境监测制度。</w:t>
            </w:r>
          </w:p>
          <w:p w14:paraId="69530FDC">
            <w:pPr>
              <w:keepNext w:val="0"/>
              <w:keepLines w:val="0"/>
              <w:pageBreakBefore w:val="0"/>
              <w:widowControl/>
              <w:kinsoku/>
              <w:wordWrap/>
              <w:overflowPunct/>
              <w:topLinePunct w:val="0"/>
              <w:autoSpaceDE/>
              <w:autoSpaceDN/>
              <w:bidi w:val="0"/>
              <w:adjustRightInd w:val="0"/>
              <w:snapToGrid w:val="0"/>
              <w:spacing w:before="60" w:after="60" w:line="360" w:lineRule="auto"/>
              <w:ind w:firstLine="480" w:firstLineChars="200"/>
              <w:textAlignment w:val="auto"/>
              <w:rPr>
                <w:color w:val="auto"/>
                <w:kern w:val="0"/>
                <w:sz w:val="24"/>
              </w:rPr>
            </w:pPr>
            <w:r>
              <w:rPr>
                <w:color w:val="auto"/>
                <w:kern w:val="0"/>
                <w:sz w:val="24"/>
              </w:rPr>
              <w:t>②按照环境监测计划对项目废气、厂界噪声等定期进行监测；废气按照要求设置采样口并设立相应标志牌。</w:t>
            </w:r>
          </w:p>
          <w:p w14:paraId="1B431859">
            <w:pPr>
              <w:keepNext w:val="0"/>
              <w:keepLines w:val="0"/>
              <w:pageBreakBefore w:val="0"/>
              <w:widowControl/>
              <w:kinsoku/>
              <w:wordWrap/>
              <w:overflowPunct/>
              <w:topLinePunct w:val="0"/>
              <w:autoSpaceDE/>
              <w:autoSpaceDN/>
              <w:bidi w:val="0"/>
              <w:adjustRightInd w:val="0"/>
              <w:snapToGrid w:val="0"/>
              <w:spacing w:before="60" w:after="60" w:line="360" w:lineRule="auto"/>
              <w:ind w:firstLine="480" w:firstLineChars="200"/>
              <w:textAlignment w:val="auto"/>
              <w:rPr>
                <w:color w:val="auto"/>
                <w:kern w:val="0"/>
                <w:sz w:val="24"/>
              </w:rPr>
            </w:pPr>
            <w:r>
              <w:rPr>
                <w:color w:val="auto"/>
                <w:kern w:val="0"/>
                <w:sz w:val="24"/>
              </w:rPr>
              <w:t>③一般固废暂存间设立相应标志牌。</w:t>
            </w:r>
          </w:p>
          <w:p w14:paraId="3A6623E6">
            <w:pPr>
              <w:keepNext w:val="0"/>
              <w:keepLines w:val="0"/>
              <w:pageBreakBefore w:val="0"/>
              <w:widowControl/>
              <w:kinsoku/>
              <w:wordWrap/>
              <w:overflowPunct/>
              <w:topLinePunct w:val="0"/>
              <w:autoSpaceDE/>
              <w:autoSpaceDN/>
              <w:bidi w:val="0"/>
              <w:adjustRightInd w:val="0"/>
              <w:snapToGrid w:val="0"/>
              <w:spacing w:before="60" w:after="60" w:line="360" w:lineRule="auto"/>
              <w:ind w:firstLine="480" w:firstLineChars="200"/>
              <w:textAlignment w:val="auto"/>
              <w:rPr>
                <w:color w:val="auto"/>
                <w:kern w:val="0"/>
                <w:sz w:val="24"/>
              </w:rPr>
            </w:pPr>
            <w:r>
              <w:rPr>
                <w:color w:val="auto"/>
                <w:kern w:val="0"/>
                <w:sz w:val="24"/>
              </w:rPr>
              <w:t>④填报排污许可</w:t>
            </w:r>
            <w:r>
              <w:rPr>
                <w:rFonts w:hint="eastAsia"/>
                <w:color w:val="auto"/>
                <w:kern w:val="0"/>
                <w:sz w:val="24"/>
              </w:rPr>
              <w:t>。</w:t>
            </w:r>
          </w:p>
          <w:p w14:paraId="320AE45A">
            <w:pPr>
              <w:widowControl/>
              <w:adjustRightInd w:val="0"/>
              <w:snapToGrid w:val="0"/>
              <w:spacing w:before="60" w:after="60"/>
              <w:jc w:val="center"/>
              <w:rPr>
                <w:color w:val="auto"/>
                <w:kern w:val="0"/>
                <w:sz w:val="24"/>
              </w:rPr>
            </w:pPr>
          </w:p>
          <w:p w14:paraId="0990AA9E">
            <w:pPr>
              <w:widowControl/>
              <w:adjustRightInd w:val="0"/>
              <w:snapToGrid w:val="0"/>
              <w:spacing w:before="60" w:after="60"/>
              <w:rPr>
                <w:rFonts w:hint="eastAsia"/>
                <w:color w:val="auto"/>
                <w:sz w:val="24"/>
                <w:lang w:val="en-US" w:eastAsia="zh-CN"/>
              </w:rPr>
            </w:pPr>
          </w:p>
          <w:p w14:paraId="7D2BE92B">
            <w:pPr>
              <w:widowControl/>
              <w:adjustRightInd w:val="0"/>
              <w:snapToGrid w:val="0"/>
              <w:spacing w:before="60" w:after="60"/>
              <w:rPr>
                <w:rFonts w:hint="eastAsia"/>
                <w:color w:val="auto"/>
                <w:sz w:val="24"/>
                <w:lang w:val="en-US" w:eastAsia="zh-CN"/>
              </w:rPr>
            </w:pPr>
          </w:p>
          <w:p w14:paraId="30B8AA0D">
            <w:pPr>
              <w:widowControl/>
              <w:adjustRightInd w:val="0"/>
              <w:snapToGrid w:val="0"/>
              <w:spacing w:before="60" w:after="60"/>
              <w:rPr>
                <w:rFonts w:hint="eastAsia"/>
                <w:color w:val="auto"/>
                <w:sz w:val="24"/>
                <w:lang w:val="en-US" w:eastAsia="zh-CN"/>
              </w:rPr>
            </w:pPr>
          </w:p>
          <w:p w14:paraId="289D55D1">
            <w:pPr>
              <w:widowControl/>
              <w:adjustRightInd w:val="0"/>
              <w:snapToGrid w:val="0"/>
              <w:spacing w:before="60" w:after="60"/>
              <w:rPr>
                <w:rFonts w:hint="eastAsia"/>
                <w:color w:val="auto"/>
                <w:sz w:val="24"/>
                <w:lang w:val="en-US" w:eastAsia="zh-CN"/>
              </w:rPr>
            </w:pPr>
          </w:p>
          <w:p w14:paraId="466DC6CB">
            <w:pPr>
              <w:widowControl/>
              <w:adjustRightInd w:val="0"/>
              <w:snapToGrid w:val="0"/>
              <w:spacing w:before="60" w:after="60"/>
              <w:rPr>
                <w:rFonts w:hint="eastAsia"/>
                <w:color w:val="auto"/>
                <w:sz w:val="24"/>
                <w:lang w:val="en-US" w:eastAsia="zh-CN"/>
              </w:rPr>
            </w:pPr>
          </w:p>
          <w:p w14:paraId="727B5F37">
            <w:pPr>
              <w:widowControl/>
              <w:adjustRightInd w:val="0"/>
              <w:snapToGrid w:val="0"/>
              <w:spacing w:before="60" w:after="60"/>
              <w:rPr>
                <w:rFonts w:hint="eastAsia"/>
                <w:color w:val="auto"/>
                <w:sz w:val="24"/>
                <w:lang w:val="en-US" w:eastAsia="zh-CN"/>
              </w:rPr>
            </w:pPr>
          </w:p>
          <w:p w14:paraId="037AE9FB">
            <w:pPr>
              <w:widowControl/>
              <w:adjustRightInd w:val="0"/>
              <w:snapToGrid w:val="0"/>
              <w:spacing w:before="60" w:after="60"/>
              <w:rPr>
                <w:rFonts w:hint="eastAsia"/>
                <w:color w:val="auto"/>
                <w:sz w:val="24"/>
                <w:lang w:val="en-US" w:eastAsia="zh-CN"/>
              </w:rPr>
            </w:pPr>
          </w:p>
          <w:p w14:paraId="6B064664">
            <w:pPr>
              <w:widowControl/>
              <w:adjustRightInd w:val="0"/>
              <w:snapToGrid w:val="0"/>
              <w:spacing w:before="60" w:after="60"/>
              <w:rPr>
                <w:rFonts w:hint="eastAsia"/>
                <w:color w:val="auto"/>
                <w:sz w:val="24"/>
                <w:lang w:val="en-US" w:eastAsia="zh-CN"/>
              </w:rPr>
            </w:pPr>
          </w:p>
          <w:p w14:paraId="2D66B266">
            <w:pPr>
              <w:widowControl/>
              <w:adjustRightInd w:val="0"/>
              <w:snapToGrid w:val="0"/>
              <w:spacing w:before="60" w:after="60"/>
              <w:rPr>
                <w:rFonts w:hint="eastAsia"/>
                <w:color w:val="auto"/>
                <w:sz w:val="24"/>
                <w:lang w:val="en-US" w:eastAsia="zh-CN"/>
              </w:rPr>
            </w:pPr>
          </w:p>
          <w:p w14:paraId="13139232">
            <w:pPr>
              <w:widowControl/>
              <w:adjustRightInd w:val="0"/>
              <w:snapToGrid w:val="0"/>
              <w:spacing w:before="60" w:after="60"/>
              <w:rPr>
                <w:rFonts w:hint="eastAsia"/>
                <w:color w:val="auto"/>
                <w:sz w:val="24"/>
                <w:lang w:val="en-US" w:eastAsia="zh-CN"/>
              </w:rPr>
            </w:pPr>
          </w:p>
          <w:p w14:paraId="2AF2222A">
            <w:pPr>
              <w:widowControl/>
              <w:adjustRightInd w:val="0"/>
              <w:snapToGrid w:val="0"/>
              <w:spacing w:before="60" w:after="60"/>
              <w:rPr>
                <w:rFonts w:hint="eastAsia"/>
                <w:color w:val="auto"/>
                <w:sz w:val="24"/>
                <w:lang w:val="en-US" w:eastAsia="zh-CN"/>
              </w:rPr>
            </w:pPr>
          </w:p>
          <w:p w14:paraId="749476D0">
            <w:pPr>
              <w:widowControl/>
              <w:adjustRightInd w:val="0"/>
              <w:snapToGrid w:val="0"/>
              <w:spacing w:before="60" w:after="60"/>
              <w:rPr>
                <w:rFonts w:hint="eastAsia"/>
                <w:color w:val="auto"/>
                <w:sz w:val="24"/>
                <w:lang w:val="en-US" w:eastAsia="zh-CN"/>
              </w:rPr>
            </w:pPr>
          </w:p>
          <w:p w14:paraId="4527DC11">
            <w:pPr>
              <w:widowControl/>
              <w:adjustRightInd w:val="0"/>
              <w:snapToGrid w:val="0"/>
              <w:spacing w:before="60" w:after="60"/>
              <w:rPr>
                <w:rFonts w:hint="eastAsia"/>
                <w:color w:val="auto"/>
                <w:sz w:val="24"/>
                <w:lang w:val="en-US" w:eastAsia="zh-CN"/>
              </w:rPr>
            </w:pPr>
          </w:p>
          <w:p w14:paraId="66D14C3A">
            <w:pPr>
              <w:widowControl/>
              <w:adjustRightInd w:val="0"/>
              <w:snapToGrid w:val="0"/>
              <w:spacing w:before="60" w:after="60"/>
              <w:rPr>
                <w:rFonts w:hint="default" w:eastAsia="宋体"/>
                <w:color w:val="auto"/>
                <w:sz w:val="24"/>
                <w:lang w:val="en-US" w:eastAsia="zh-CN"/>
              </w:rPr>
            </w:pPr>
          </w:p>
        </w:tc>
      </w:tr>
    </w:tbl>
    <w:p w14:paraId="271F92AE">
      <w:pPr>
        <w:pStyle w:val="25"/>
        <w:adjustRightInd w:val="0"/>
        <w:snapToGrid w:val="0"/>
        <w:jc w:val="center"/>
        <w:outlineLvl w:val="0"/>
        <w:rPr>
          <w:rFonts w:ascii="Times New Roman" w:hAnsi="Times New Roman" w:eastAsia="黑体"/>
          <w:snapToGrid w:val="0"/>
          <w:color w:val="auto"/>
          <w:kern w:val="21"/>
          <w:sz w:val="30"/>
          <w:szCs w:val="30"/>
        </w:rPr>
      </w:pPr>
      <w:r>
        <w:rPr>
          <w:rFonts w:ascii="Times New Roman" w:hAnsi="Times New Roman"/>
          <w:snapToGrid w:val="0"/>
          <w:color w:val="auto"/>
          <w:kern w:val="21"/>
        </w:rPr>
        <w:br w:type="page"/>
      </w:r>
      <w:r>
        <w:rPr>
          <w:rFonts w:ascii="Times New Roman" w:hAnsi="Times New Roman" w:eastAsia="黑体"/>
          <w:snapToGrid w:val="0"/>
          <w:color w:val="auto"/>
          <w:kern w:val="21"/>
          <w:sz w:val="30"/>
          <w:szCs w:val="30"/>
        </w:rPr>
        <w:t>六、结论</w:t>
      </w:r>
    </w:p>
    <w:tbl>
      <w:tblPr>
        <w:tblStyle w:val="29"/>
        <w:tblW w:w="85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24ABB1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865" w:type="dxa"/>
            <w:vAlign w:val="center"/>
          </w:tcPr>
          <w:p w14:paraId="1A555AE9">
            <w:pPr>
              <w:adjustRightInd w:val="0"/>
              <w:snapToGrid w:val="0"/>
              <w:spacing w:beforeLines="100" w:line="360" w:lineRule="auto"/>
              <w:ind w:firstLine="480" w:firstLineChars="200"/>
              <w:rPr>
                <w:color w:val="auto"/>
                <w:sz w:val="24"/>
              </w:rPr>
            </w:pPr>
            <w:r>
              <w:rPr>
                <w:color w:val="auto"/>
                <w:sz w:val="24"/>
              </w:rPr>
              <w:t>本项目</w:t>
            </w:r>
            <w:r>
              <w:rPr>
                <w:rFonts w:hint="eastAsia"/>
                <w:color w:val="auto"/>
                <w:sz w:val="24"/>
              </w:rPr>
              <w:t>建设符合国家和地方的产业政策，选址符合土地利用总体规划，其厂址选择基本可行、厂区布局合理。项目采用的污染防治措施技术可行，可确保废水、废气、噪声达标排放，固废妥善处置。项目投产后具有良好的经济效益和一定的社会效益。只要在工程建设和生产运行过程中，严格执行“三同时”制度，落实环评报告中提出的各项污染防治措施，从环境影响评价角度分析，本项目的建设是可行的。</w:t>
            </w:r>
          </w:p>
          <w:p w14:paraId="674EE216">
            <w:pPr>
              <w:pStyle w:val="7"/>
              <w:ind w:firstLine="560"/>
              <w:rPr>
                <w:color w:val="auto"/>
              </w:rPr>
            </w:pPr>
          </w:p>
          <w:p w14:paraId="251D7BFC">
            <w:pPr>
              <w:pStyle w:val="5"/>
              <w:rPr>
                <w:color w:val="auto"/>
              </w:rPr>
            </w:pPr>
          </w:p>
          <w:p w14:paraId="0DDE5BA0">
            <w:pPr>
              <w:rPr>
                <w:color w:val="auto"/>
              </w:rPr>
            </w:pPr>
          </w:p>
          <w:p w14:paraId="1C66FCC4">
            <w:pPr>
              <w:pStyle w:val="7"/>
              <w:ind w:firstLine="560"/>
              <w:rPr>
                <w:color w:val="auto"/>
              </w:rPr>
            </w:pPr>
          </w:p>
          <w:p w14:paraId="2A13BFAC">
            <w:pPr>
              <w:pStyle w:val="5"/>
              <w:rPr>
                <w:color w:val="auto"/>
              </w:rPr>
            </w:pPr>
          </w:p>
          <w:p w14:paraId="72563C3B">
            <w:pPr>
              <w:rPr>
                <w:color w:val="auto"/>
              </w:rPr>
            </w:pPr>
          </w:p>
          <w:p w14:paraId="531C4F14">
            <w:pPr>
              <w:pStyle w:val="7"/>
              <w:ind w:firstLine="560"/>
              <w:rPr>
                <w:color w:val="auto"/>
              </w:rPr>
            </w:pPr>
          </w:p>
          <w:p w14:paraId="4388F90F">
            <w:pPr>
              <w:pStyle w:val="5"/>
              <w:rPr>
                <w:color w:val="auto"/>
              </w:rPr>
            </w:pPr>
          </w:p>
          <w:p w14:paraId="230B44ED">
            <w:pPr>
              <w:rPr>
                <w:color w:val="auto"/>
              </w:rPr>
            </w:pPr>
          </w:p>
          <w:p w14:paraId="4D9A1A52">
            <w:pPr>
              <w:pStyle w:val="7"/>
              <w:ind w:firstLine="560"/>
              <w:rPr>
                <w:color w:val="auto"/>
              </w:rPr>
            </w:pPr>
          </w:p>
          <w:p w14:paraId="531094CD">
            <w:pPr>
              <w:pStyle w:val="5"/>
              <w:rPr>
                <w:color w:val="auto"/>
              </w:rPr>
            </w:pPr>
          </w:p>
          <w:p w14:paraId="6E8F687E">
            <w:pPr>
              <w:rPr>
                <w:color w:val="auto"/>
              </w:rPr>
            </w:pPr>
          </w:p>
          <w:p w14:paraId="0E7AC15E">
            <w:pPr>
              <w:pStyle w:val="7"/>
              <w:ind w:firstLine="560"/>
              <w:rPr>
                <w:color w:val="auto"/>
              </w:rPr>
            </w:pPr>
          </w:p>
          <w:p w14:paraId="1391A45D">
            <w:pPr>
              <w:pStyle w:val="5"/>
              <w:rPr>
                <w:color w:val="auto"/>
              </w:rPr>
            </w:pPr>
          </w:p>
        </w:tc>
      </w:tr>
    </w:tbl>
    <w:p w14:paraId="2B2C8C4A">
      <w:pPr>
        <w:pStyle w:val="25"/>
        <w:adjustRightInd w:val="0"/>
        <w:snapToGrid w:val="0"/>
        <w:spacing w:before="0" w:beforeAutospacing="0" w:after="0" w:afterAutospacing="0"/>
        <w:outlineLvl w:val="0"/>
        <w:rPr>
          <w:rFonts w:ascii="Times New Roman" w:hAnsi="Times New Roman" w:eastAsia="黑体"/>
          <w:snapToGrid w:val="0"/>
          <w:color w:val="auto"/>
          <w:kern w:val="21"/>
          <w:sz w:val="32"/>
          <w:szCs w:val="32"/>
        </w:rPr>
        <w:sectPr>
          <w:footerReference r:id="rId6" w:type="default"/>
          <w:pgSz w:w="11905" w:h="16838"/>
          <w:pgMar w:top="1701" w:right="1531" w:bottom="2126" w:left="1531" w:header="851" w:footer="1361" w:gutter="0"/>
          <w:cols w:space="720" w:num="1"/>
          <w:docGrid w:linePitch="312" w:charSpace="0"/>
        </w:sectPr>
      </w:pPr>
    </w:p>
    <w:p w14:paraId="62E5F2F1">
      <w:pPr>
        <w:pStyle w:val="25"/>
        <w:adjustRightInd w:val="0"/>
        <w:snapToGrid w:val="0"/>
        <w:spacing w:before="0" w:beforeAutospacing="0" w:after="0" w:afterAutospacing="0"/>
        <w:jc w:val="center"/>
        <w:outlineLvl w:val="0"/>
        <w:rPr>
          <w:rFonts w:ascii="Times New Roman" w:hAnsi="Times New Roman" w:eastAsia="方正小标宋_GBK"/>
          <w:snapToGrid w:val="0"/>
          <w:color w:val="auto"/>
          <w:kern w:val="21"/>
          <w:sz w:val="32"/>
          <w:szCs w:val="32"/>
        </w:rPr>
      </w:pPr>
      <w:r>
        <w:rPr>
          <w:rFonts w:ascii="Times New Roman" w:hAnsi="Times New Roman" w:eastAsia="方正小标宋_GBK"/>
          <w:snapToGrid w:val="0"/>
          <w:color w:val="auto"/>
          <w:kern w:val="21"/>
          <w:sz w:val="32"/>
          <w:szCs w:val="32"/>
        </w:rPr>
        <w:t>建设项目污染物排放量汇总表</w:t>
      </w:r>
    </w:p>
    <w:tbl>
      <w:tblPr>
        <w:tblStyle w:val="29"/>
        <w:tblW w:w="14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2398"/>
        <w:gridCol w:w="1627"/>
        <w:gridCol w:w="1313"/>
        <w:gridCol w:w="1614"/>
        <w:gridCol w:w="1604"/>
        <w:gridCol w:w="1451"/>
        <w:gridCol w:w="1964"/>
        <w:gridCol w:w="1402"/>
      </w:tblGrid>
      <w:tr w14:paraId="38BC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tcBorders>
              <w:top w:val="single" w:color="000000" w:sz="4" w:space="0"/>
              <w:left w:val="single" w:color="000000" w:sz="4" w:space="0"/>
              <w:bottom w:val="single" w:color="000000" w:sz="4" w:space="0"/>
              <w:right w:val="single" w:color="000000" w:sz="4" w:space="0"/>
              <w:tl2br w:val="single" w:color="000000" w:sz="4" w:space="0"/>
              <w:tr2bl w:val="nil"/>
            </w:tcBorders>
            <w:shd w:val="clear" w:color="auto" w:fill="FFFFFF"/>
            <w:tcMar>
              <w:left w:w="28" w:type="dxa"/>
              <w:right w:w="28" w:type="dxa"/>
            </w:tcMar>
            <w:vAlign w:val="center"/>
          </w:tcPr>
          <w:p w14:paraId="6E9D027A">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jc w:val="right"/>
              <w:textAlignment w:val="auto"/>
              <w:rPr>
                <w:rFonts w:ascii="Times New Roman"/>
                <w:bCs/>
                <w:snapToGrid w:val="0"/>
                <w:color w:val="auto"/>
                <w:kern w:val="21"/>
                <w:sz w:val="24"/>
                <w:szCs w:val="24"/>
              </w:rPr>
            </w:pPr>
            <w:r>
              <w:rPr>
                <w:rFonts w:ascii="Times New Roman"/>
                <w:bCs/>
                <w:snapToGrid w:val="0"/>
                <w:color w:val="auto"/>
                <w:kern w:val="21"/>
                <w:sz w:val="24"/>
                <w:szCs w:val="24"/>
              </w:rPr>
              <w:t>项目</w:t>
            </w:r>
          </w:p>
          <w:p w14:paraId="2D34B5F5">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jc w:val="both"/>
              <w:textAlignment w:val="auto"/>
              <w:rPr>
                <w:rFonts w:ascii="Times New Roman"/>
                <w:bCs/>
                <w:snapToGrid w:val="0"/>
                <w:color w:val="auto"/>
                <w:kern w:val="21"/>
                <w:sz w:val="24"/>
                <w:szCs w:val="24"/>
              </w:rPr>
            </w:pPr>
            <w:r>
              <w:rPr>
                <w:rFonts w:ascii="Times New Roman"/>
                <w:bCs/>
                <w:snapToGrid w:val="0"/>
                <w:color w:val="auto"/>
                <w:kern w:val="21"/>
                <w:sz w:val="24"/>
                <w:szCs w:val="24"/>
              </w:rPr>
              <w:t>分类</w:t>
            </w: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3FEB0FDA">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污染物名称</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68949639">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现有工程排放量（固体废物产生量）</w:t>
            </w:r>
            <w:r>
              <w:rPr>
                <w:rFonts w:ascii="Times New Roman"/>
                <w:bCs/>
                <w:snapToGrid w:val="0"/>
                <w:color w:val="auto"/>
                <w:kern w:val="21"/>
                <w:sz w:val="24"/>
                <w:szCs w:val="24"/>
              </w:rPr>
              <w:fldChar w:fldCharType="begin"/>
            </w:r>
            <w:r>
              <w:rPr>
                <w:rFonts w:ascii="Times New Roman"/>
                <w:bCs/>
                <w:snapToGrid w:val="0"/>
                <w:color w:val="auto"/>
                <w:kern w:val="21"/>
                <w:sz w:val="24"/>
                <w:szCs w:val="24"/>
              </w:rPr>
              <w:instrText xml:space="preserve"> = 1 \* GB3 \* MERGEFORMAT </w:instrText>
            </w:r>
            <w:r>
              <w:rPr>
                <w:rFonts w:ascii="Times New Roman"/>
                <w:bCs/>
                <w:snapToGrid w:val="0"/>
                <w:color w:val="auto"/>
                <w:kern w:val="21"/>
                <w:sz w:val="24"/>
                <w:szCs w:val="24"/>
              </w:rPr>
              <w:fldChar w:fldCharType="separate"/>
            </w:r>
            <w:r>
              <w:rPr>
                <w:rFonts w:ascii="Times New Roman"/>
                <w:bCs/>
                <w:color w:val="auto"/>
                <w:kern w:val="21"/>
                <w:sz w:val="24"/>
                <w:szCs w:val="24"/>
              </w:rPr>
              <w:t>①</w:t>
            </w:r>
            <w:r>
              <w:rPr>
                <w:rFonts w:ascii="Times New Roman"/>
                <w:bCs/>
                <w:snapToGrid w:val="0"/>
                <w:color w:val="auto"/>
                <w:kern w:val="21"/>
                <w:sz w:val="24"/>
                <w:szCs w:val="24"/>
              </w:rPr>
              <w:fldChar w:fldCharType="end"/>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02CB5D7A">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现有工程</w:t>
            </w:r>
          </w:p>
          <w:p w14:paraId="299EEC9F">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许可排放量</w:t>
            </w:r>
          </w:p>
          <w:p w14:paraId="51E2AB26">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fldChar w:fldCharType="begin"/>
            </w:r>
            <w:r>
              <w:rPr>
                <w:rFonts w:ascii="Times New Roman"/>
                <w:bCs/>
                <w:snapToGrid w:val="0"/>
                <w:color w:val="auto"/>
                <w:kern w:val="21"/>
                <w:sz w:val="24"/>
                <w:szCs w:val="24"/>
              </w:rPr>
              <w:instrText xml:space="preserve"> = 2 \* GB3 \* MERGEFORMAT </w:instrText>
            </w:r>
            <w:r>
              <w:rPr>
                <w:rFonts w:ascii="Times New Roman"/>
                <w:bCs/>
                <w:snapToGrid w:val="0"/>
                <w:color w:val="auto"/>
                <w:kern w:val="21"/>
                <w:sz w:val="24"/>
                <w:szCs w:val="24"/>
              </w:rPr>
              <w:fldChar w:fldCharType="separate"/>
            </w:r>
            <w:r>
              <w:rPr>
                <w:rFonts w:ascii="Times New Roman"/>
                <w:bCs/>
                <w:snapToGrid w:val="0"/>
                <w:color w:val="auto"/>
                <w:kern w:val="21"/>
                <w:sz w:val="24"/>
                <w:szCs w:val="24"/>
              </w:rPr>
              <w:t>②</w:t>
            </w:r>
            <w:r>
              <w:rPr>
                <w:rFonts w:ascii="Times New Roman"/>
                <w:bCs/>
                <w:snapToGrid w:val="0"/>
                <w:color w:val="auto"/>
                <w:kern w:val="21"/>
                <w:sz w:val="24"/>
                <w:szCs w:val="24"/>
              </w:rPr>
              <w:fldChar w:fldCharType="end"/>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19C2A7EE">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在建工程排放量（固体废物产生量）</w:t>
            </w:r>
            <w:r>
              <w:rPr>
                <w:rFonts w:ascii="Times New Roman"/>
                <w:bCs/>
                <w:snapToGrid w:val="0"/>
                <w:color w:val="auto"/>
                <w:kern w:val="21"/>
                <w:sz w:val="24"/>
                <w:szCs w:val="24"/>
              </w:rPr>
              <w:fldChar w:fldCharType="begin"/>
            </w:r>
            <w:r>
              <w:rPr>
                <w:rFonts w:ascii="Times New Roman"/>
                <w:bCs/>
                <w:snapToGrid w:val="0"/>
                <w:color w:val="auto"/>
                <w:kern w:val="21"/>
                <w:sz w:val="24"/>
                <w:szCs w:val="24"/>
              </w:rPr>
              <w:instrText xml:space="preserve"> = 3 \* GB3 \* MERGEFORMAT </w:instrText>
            </w:r>
            <w:r>
              <w:rPr>
                <w:rFonts w:ascii="Times New Roman"/>
                <w:bCs/>
                <w:snapToGrid w:val="0"/>
                <w:color w:val="auto"/>
                <w:kern w:val="21"/>
                <w:sz w:val="24"/>
                <w:szCs w:val="24"/>
              </w:rPr>
              <w:fldChar w:fldCharType="separate"/>
            </w:r>
            <w:r>
              <w:rPr>
                <w:rFonts w:ascii="Times New Roman"/>
                <w:bCs/>
                <w:color w:val="auto"/>
                <w:kern w:val="21"/>
                <w:sz w:val="24"/>
                <w:szCs w:val="24"/>
              </w:rPr>
              <w:t>③</w:t>
            </w:r>
            <w:r>
              <w:rPr>
                <w:rFonts w:ascii="Times New Roman"/>
                <w:bCs/>
                <w:snapToGrid w:val="0"/>
                <w:color w:val="auto"/>
                <w:kern w:val="21"/>
                <w:sz w:val="24"/>
                <w:szCs w:val="24"/>
              </w:rPr>
              <w:fldChar w:fldCharType="end"/>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4F6A24EF">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本项目排放量（固体废物产生量）</w:t>
            </w:r>
            <w:r>
              <w:rPr>
                <w:rFonts w:ascii="Times New Roman"/>
                <w:bCs/>
                <w:snapToGrid w:val="0"/>
                <w:color w:val="auto"/>
                <w:kern w:val="21"/>
                <w:sz w:val="24"/>
                <w:szCs w:val="24"/>
              </w:rPr>
              <w:fldChar w:fldCharType="begin"/>
            </w:r>
            <w:r>
              <w:rPr>
                <w:rFonts w:ascii="Times New Roman"/>
                <w:bCs/>
                <w:snapToGrid w:val="0"/>
                <w:color w:val="auto"/>
                <w:kern w:val="21"/>
                <w:sz w:val="24"/>
                <w:szCs w:val="24"/>
              </w:rPr>
              <w:instrText xml:space="preserve"> = 4 \* GB3 \* MERGEFORMAT </w:instrText>
            </w:r>
            <w:r>
              <w:rPr>
                <w:rFonts w:ascii="Times New Roman"/>
                <w:bCs/>
                <w:snapToGrid w:val="0"/>
                <w:color w:val="auto"/>
                <w:kern w:val="21"/>
                <w:sz w:val="24"/>
                <w:szCs w:val="24"/>
              </w:rPr>
              <w:fldChar w:fldCharType="separate"/>
            </w:r>
            <w:r>
              <w:rPr>
                <w:rFonts w:ascii="Times New Roman"/>
                <w:bCs/>
                <w:color w:val="auto"/>
                <w:kern w:val="21"/>
                <w:sz w:val="24"/>
                <w:szCs w:val="24"/>
              </w:rPr>
              <w:t>④</w:t>
            </w:r>
            <w:r>
              <w:rPr>
                <w:rFonts w:ascii="Times New Roman"/>
                <w:bCs/>
                <w:snapToGrid w:val="0"/>
                <w:color w:val="auto"/>
                <w:kern w:val="21"/>
                <w:sz w:val="24"/>
                <w:szCs w:val="24"/>
              </w:rPr>
              <w:fldChar w:fldCharType="end"/>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355A3142">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以新带老削减量（新建项目不填）</w:t>
            </w:r>
            <w:r>
              <w:rPr>
                <w:rFonts w:ascii="Times New Roman"/>
                <w:bCs/>
                <w:snapToGrid w:val="0"/>
                <w:color w:val="auto"/>
                <w:kern w:val="21"/>
                <w:sz w:val="24"/>
                <w:szCs w:val="24"/>
              </w:rPr>
              <w:fldChar w:fldCharType="begin"/>
            </w:r>
            <w:r>
              <w:rPr>
                <w:rFonts w:ascii="Times New Roman"/>
                <w:bCs/>
                <w:snapToGrid w:val="0"/>
                <w:color w:val="auto"/>
                <w:kern w:val="21"/>
                <w:sz w:val="24"/>
                <w:szCs w:val="24"/>
              </w:rPr>
              <w:instrText xml:space="preserve"> = 5 \* GB3 \* MERGEFORMAT </w:instrText>
            </w:r>
            <w:r>
              <w:rPr>
                <w:rFonts w:ascii="Times New Roman"/>
                <w:bCs/>
                <w:snapToGrid w:val="0"/>
                <w:color w:val="auto"/>
                <w:kern w:val="21"/>
                <w:sz w:val="24"/>
                <w:szCs w:val="24"/>
              </w:rPr>
              <w:fldChar w:fldCharType="separate"/>
            </w:r>
            <w:r>
              <w:rPr>
                <w:rFonts w:ascii="Times New Roman"/>
                <w:bCs/>
                <w:color w:val="auto"/>
                <w:kern w:val="21"/>
                <w:sz w:val="24"/>
                <w:szCs w:val="24"/>
              </w:rPr>
              <w:t>⑤</w:t>
            </w:r>
            <w:r>
              <w:rPr>
                <w:rFonts w:ascii="Times New Roman"/>
                <w:bCs/>
                <w:snapToGrid w:val="0"/>
                <w:color w:val="auto"/>
                <w:kern w:val="21"/>
                <w:sz w:val="24"/>
                <w:szCs w:val="24"/>
              </w:rPr>
              <w:fldChar w:fldCharType="end"/>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2DE44FCB">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本项目建成后全厂排放量（固体废物产生量）</w:t>
            </w:r>
            <w:r>
              <w:rPr>
                <w:rFonts w:ascii="Times New Roman"/>
                <w:bCs/>
                <w:snapToGrid w:val="0"/>
                <w:color w:val="auto"/>
                <w:kern w:val="21"/>
                <w:sz w:val="24"/>
                <w:szCs w:val="24"/>
              </w:rPr>
              <w:fldChar w:fldCharType="begin"/>
            </w:r>
            <w:r>
              <w:rPr>
                <w:rFonts w:ascii="Times New Roman"/>
                <w:bCs/>
                <w:snapToGrid w:val="0"/>
                <w:color w:val="auto"/>
                <w:kern w:val="21"/>
                <w:sz w:val="24"/>
                <w:szCs w:val="24"/>
              </w:rPr>
              <w:instrText xml:space="preserve"> = 6 \* GB3 \* MERGEFORMAT </w:instrText>
            </w:r>
            <w:r>
              <w:rPr>
                <w:rFonts w:ascii="Times New Roman"/>
                <w:bCs/>
                <w:snapToGrid w:val="0"/>
                <w:color w:val="auto"/>
                <w:kern w:val="21"/>
                <w:sz w:val="24"/>
                <w:szCs w:val="24"/>
              </w:rPr>
              <w:fldChar w:fldCharType="separate"/>
            </w:r>
            <w:r>
              <w:rPr>
                <w:rFonts w:ascii="Times New Roman"/>
                <w:bCs/>
                <w:color w:val="auto"/>
                <w:kern w:val="21"/>
                <w:sz w:val="24"/>
                <w:szCs w:val="24"/>
              </w:rPr>
              <w:t>⑥</w:t>
            </w:r>
            <w:r>
              <w:rPr>
                <w:rFonts w:ascii="Times New Roman"/>
                <w:bCs/>
                <w:snapToGrid w:val="0"/>
                <w:color w:val="auto"/>
                <w:kern w:val="21"/>
                <w:sz w:val="24"/>
                <w:szCs w:val="24"/>
              </w:rPr>
              <w:fldChar w:fldCharType="end"/>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tcMar>
              <w:left w:w="28" w:type="dxa"/>
              <w:right w:w="28" w:type="dxa"/>
            </w:tcMar>
            <w:vAlign w:val="center"/>
          </w:tcPr>
          <w:p w14:paraId="229B0A6F">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bCs/>
                <w:snapToGrid w:val="0"/>
                <w:color w:val="auto"/>
                <w:kern w:val="21"/>
                <w:sz w:val="24"/>
                <w:szCs w:val="24"/>
              </w:rPr>
            </w:pPr>
            <w:r>
              <w:rPr>
                <w:rFonts w:ascii="Times New Roman"/>
                <w:bCs/>
                <w:snapToGrid w:val="0"/>
                <w:color w:val="auto"/>
                <w:kern w:val="21"/>
                <w:sz w:val="24"/>
                <w:szCs w:val="24"/>
              </w:rPr>
              <w:t>变化量</w:t>
            </w:r>
            <w:r>
              <w:rPr>
                <w:rFonts w:ascii="Times New Roman"/>
                <w:bCs/>
                <w:snapToGrid w:val="0"/>
                <w:color w:val="auto"/>
                <w:kern w:val="21"/>
                <w:sz w:val="24"/>
                <w:szCs w:val="24"/>
              </w:rPr>
              <w:fldChar w:fldCharType="begin"/>
            </w:r>
            <w:r>
              <w:rPr>
                <w:rFonts w:ascii="Times New Roman"/>
                <w:bCs/>
                <w:snapToGrid w:val="0"/>
                <w:color w:val="auto"/>
                <w:kern w:val="21"/>
                <w:sz w:val="24"/>
                <w:szCs w:val="24"/>
              </w:rPr>
              <w:instrText xml:space="preserve"> = 7 \* GB3 \* MERGEFORMAT </w:instrText>
            </w:r>
            <w:r>
              <w:rPr>
                <w:rFonts w:ascii="Times New Roman"/>
                <w:bCs/>
                <w:snapToGrid w:val="0"/>
                <w:color w:val="auto"/>
                <w:kern w:val="21"/>
                <w:sz w:val="24"/>
                <w:szCs w:val="24"/>
              </w:rPr>
              <w:fldChar w:fldCharType="separate"/>
            </w:r>
            <w:r>
              <w:rPr>
                <w:rFonts w:ascii="Times New Roman"/>
                <w:bCs/>
                <w:color w:val="auto"/>
                <w:kern w:val="21"/>
                <w:sz w:val="24"/>
                <w:szCs w:val="24"/>
              </w:rPr>
              <w:t>⑦</w:t>
            </w:r>
            <w:r>
              <w:rPr>
                <w:rFonts w:ascii="Times New Roman"/>
                <w:bCs/>
                <w:snapToGrid w:val="0"/>
                <w:color w:val="auto"/>
                <w:kern w:val="21"/>
                <w:sz w:val="24"/>
                <w:szCs w:val="24"/>
              </w:rPr>
              <w:fldChar w:fldCharType="end"/>
            </w:r>
          </w:p>
        </w:tc>
      </w:tr>
      <w:tr w14:paraId="0508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C3EB3E">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废气</w:t>
            </w: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3476823">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sz w:val="24"/>
              </w:rPr>
              <w:t>颗粒物（烟尘）</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1A9F871">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ascii="Times New Roman"/>
                <w:snapToGrid w:val="0"/>
                <w:color w:val="auto"/>
                <w:kern w:val="21"/>
                <w:sz w:val="24"/>
                <w:szCs w:val="24"/>
              </w:rPr>
            </w:pPr>
            <w:r>
              <w:rPr>
                <w:rFonts w:hint="eastAsia" w:ascii="Times New Roman" w:hAnsi="Times New Roman"/>
                <w:color w:val="auto"/>
                <w:szCs w:val="24"/>
              </w:rPr>
              <w:t>0.0708</w:t>
            </w:r>
            <w:r>
              <w:rPr>
                <w:rFonts w:ascii="Times New Roman" w:hAnsi="Times New Roman"/>
                <w:color w:val="auto"/>
                <w:szCs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3D566F">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6122C4">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791B24B">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hint="default" w:ascii="Times New Roman" w:hAnsi="Times New Roman" w:eastAsia="宋体"/>
                <w:color w:val="auto"/>
                <w:szCs w:val="24"/>
                <w:lang w:val="en-US" w:eastAsia="zh-CN"/>
              </w:rPr>
            </w:pPr>
            <w:r>
              <w:rPr>
                <w:rFonts w:hint="eastAsia" w:ascii="Times New Roman" w:hAnsi="Times New Roman"/>
                <w:color w:val="auto"/>
                <w:szCs w:val="24"/>
                <w:lang w:val="en-US" w:eastAsia="zh-CN"/>
              </w:rPr>
              <w:t>0.0887</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729765">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6F9EBA">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ascii="Times New Roman" w:hAnsi="Times New Roman"/>
                <w:snapToGrid w:val="0"/>
                <w:color w:val="auto"/>
                <w:kern w:val="21"/>
                <w:szCs w:val="24"/>
              </w:rPr>
            </w:pPr>
            <w:r>
              <w:rPr>
                <w:rFonts w:hint="eastAsia" w:ascii="Times New Roman" w:hAnsi="Times New Roman"/>
                <w:color w:val="auto"/>
                <w:szCs w:val="24"/>
                <w:lang w:val="en-US" w:eastAsia="zh-CN"/>
              </w:rPr>
              <w:t>0.1595</w:t>
            </w:r>
            <w:r>
              <w:rPr>
                <w:rFonts w:ascii="Times New Roman" w:hAnsi="Times New Roman"/>
                <w:color w:val="auto"/>
                <w:szCs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C2A8EB">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ascii="Times New Roman" w:hAnsi="Times New Roman"/>
                <w:snapToGrid w:val="0"/>
                <w:color w:val="auto"/>
                <w:kern w:val="21"/>
                <w:szCs w:val="24"/>
              </w:rPr>
            </w:pPr>
            <w:r>
              <w:rPr>
                <w:rFonts w:hint="eastAsia" w:ascii="Times New Roman" w:hAnsi="Times New Roman"/>
                <w:color w:val="auto"/>
                <w:szCs w:val="24"/>
                <w:lang w:val="en-US" w:eastAsia="zh-CN"/>
              </w:rPr>
              <w:t>+0.0887</w:t>
            </w:r>
            <w:r>
              <w:rPr>
                <w:rFonts w:ascii="Times New Roman" w:hAnsi="Times New Roman"/>
                <w:color w:val="auto"/>
                <w:szCs w:val="24"/>
              </w:rPr>
              <w:t>t/a</w:t>
            </w:r>
          </w:p>
        </w:tc>
      </w:tr>
      <w:tr w14:paraId="1318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EC726EC">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9F04BB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sz w:val="24"/>
              </w:rPr>
              <w:t>NH</w:t>
            </w:r>
            <w:r>
              <w:rPr>
                <w:color w:val="auto"/>
                <w:sz w:val="24"/>
                <w:vertAlign w:val="subscript"/>
              </w:rPr>
              <w:t>3</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3FAC3D">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ascii="Times New Roman"/>
                <w:snapToGrid w:val="0"/>
                <w:color w:val="auto"/>
                <w:kern w:val="21"/>
                <w:sz w:val="24"/>
                <w:szCs w:val="24"/>
              </w:rPr>
            </w:pPr>
            <w:r>
              <w:rPr>
                <w:rFonts w:hint="eastAsia" w:ascii="Times New Roman" w:hAnsi="Times New Roman"/>
                <w:color w:val="auto"/>
                <w:szCs w:val="24"/>
              </w:rPr>
              <w:t>0.1415</w:t>
            </w:r>
            <w:r>
              <w:rPr>
                <w:rFonts w:ascii="Times New Roman" w:hAnsi="Times New Roman"/>
                <w:color w:val="auto"/>
                <w:szCs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C71618">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EA5777">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B0416A">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hAnsi="Times New Roman"/>
                <w:color w:val="auto"/>
                <w:szCs w:val="24"/>
              </w:rPr>
            </w:pPr>
            <w:r>
              <w:rPr>
                <w:rFonts w:ascii="Times New Roman"/>
                <w:color w:val="auto"/>
                <w:sz w:val="24"/>
                <w:szCs w:val="24"/>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CD51AE">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D496C7">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ascii="Times New Roman" w:hAnsi="Times New Roman"/>
                <w:color w:val="auto"/>
                <w:kern w:val="2"/>
                <w:szCs w:val="24"/>
              </w:rPr>
            </w:pPr>
            <w:r>
              <w:rPr>
                <w:rFonts w:hint="eastAsia" w:ascii="Times New Roman" w:hAnsi="Times New Roman"/>
                <w:color w:val="auto"/>
                <w:szCs w:val="24"/>
              </w:rPr>
              <w:t>0.1415</w:t>
            </w:r>
            <w:r>
              <w:rPr>
                <w:rFonts w:ascii="Times New Roman" w:hAnsi="Times New Roman"/>
                <w:color w:val="auto"/>
                <w:szCs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19A9DF">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hAnsi="Times New Roman"/>
                <w:color w:val="auto"/>
                <w:kern w:val="2"/>
                <w:szCs w:val="24"/>
              </w:rPr>
            </w:pPr>
            <w:r>
              <w:rPr>
                <w:rFonts w:ascii="Times New Roman"/>
                <w:color w:val="auto"/>
                <w:sz w:val="24"/>
                <w:szCs w:val="24"/>
              </w:rPr>
              <w:t>/</w:t>
            </w:r>
          </w:p>
        </w:tc>
      </w:tr>
      <w:tr w14:paraId="3354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81AF55">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F0F903">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sz w:val="24"/>
              </w:rPr>
              <w:t>H</w:t>
            </w:r>
            <w:r>
              <w:rPr>
                <w:color w:val="auto"/>
                <w:sz w:val="24"/>
                <w:vertAlign w:val="subscript"/>
              </w:rPr>
              <w:t>2</w:t>
            </w:r>
            <w:r>
              <w:rPr>
                <w:color w:val="auto"/>
                <w:sz w:val="24"/>
              </w:rPr>
              <w:t>S</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8A4D80">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ascii="Times New Roman"/>
                <w:snapToGrid w:val="0"/>
                <w:color w:val="auto"/>
                <w:kern w:val="21"/>
                <w:sz w:val="24"/>
                <w:szCs w:val="24"/>
              </w:rPr>
            </w:pPr>
            <w:r>
              <w:rPr>
                <w:rFonts w:hint="eastAsia" w:ascii="Times New Roman" w:hAnsi="Times New Roman"/>
                <w:color w:val="auto"/>
                <w:szCs w:val="24"/>
              </w:rPr>
              <w:t>0.0333</w:t>
            </w:r>
            <w:r>
              <w:rPr>
                <w:rFonts w:ascii="Times New Roman" w:hAnsi="Times New Roman"/>
                <w:color w:val="auto"/>
                <w:szCs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7DC8C6">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6AA972">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CF0B111">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hAnsi="Times New Roman"/>
                <w:color w:val="auto"/>
                <w:szCs w:val="24"/>
              </w:rPr>
            </w:pPr>
            <w:r>
              <w:rPr>
                <w:rFonts w:ascii="Times New Roman"/>
                <w:color w:val="auto"/>
                <w:sz w:val="24"/>
                <w:szCs w:val="24"/>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5701260">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E33B8E">
            <w:pPr>
              <w:pStyle w:val="25"/>
              <w:keepNext w:val="0"/>
              <w:keepLines w:val="0"/>
              <w:pageBreakBefore w:val="0"/>
              <w:widowControl w:val="0"/>
              <w:tabs>
                <w:tab w:val="left" w:pos="870"/>
              </w:tabs>
              <w:kinsoku/>
              <w:wordWrap/>
              <w:overflowPunct/>
              <w:topLinePunct w:val="0"/>
              <w:autoSpaceDE/>
              <w:autoSpaceDN/>
              <w:bidi w:val="0"/>
              <w:adjustRightInd w:val="0"/>
              <w:snapToGrid w:val="0"/>
              <w:spacing w:before="40" w:beforeAutospacing="0" w:after="40" w:afterAutospacing="0"/>
              <w:jc w:val="center"/>
              <w:textAlignment w:val="auto"/>
              <w:rPr>
                <w:rFonts w:ascii="Times New Roman" w:hAnsi="Times New Roman"/>
                <w:color w:val="auto"/>
                <w:kern w:val="2"/>
                <w:szCs w:val="24"/>
              </w:rPr>
            </w:pPr>
            <w:r>
              <w:rPr>
                <w:rFonts w:hint="eastAsia" w:ascii="Times New Roman" w:hAnsi="Times New Roman"/>
                <w:color w:val="auto"/>
                <w:szCs w:val="24"/>
              </w:rPr>
              <w:t>0.0333</w:t>
            </w:r>
            <w:r>
              <w:rPr>
                <w:rFonts w:ascii="Times New Roman" w:hAnsi="Times New Roman"/>
                <w:color w:val="auto"/>
                <w:szCs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036C300">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hAnsi="Times New Roman"/>
                <w:color w:val="auto"/>
                <w:kern w:val="2"/>
                <w:szCs w:val="24"/>
              </w:rPr>
            </w:pPr>
            <w:r>
              <w:rPr>
                <w:rFonts w:ascii="Times New Roman"/>
                <w:color w:val="auto"/>
                <w:sz w:val="24"/>
                <w:szCs w:val="24"/>
              </w:rPr>
              <w:t>/</w:t>
            </w:r>
          </w:p>
        </w:tc>
      </w:tr>
      <w:tr w14:paraId="0A53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8FD684">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D4A5098">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二氧化硫</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0EAE60">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snapToGrid w:val="0"/>
                <w:color w:val="auto"/>
                <w:kern w:val="21"/>
                <w:sz w:val="24"/>
                <w:szCs w:val="24"/>
              </w:rPr>
            </w:pPr>
            <w:r>
              <w:rPr>
                <w:color w:val="auto"/>
                <w:kern w:val="0"/>
                <w:sz w:val="24"/>
              </w:rPr>
              <w:t>0.183t/a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F37250">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433483D">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5804B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default" w:eastAsia="宋体"/>
                <w:color w:val="auto"/>
                <w:kern w:val="0"/>
                <w:sz w:val="24"/>
                <w:lang w:val="en-US" w:eastAsia="zh-CN"/>
              </w:rPr>
            </w:pPr>
            <w:r>
              <w:rPr>
                <w:rFonts w:hint="eastAsia"/>
                <w:color w:val="auto"/>
                <w:kern w:val="0"/>
                <w:sz w:val="24"/>
                <w:lang w:val="en-US" w:eastAsia="zh-CN"/>
              </w:rPr>
              <w:t>0.0634</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38597D5">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color w:val="auto"/>
                <w:sz w:val="24"/>
                <w:szCs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48BA65">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kern w:val="0"/>
                <w:sz w:val="24"/>
                <w:lang w:val="en-US" w:eastAsia="zh-CN"/>
              </w:rPr>
              <w:t>0.2464</w:t>
            </w:r>
            <w:r>
              <w:rPr>
                <w:color w:val="auto"/>
                <w:kern w:val="0"/>
                <w:sz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82A62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kern w:val="0"/>
                <w:sz w:val="24"/>
                <w:lang w:val="en-US" w:eastAsia="zh-CN"/>
              </w:rPr>
              <w:t>+0.0634</w:t>
            </w:r>
            <w:r>
              <w:rPr>
                <w:rFonts w:ascii="Times New Roman" w:hAnsi="Times New Roman"/>
                <w:color w:val="auto"/>
                <w:szCs w:val="24"/>
              </w:rPr>
              <w:t>t/a</w:t>
            </w:r>
          </w:p>
        </w:tc>
      </w:tr>
      <w:tr w14:paraId="5B69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D3DDA2">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3128DC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氮氧化物</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6A4647">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snapToGrid w:val="0"/>
                <w:color w:val="auto"/>
                <w:kern w:val="21"/>
                <w:sz w:val="24"/>
                <w:szCs w:val="24"/>
              </w:rPr>
            </w:pPr>
            <w:r>
              <w:rPr>
                <w:color w:val="auto"/>
                <w:kern w:val="0"/>
                <w:sz w:val="24"/>
              </w:rPr>
              <w:t>0.900</w:t>
            </w:r>
            <w:r>
              <w:rPr>
                <w:color w:val="auto"/>
                <w:sz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76B90E">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EFE0CA">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C9B49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default" w:eastAsia="宋体"/>
                <w:color w:val="auto"/>
                <w:sz w:val="24"/>
                <w:lang w:val="en-US" w:eastAsia="zh-CN"/>
              </w:rPr>
            </w:pPr>
            <w:r>
              <w:rPr>
                <w:rFonts w:hint="eastAsia"/>
                <w:color w:val="auto"/>
                <w:sz w:val="24"/>
                <w:lang w:val="en-US" w:eastAsia="zh-CN"/>
              </w:rPr>
              <w:t>0.1920</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2408F74">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0C4953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kern w:val="0"/>
                <w:sz w:val="24"/>
                <w:lang w:val="en-US" w:eastAsia="zh-CN"/>
              </w:rPr>
              <w:t>1.092</w:t>
            </w:r>
            <w:r>
              <w:rPr>
                <w:color w:val="auto"/>
                <w:sz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961223">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4"/>
                <w:lang w:val="en-US" w:eastAsia="zh-CN"/>
              </w:rPr>
              <w:t>+0.1920</w:t>
            </w:r>
            <w:r>
              <w:rPr>
                <w:rFonts w:ascii="Times New Roman" w:hAnsi="Times New Roman"/>
                <w:color w:val="auto"/>
                <w:szCs w:val="24"/>
              </w:rPr>
              <w:t>t/a</w:t>
            </w:r>
          </w:p>
        </w:tc>
      </w:tr>
      <w:tr w14:paraId="685C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9D0BE1">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废水</w:t>
            </w: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960197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COD</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1F0D6CC">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color w:val="auto"/>
                <w:sz w:val="24"/>
                <w:szCs w:val="24"/>
              </w:rPr>
            </w:pPr>
            <w:r>
              <w:rPr>
                <w:color w:val="auto"/>
                <w:kern w:val="0"/>
                <w:sz w:val="24"/>
              </w:rPr>
              <w:t>/</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74109B">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snapToGrid w:val="0"/>
                <w:color w:val="auto"/>
                <w:kern w:val="21"/>
                <w:sz w:val="24"/>
                <w:szCs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F0B6BA">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snapToGrid w:val="0"/>
                <w:color w:val="auto"/>
                <w:kern w:val="21"/>
                <w:sz w:val="24"/>
                <w:szCs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60E166">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default" w:eastAsia="宋体"/>
                <w:color w:val="auto"/>
                <w:kern w:val="0"/>
                <w:sz w:val="24"/>
                <w:lang w:val="en-US" w:eastAsia="zh-CN"/>
              </w:rPr>
            </w:pPr>
            <w:r>
              <w:rPr>
                <w:rFonts w:hint="eastAsia"/>
                <w:color w:val="auto"/>
                <w:kern w:val="0"/>
                <w:sz w:val="24"/>
                <w:lang w:val="en-US" w:eastAsia="zh-CN"/>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A7D427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8949C5C">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F15F546">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r>
      <w:tr w14:paraId="2F40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D0DA802">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80702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氨氮</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996AEA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BBDCC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E0910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60BAE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eastAsia="宋体"/>
                <w:color w:val="auto"/>
                <w:kern w:val="0"/>
                <w:sz w:val="24"/>
                <w:lang w:val="en-US" w:eastAsia="zh-CN"/>
              </w:rPr>
            </w:pPr>
            <w:r>
              <w:rPr>
                <w:rFonts w:hint="eastAsia"/>
                <w:color w:val="auto"/>
                <w:kern w:val="0"/>
                <w:sz w:val="24"/>
                <w:lang w:val="en-US" w:eastAsia="zh-CN"/>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30B5BA">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5F7A6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14AC0C">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r>
      <w:tr w14:paraId="08094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41"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0C2829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生活垃圾</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E5DA55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0.730</w:t>
            </w:r>
            <w:r>
              <w:rPr>
                <w:color w:val="auto"/>
                <w:sz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DBB301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E2353A">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4B9A9A">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default" w:eastAsia="宋体"/>
                <w:color w:val="auto"/>
                <w:kern w:val="0"/>
                <w:sz w:val="24"/>
                <w:lang w:val="en-US" w:eastAsia="zh-CN"/>
              </w:rPr>
            </w:pPr>
            <w:r>
              <w:rPr>
                <w:rFonts w:hint="eastAsia"/>
                <w:color w:val="auto"/>
                <w:kern w:val="0"/>
                <w:sz w:val="24"/>
                <w:lang w:val="en-US" w:eastAsia="zh-CN"/>
              </w:rPr>
              <w:t>6.00</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3CB83EE">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color w:val="auto"/>
                <w:sz w:val="24"/>
                <w:szCs w:val="24"/>
              </w:rPr>
            </w:pPr>
            <w:r>
              <w:rPr>
                <w:rFonts w:ascii="Times New Roman"/>
                <w:snapToGrid w:val="0"/>
                <w:color w:val="auto"/>
                <w:kern w:val="21"/>
                <w:sz w:val="24"/>
                <w:szCs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4FED23">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rFonts w:hint="eastAsia"/>
                <w:color w:val="auto"/>
                <w:kern w:val="0"/>
                <w:sz w:val="24"/>
                <w:lang w:val="en-US" w:eastAsia="zh-CN"/>
              </w:rPr>
              <w:t>6.730</w:t>
            </w:r>
            <w:r>
              <w:rPr>
                <w:color w:val="auto"/>
                <w:sz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FF64C0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rFonts w:hint="eastAsia"/>
                <w:color w:val="auto"/>
                <w:kern w:val="0"/>
                <w:sz w:val="24"/>
                <w:lang w:val="en-US" w:eastAsia="zh-CN"/>
              </w:rPr>
              <w:t>+6.00</w:t>
            </w:r>
            <w:r>
              <w:rPr>
                <w:rFonts w:ascii="Times New Roman" w:hAnsi="Times New Roman"/>
                <w:color w:val="auto"/>
                <w:szCs w:val="24"/>
              </w:rPr>
              <w:t>t/a</w:t>
            </w:r>
          </w:p>
        </w:tc>
      </w:tr>
      <w:tr w14:paraId="170B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restart"/>
            <w:tcBorders>
              <w:top w:val="single" w:color="000000" w:sz="4" w:space="0"/>
              <w:left w:val="single" w:color="000000" w:sz="4" w:space="0"/>
              <w:right w:val="single" w:color="000000" w:sz="4" w:space="0"/>
              <w:tl2br w:val="nil"/>
              <w:tr2bl w:val="nil"/>
            </w:tcBorders>
            <w:shd w:val="clear" w:color="auto" w:fill="FFFFFF"/>
            <w:vAlign w:val="center"/>
          </w:tcPr>
          <w:p w14:paraId="4582E828">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一般工业固体废物</w:t>
            </w: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7F19E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rFonts w:hint="eastAsia"/>
                <w:color w:val="auto"/>
                <w:sz w:val="24"/>
              </w:rPr>
              <w:t>废脱硫剂</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AA8B8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sz w:val="24"/>
              </w:rPr>
              <w:t>0.600t/a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3997B3">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A47442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2675917">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53C273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7F95E1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sz w:val="24"/>
              </w:rPr>
              <w:t>0.600t/a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FB0AC70">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r>
      <w:tr w14:paraId="583A7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17B7B214">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D830E8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sz w:val="24"/>
              </w:rPr>
              <w:t>收集的粉尘</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58F4A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snapToGrid w:val="0"/>
                <w:color w:val="auto"/>
                <w:kern w:val="21"/>
                <w:sz w:val="24"/>
                <w:szCs w:val="24"/>
              </w:rPr>
            </w:pPr>
            <w:r>
              <w:rPr>
                <w:rFonts w:hint="eastAsia"/>
                <w:color w:val="auto"/>
                <w:sz w:val="24"/>
              </w:rPr>
              <w:t>0.7749</w:t>
            </w:r>
            <w:r>
              <w:rPr>
                <w:color w:val="auto"/>
                <w:sz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AD0AEC1">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C1098BB">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7BB44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57DEDA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AB7E8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rFonts w:hint="eastAsia"/>
                <w:color w:val="auto"/>
                <w:sz w:val="24"/>
              </w:rPr>
              <w:t>0.7749</w:t>
            </w:r>
            <w:r>
              <w:rPr>
                <w:color w:val="auto"/>
                <w:sz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311CB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kern w:val="0"/>
                <w:sz w:val="24"/>
              </w:rPr>
              <w:t>/</w:t>
            </w:r>
          </w:p>
        </w:tc>
      </w:tr>
      <w:tr w14:paraId="2C73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157C41EC">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6B3B38">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sz w:val="24"/>
              </w:rPr>
              <w:t>废脱碳膜</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E8F96C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sz w:val="24"/>
              </w:rPr>
              <w:t>0.050t/a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6ECE4B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AE08DF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color w:val="auto"/>
                <w:kern w:val="0"/>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3A176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kern w:val="0"/>
                <w:sz w:val="24"/>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1178E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0DF7B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sz w:val="24"/>
              </w:rPr>
              <w:t>0.050t/a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7ED9B8">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kern w:val="0"/>
                <w:sz w:val="24"/>
              </w:rPr>
              <w:t>/</w:t>
            </w:r>
          </w:p>
        </w:tc>
      </w:tr>
      <w:tr w14:paraId="7FF8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27BAFD97">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3B14A6">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4"/>
              </w:rPr>
              <w:t>废包装网</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DEBE2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4"/>
              </w:rPr>
              <w:t>1.5</w:t>
            </w:r>
            <w:r>
              <w:rPr>
                <w:color w:val="auto"/>
                <w:sz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830F3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8AEF65">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F105C9E">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default" w:eastAsia="宋体"/>
                <w:color w:val="auto"/>
                <w:sz w:val="24"/>
                <w:lang w:val="en-US" w:eastAsia="zh-CN"/>
              </w:rPr>
            </w:pPr>
            <w:r>
              <w:rPr>
                <w:rFonts w:hint="eastAsia"/>
                <w:color w:val="auto"/>
                <w:sz w:val="24"/>
                <w:lang w:val="en-US" w:eastAsia="zh-CN"/>
              </w:rPr>
              <w:t>2.474</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6395308">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snapToGrid w:val="0"/>
                <w:color w:val="auto"/>
                <w:kern w:val="21"/>
                <w:sz w:val="24"/>
                <w:szCs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99503A7">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4"/>
                <w:lang w:val="en-US" w:eastAsia="zh-CN"/>
              </w:rPr>
              <w:t>3.974</w:t>
            </w:r>
            <w:r>
              <w:rPr>
                <w:color w:val="auto"/>
                <w:sz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54D1688">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4"/>
                <w:lang w:val="en-US" w:eastAsia="zh-CN"/>
              </w:rPr>
              <w:t>+2.474</w:t>
            </w:r>
            <w:r>
              <w:rPr>
                <w:rFonts w:ascii="Times New Roman" w:hAnsi="Times New Roman"/>
                <w:color w:val="auto"/>
                <w:szCs w:val="24"/>
              </w:rPr>
              <w:t>t/a</w:t>
            </w:r>
          </w:p>
        </w:tc>
      </w:tr>
      <w:tr w14:paraId="5642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10C0C124">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B1EAF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sz w:val="24"/>
              </w:rPr>
              <w:t>滤渣和废过滤膜</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B06E2D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color w:val="auto"/>
                <w:sz w:val="24"/>
              </w:rPr>
              <w:t>0.050t/a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76877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DA41238">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81995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default" w:eastAsia="宋体"/>
                <w:color w:val="auto"/>
                <w:kern w:val="0"/>
                <w:sz w:val="24"/>
                <w:lang w:val="en-US" w:eastAsia="zh-CN"/>
              </w:rPr>
            </w:pPr>
            <w:r>
              <w:rPr>
                <w:rFonts w:hint="eastAsia"/>
                <w:color w:val="auto"/>
                <w:kern w:val="0"/>
                <w:sz w:val="24"/>
                <w:lang w:val="en-US" w:eastAsia="zh-CN"/>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270D568">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snapToGrid w:val="0"/>
                <w:color w:val="auto"/>
                <w:kern w:val="21"/>
                <w:sz w:val="24"/>
                <w:szCs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7E3EB7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color w:val="auto"/>
                <w:sz w:val="24"/>
              </w:rPr>
              <w:t>0.050t/a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180457">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kern w:val="0"/>
                <w:sz w:val="24"/>
                <w:lang w:val="en-US" w:eastAsia="zh-CN"/>
              </w:rPr>
              <w:t>/</w:t>
            </w:r>
          </w:p>
        </w:tc>
      </w:tr>
      <w:tr w14:paraId="3EF7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6E75C496">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839067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1"/>
                <w:szCs w:val="21"/>
              </w:rPr>
              <w:t>豆渣</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E92860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eastAsia="宋体"/>
                <w:color w:val="auto"/>
                <w:sz w:val="24"/>
                <w:lang w:val="en-US" w:eastAsia="zh-CN"/>
              </w:rPr>
            </w:pPr>
            <w:r>
              <w:rPr>
                <w:rFonts w:hint="eastAsia"/>
                <w:color w:val="auto"/>
                <w:sz w:val="24"/>
                <w:lang w:val="en-US" w:eastAsia="zh-CN"/>
              </w:rPr>
              <w:t>0</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43553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71B9BB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8DEA49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color w:val="auto"/>
                <w:kern w:val="0"/>
                <w:sz w:val="24"/>
                <w:lang w:val="en-US" w:eastAsia="zh-CN"/>
              </w:rPr>
            </w:pPr>
            <w:r>
              <w:rPr>
                <w:rFonts w:hint="eastAsia"/>
                <w:color w:val="auto"/>
                <w:sz w:val="21"/>
                <w:szCs w:val="21"/>
                <w:lang w:val="en-US" w:eastAsia="zh-CN"/>
              </w:rPr>
              <w:t>6000</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47978D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snapToGrid w:val="0"/>
                <w:color w:val="auto"/>
                <w:kern w:val="21"/>
                <w:sz w:val="24"/>
                <w:szCs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76F04D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1"/>
                <w:szCs w:val="21"/>
                <w:lang w:val="en-US" w:eastAsia="zh-CN"/>
              </w:rPr>
              <w:t>6000</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2D160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1"/>
                <w:szCs w:val="21"/>
                <w:lang w:val="en-US" w:eastAsia="zh-CN"/>
              </w:rPr>
              <w:t>+6000</w:t>
            </w:r>
            <w:r>
              <w:rPr>
                <w:rFonts w:ascii="Times New Roman" w:hAnsi="Times New Roman"/>
                <w:color w:val="auto"/>
                <w:szCs w:val="24"/>
              </w:rPr>
              <w:t>t/a</w:t>
            </w:r>
          </w:p>
        </w:tc>
      </w:tr>
      <w:tr w14:paraId="5210F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6A72D98B">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0AAD1A7">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olor w:val="auto"/>
                <w:sz w:val="21"/>
                <w:szCs w:val="21"/>
              </w:rPr>
              <w:t>不合格产品</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49336C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olor w:val="auto"/>
                <w:sz w:val="24"/>
                <w:lang w:val="en-US" w:eastAsia="zh-CN"/>
              </w:rPr>
              <w:t>0</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CFCE396">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hAnsi="Times New Roman" w:eastAsia="宋体" w:cs="Times New Roman"/>
                <w:color w:val="auto"/>
                <w:kern w:val="0"/>
                <w:sz w:val="24"/>
                <w:szCs w:val="24"/>
                <w:lang w:val="en-US" w:eastAsia="zh-CN" w:bidi="ar-SA"/>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93B6406">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hAnsi="Times New Roman" w:eastAsia="宋体" w:cs="Times New Roman"/>
                <w:color w:val="auto"/>
                <w:kern w:val="0"/>
                <w:sz w:val="24"/>
                <w:szCs w:val="24"/>
                <w:lang w:val="en-US" w:eastAsia="zh-CN" w:bidi="ar-SA"/>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BE0C5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sz w:val="21"/>
                <w:szCs w:val="21"/>
                <w:lang w:val="en-US" w:eastAsia="zh-CN"/>
              </w:rPr>
              <w:t>15</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91A548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hAnsi="Times New Roman" w:eastAsia="宋体" w:cs="Times New Roman"/>
                <w:snapToGrid w:val="0"/>
                <w:color w:val="auto"/>
                <w:kern w:val="21"/>
                <w:sz w:val="24"/>
                <w:szCs w:val="24"/>
                <w:lang w:val="en-US" w:eastAsia="zh-CN" w:bidi="ar-SA"/>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2CF0C9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olor w:val="auto"/>
                <w:sz w:val="21"/>
                <w:szCs w:val="21"/>
                <w:lang w:val="en-US" w:eastAsia="zh-CN"/>
              </w:rPr>
              <w:t>15</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7D388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olor w:val="auto"/>
                <w:sz w:val="21"/>
                <w:szCs w:val="21"/>
                <w:lang w:val="en-US" w:eastAsia="zh-CN"/>
              </w:rPr>
              <w:t>+15</w:t>
            </w:r>
            <w:r>
              <w:rPr>
                <w:rFonts w:ascii="Times New Roman" w:hAnsi="Times New Roman"/>
                <w:color w:val="auto"/>
                <w:szCs w:val="24"/>
              </w:rPr>
              <w:t>t/a</w:t>
            </w:r>
          </w:p>
        </w:tc>
      </w:tr>
      <w:tr w14:paraId="3B2A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bottom w:val="single" w:color="000000" w:sz="4" w:space="0"/>
              <w:right w:val="single" w:color="000000" w:sz="4" w:space="0"/>
              <w:tl2br w:val="nil"/>
              <w:tr2bl w:val="nil"/>
            </w:tcBorders>
            <w:shd w:val="clear" w:color="auto" w:fill="FFFFFF"/>
            <w:vAlign w:val="center"/>
          </w:tcPr>
          <w:p w14:paraId="010D2D17">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8E0D9C">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1"/>
                <w:szCs w:val="21"/>
              </w:rPr>
              <w:t>废RO反渗透膜</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7C3F80">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olor w:val="auto"/>
                <w:sz w:val="24"/>
                <w:lang w:val="en-US" w:eastAsia="zh-CN"/>
              </w:rPr>
              <w:t>0</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79D9E6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hAnsi="Times New Roman" w:eastAsia="宋体" w:cs="Times New Roman"/>
                <w:color w:val="auto"/>
                <w:kern w:val="0"/>
                <w:sz w:val="24"/>
                <w:szCs w:val="24"/>
                <w:lang w:val="en-US" w:eastAsia="zh-CN" w:bidi="ar-SA"/>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4F5D5A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hAnsi="Times New Roman" w:eastAsia="宋体" w:cs="Times New Roman"/>
                <w:color w:val="auto"/>
                <w:kern w:val="0"/>
                <w:sz w:val="24"/>
                <w:szCs w:val="24"/>
                <w:lang w:val="en-US" w:eastAsia="zh-CN" w:bidi="ar-SA"/>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9FE0CA">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sz w:val="21"/>
                <w:szCs w:val="21"/>
                <w:lang w:val="en-US" w:eastAsia="zh-CN"/>
              </w:rPr>
              <w:t>0.02</w:t>
            </w:r>
            <w:r>
              <w:rPr>
                <w:rFonts w:ascii="Times New Roman" w:hAnsi="Times New Roman"/>
                <w:color w:val="auto"/>
                <w:szCs w:val="24"/>
              </w:rPr>
              <w:t>t/a</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1DC3F4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ascii="Times New Roman" w:hAnsi="Times New Roman" w:eastAsia="宋体" w:cs="Times New Roman"/>
                <w:snapToGrid w:val="0"/>
                <w:color w:val="auto"/>
                <w:kern w:val="21"/>
                <w:sz w:val="24"/>
                <w:szCs w:val="24"/>
                <w:lang w:val="en-US" w:eastAsia="zh-CN" w:bidi="ar-SA"/>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50258C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default" w:ascii="Times New Roman" w:hAnsi="Times New Roman" w:eastAsia="宋体" w:cs="Times New Roman"/>
                <w:color w:val="auto"/>
                <w:kern w:val="2"/>
                <w:sz w:val="24"/>
                <w:szCs w:val="24"/>
                <w:lang w:val="en-US" w:eastAsia="zh-CN" w:bidi="ar-SA"/>
              </w:rPr>
            </w:pPr>
            <w:r>
              <w:rPr>
                <w:rFonts w:hint="eastAsia"/>
                <w:color w:val="auto"/>
                <w:sz w:val="21"/>
                <w:szCs w:val="21"/>
                <w:lang w:val="en-US" w:eastAsia="zh-CN"/>
              </w:rPr>
              <w:t>0.02</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F31CD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rFonts w:hint="eastAsia" w:ascii="Times New Roman" w:hAnsi="Times New Roman" w:eastAsia="宋体" w:cs="Times New Roman"/>
                <w:color w:val="auto"/>
                <w:kern w:val="2"/>
                <w:sz w:val="24"/>
                <w:szCs w:val="24"/>
                <w:lang w:val="en-US" w:eastAsia="zh-CN" w:bidi="ar-SA"/>
              </w:rPr>
            </w:pPr>
            <w:r>
              <w:rPr>
                <w:rFonts w:hint="eastAsia"/>
                <w:color w:val="auto"/>
                <w:sz w:val="21"/>
                <w:szCs w:val="21"/>
                <w:lang w:val="en-US" w:eastAsia="zh-CN"/>
              </w:rPr>
              <w:t>+0.02</w:t>
            </w:r>
            <w:r>
              <w:rPr>
                <w:rFonts w:ascii="Times New Roman" w:hAnsi="Times New Roman"/>
                <w:color w:val="auto"/>
                <w:szCs w:val="24"/>
              </w:rPr>
              <w:t>t/a</w:t>
            </w:r>
          </w:p>
        </w:tc>
      </w:tr>
      <w:tr w14:paraId="6737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A0AAAC">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r>
              <w:rPr>
                <w:rFonts w:ascii="Times New Roman"/>
                <w:snapToGrid w:val="0"/>
                <w:color w:val="auto"/>
                <w:kern w:val="21"/>
                <w:sz w:val="24"/>
                <w:szCs w:val="24"/>
              </w:rPr>
              <w:t>危险废物</w:t>
            </w: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0E73735">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ascii="Times New Roman" w:hAnsi="Times New Roman" w:cs="Times New Roman"/>
                <w:color w:val="auto"/>
                <w:sz w:val="24"/>
                <w:szCs w:val="24"/>
                <w:lang w:eastAsia="zh-CN"/>
              </w:rPr>
            </w:pPr>
            <w:r>
              <w:rPr>
                <w:rFonts w:ascii="Times New Roman" w:hAnsi="Times New Roman" w:cs="Times New Roman"/>
                <w:color w:val="auto"/>
                <w:kern w:val="2"/>
                <w:sz w:val="24"/>
                <w:szCs w:val="24"/>
              </w:rPr>
              <w:t>废</w:t>
            </w:r>
            <w:r>
              <w:rPr>
                <w:rFonts w:ascii="Times New Roman" w:hAnsi="Times New Roman" w:cs="Times New Roman"/>
                <w:color w:val="auto"/>
                <w:kern w:val="2"/>
                <w:sz w:val="24"/>
                <w:szCs w:val="24"/>
                <w:lang w:eastAsia="zh-CN"/>
              </w:rPr>
              <w:t>催化剂</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1BE0013">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snapToGrid w:val="0"/>
                <w:color w:val="auto"/>
                <w:kern w:val="21"/>
                <w:sz w:val="24"/>
              </w:rPr>
            </w:pPr>
            <w:r>
              <w:rPr>
                <w:rFonts w:ascii="Times New Roman" w:hAnsi="Times New Roman" w:cs="Times New Roman"/>
                <w:color w:val="auto"/>
                <w:sz w:val="24"/>
                <w:szCs w:val="24"/>
                <w:lang w:eastAsia="zh-CN"/>
              </w:rPr>
              <w:t>2.0m</w:t>
            </w:r>
            <w:r>
              <w:rPr>
                <w:rFonts w:ascii="Times New Roman" w:hAnsi="Times New Roman" w:cs="Times New Roman"/>
                <w:color w:val="auto"/>
                <w:sz w:val="24"/>
                <w:szCs w:val="24"/>
                <w:vertAlign w:val="superscript"/>
                <w:lang w:eastAsia="zh-CN"/>
              </w:rPr>
              <w:t>3</w:t>
            </w:r>
            <w:r>
              <w:rPr>
                <w:rFonts w:ascii="Times New Roman" w:hAnsi="Times New Roman" w:cs="Times New Roman"/>
                <w:color w:val="auto"/>
                <w:sz w:val="24"/>
                <w:szCs w:val="24"/>
              </w:rPr>
              <w: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AB2B48F">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8B4E0E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21CEC88">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AB3D67E">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C9F44A5">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kern w:val="0"/>
                <w:sz w:val="24"/>
                <w:lang w:eastAsia="en-US"/>
              </w:rPr>
            </w:pPr>
            <w:r>
              <w:rPr>
                <w:color w:val="auto"/>
                <w:sz w:val="24"/>
              </w:rPr>
              <w:t>2.0m</w:t>
            </w:r>
            <w:r>
              <w:rPr>
                <w:color w:val="auto"/>
                <w:sz w:val="24"/>
                <w:vertAlign w:val="superscript"/>
              </w:rPr>
              <w:t>3</w:t>
            </w:r>
            <w:r>
              <w:rPr>
                <w:color w:val="auto"/>
                <w:sz w:val="24"/>
              </w:rPr>
              <w: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6E93D92">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color w:val="auto"/>
                <w:sz w:val="24"/>
              </w:rPr>
            </w:pPr>
            <w:r>
              <w:rPr>
                <w:rFonts w:hint="eastAsia" w:ascii="Times New Roman" w:hAnsi="Times New Roman" w:cs="Times New Roman"/>
                <w:color w:val="auto"/>
                <w:sz w:val="24"/>
                <w:szCs w:val="24"/>
                <w:lang w:val="en-US" w:eastAsia="zh-CN"/>
              </w:rPr>
              <w:t>/</w:t>
            </w:r>
          </w:p>
        </w:tc>
      </w:tr>
      <w:tr w14:paraId="1981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3B5354EB">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C08D35B">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ascii="Times New Roman" w:hAnsi="Times New Roman" w:cs="Times New Roman"/>
                <w:color w:val="auto"/>
                <w:kern w:val="2"/>
                <w:sz w:val="24"/>
                <w:szCs w:val="24"/>
              </w:rPr>
            </w:pPr>
            <w:r>
              <w:rPr>
                <w:rFonts w:hint="eastAsia" w:ascii="Times New Roman" w:hAnsi="Times New Roman" w:cs="Times New Roman"/>
                <w:color w:val="auto"/>
                <w:kern w:val="2"/>
                <w:sz w:val="24"/>
                <w:szCs w:val="24"/>
              </w:rPr>
              <w:t>废生物除臭剂包装桶</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54927851">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snapToGrid w:val="0"/>
                <w:color w:val="auto"/>
                <w:kern w:val="21"/>
                <w:sz w:val="24"/>
              </w:rPr>
            </w:pPr>
            <w:r>
              <w:rPr>
                <w:rFonts w:hint="eastAsia" w:ascii="Times New Roman" w:hAnsi="Times New Roman" w:cs="Times New Roman"/>
                <w:color w:val="auto"/>
                <w:sz w:val="24"/>
                <w:szCs w:val="24"/>
                <w:lang w:val="en-US" w:eastAsia="zh-CN"/>
              </w:rPr>
              <w:t>0.10</w:t>
            </w:r>
            <w:r>
              <w:rPr>
                <w:rFonts w:ascii="Times New Roman" w:hAnsi="Times New Roman" w:cs="Times New Roman"/>
                <w:color w:val="auto"/>
                <w:sz w:val="24"/>
                <w:szCs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3650671">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B1EB31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366C45E">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3C5B166">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7E946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ascii="Times New Roman" w:hAnsi="Times New Roman" w:cs="Times New Roman"/>
                <w:color w:val="auto"/>
                <w:sz w:val="24"/>
                <w:szCs w:val="24"/>
                <w:lang w:val="en-US" w:eastAsia="zh-CN"/>
              </w:rPr>
              <w:t>0.10</w:t>
            </w:r>
            <w:r>
              <w:rPr>
                <w:rFonts w:ascii="Times New Roman" w:hAnsi="Times New Roman" w:cs="Times New Roman"/>
                <w:color w:val="auto"/>
                <w:sz w:val="24"/>
                <w:szCs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16471B93">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color w:val="auto"/>
                <w:sz w:val="24"/>
              </w:rPr>
            </w:pPr>
            <w:r>
              <w:rPr>
                <w:rFonts w:hint="eastAsia" w:ascii="Times New Roman" w:hAnsi="Times New Roman" w:cs="Times New Roman"/>
                <w:color w:val="auto"/>
                <w:sz w:val="24"/>
                <w:szCs w:val="24"/>
                <w:lang w:val="en-US" w:eastAsia="zh-CN"/>
              </w:rPr>
              <w:t>/</w:t>
            </w:r>
          </w:p>
        </w:tc>
      </w:tr>
      <w:tr w14:paraId="7569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left w:val="single" w:color="000000" w:sz="4" w:space="0"/>
              <w:right w:val="single" w:color="000000" w:sz="4" w:space="0"/>
              <w:tl2br w:val="nil"/>
              <w:tr2bl w:val="nil"/>
            </w:tcBorders>
            <w:shd w:val="clear" w:color="auto" w:fill="FFFFFF"/>
            <w:vAlign w:val="center"/>
          </w:tcPr>
          <w:p w14:paraId="58AB1FBF">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BE19252">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ascii="Times New Roman" w:hAnsi="Times New Roman" w:cs="Times New Roman"/>
                <w:color w:val="auto"/>
                <w:kern w:val="2"/>
                <w:sz w:val="24"/>
                <w:szCs w:val="24"/>
              </w:rPr>
            </w:pPr>
            <w:r>
              <w:rPr>
                <w:rFonts w:hint="eastAsia" w:ascii="Times New Roman" w:hAnsi="Times New Roman" w:cs="Times New Roman"/>
                <w:color w:val="auto"/>
                <w:kern w:val="2"/>
                <w:sz w:val="24"/>
                <w:szCs w:val="24"/>
                <w:lang w:eastAsia="zh-CN"/>
              </w:rPr>
              <w:t>废含油抹布、手套</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93AD1FC">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color w:val="auto"/>
                <w:sz w:val="24"/>
              </w:rPr>
            </w:pPr>
            <w:r>
              <w:rPr>
                <w:rFonts w:hint="eastAsia" w:ascii="Times New Roman" w:hAnsi="Times New Roman" w:cs="Times New Roman"/>
                <w:color w:val="auto"/>
                <w:sz w:val="24"/>
                <w:szCs w:val="24"/>
                <w:lang w:eastAsia="zh-CN"/>
              </w:rPr>
              <w:t>0.01</w:t>
            </w:r>
            <w:r>
              <w:rPr>
                <w:rFonts w:ascii="Times New Roman" w:hAnsi="Times New Roman" w:cs="Times New Roman"/>
                <w:color w:val="auto"/>
                <w:sz w:val="24"/>
                <w:szCs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71C27ED">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2CEE2FF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CEBA5D4">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4B67DBC4">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8EAB3A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color w:val="auto"/>
                <w:sz w:val="24"/>
              </w:rPr>
            </w:pPr>
            <w:r>
              <w:rPr>
                <w:rFonts w:hint="eastAsia"/>
                <w:color w:val="auto"/>
                <w:sz w:val="24"/>
              </w:rPr>
              <w:t>0.01</w:t>
            </w:r>
            <w:r>
              <w:rPr>
                <w:color w:val="auto"/>
                <w:sz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3147F3">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color w:val="auto"/>
                <w:sz w:val="24"/>
              </w:rPr>
            </w:pPr>
            <w:r>
              <w:rPr>
                <w:rFonts w:hint="eastAsia" w:ascii="Times New Roman" w:hAnsi="Times New Roman" w:cs="Times New Roman"/>
                <w:color w:val="auto"/>
                <w:sz w:val="24"/>
                <w:szCs w:val="24"/>
                <w:lang w:val="en-US" w:eastAsia="zh-CN"/>
              </w:rPr>
              <w:t>/</w:t>
            </w:r>
          </w:p>
        </w:tc>
      </w:tr>
      <w:tr w14:paraId="5424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43"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61C81B9">
            <w:pPr>
              <w:pStyle w:val="42"/>
              <w:keepNext w:val="0"/>
              <w:keepLines w:val="0"/>
              <w:pageBreakBefore w:val="0"/>
              <w:widowControl w:val="0"/>
              <w:kinsoku/>
              <w:wordWrap/>
              <w:overflowPunct/>
              <w:topLinePunct w:val="0"/>
              <w:autoSpaceDE/>
              <w:autoSpaceDN/>
              <w:bidi w:val="0"/>
              <w:adjustRightInd w:val="0"/>
              <w:snapToGrid w:val="0"/>
              <w:spacing w:before="40" w:beforeLines="0" w:after="40" w:afterLines="0" w:line="240" w:lineRule="auto"/>
              <w:ind w:firstLine="0" w:firstLineChars="0"/>
              <w:textAlignment w:val="auto"/>
              <w:rPr>
                <w:rFonts w:ascii="Times New Roman"/>
                <w:snapToGrid w:val="0"/>
                <w:color w:val="auto"/>
                <w:kern w:val="21"/>
                <w:sz w:val="24"/>
                <w:szCs w:val="24"/>
              </w:rPr>
            </w:pPr>
          </w:p>
        </w:tc>
        <w:tc>
          <w:tcPr>
            <w:tcW w:w="2398"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485246B">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ascii="Times New Roman" w:hAnsi="Times New Roman" w:cs="Times New Roman"/>
                <w:color w:val="auto"/>
                <w:kern w:val="2"/>
                <w:sz w:val="24"/>
                <w:szCs w:val="24"/>
                <w:lang w:eastAsia="zh-CN"/>
              </w:rPr>
            </w:pPr>
            <w:r>
              <w:rPr>
                <w:rFonts w:ascii="Times New Roman" w:hAnsi="Times New Roman" w:cs="Times New Roman"/>
                <w:color w:val="auto"/>
                <w:kern w:val="2"/>
                <w:sz w:val="24"/>
                <w:szCs w:val="24"/>
                <w:lang w:eastAsia="zh-CN"/>
              </w:rPr>
              <w:t>废机油及废机油桶</w:t>
            </w:r>
          </w:p>
        </w:tc>
        <w:tc>
          <w:tcPr>
            <w:tcW w:w="1627"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A4C0D8E">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snapToGrid w:val="0"/>
                <w:color w:val="auto"/>
                <w:kern w:val="21"/>
                <w:sz w:val="24"/>
              </w:rPr>
            </w:pPr>
            <w:r>
              <w:rPr>
                <w:rFonts w:ascii="Times New Roman" w:hAnsi="Times New Roman" w:cs="Times New Roman"/>
                <w:color w:val="auto"/>
                <w:sz w:val="24"/>
                <w:szCs w:val="24"/>
                <w:lang w:eastAsia="zh-CN"/>
              </w:rPr>
              <w:t>0.012</w:t>
            </w:r>
            <w:r>
              <w:rPr>
                <w:rFonts w:ascii="Times New Roman" w:hAnsi="Times New Roman" w:cs="Times New Roman"/>
                <w:color w:val="auto"/>
                <w:sz w:val="24"/>
                <w:szCs w:val="24"/>
              </w:rPr>
              <w:t>t/a</w:t>
            </w:r>
          </w:p>
        </w:tc>
        <w:tc>
          <w:tcPr>
            <w:tcW w:w="1313"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707BC52">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1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3DD947E9">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60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7D9B5B86">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w:t>
            </w:r>
          </w:p>
        </w:tc>
        <w:tc>
          <w:tcPr>
            <w:tcW w:w="1451"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084F9EB">
            <w:pPr>
              <w:keepNext w:val="0"/>
              <w:keepLines w:val="0"/>
              <w:pageBreakBefore w:val="0"/>
              <w:widowControl w:val="0"/>
              <w:kinsoku/>
              <w:wordWrap/>
              <w:overflowPunct/>
              <w:topLinePunct w:val="0"/>
              <w:autoSpaceDE/>
              <w:autoSpaceDN/>
              <w:bidi w:val="0"/>
              <w:adjustRightInd w:val="0"/>
              <w:snapToGrid w:val="0"/>
              <w:spacing w:before="40" w:after="40"/>
              <w:jc w:val="center"/>
              <w:textAlignment w:val="auto"/>
              <w:rPr>
                <w:snapToGrid w:val="0"/>
                <w:color w:val="auto"/>
                <w:kern w:val="21"/>
                <w:sz w:val="24"/>
              </w:rPr>
            </w:pPr>
            <w:r>
              <w:rPr>
                <w:snapToGrid w:val="0"/>
                <w:color w:val="auto"/>
                <w:kern w:val="21"/>
                <w:sz w:val="24"/>
              </w:rPr>
              <w:t>/</w:t>
            </w:r>
          </w:p>
        </w:tc>
        <w:tc>
          <w:tcPr>
            <w:tcW w:w="1964"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6223BDAC">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ascii="Times New Roman" w:hAnsi="Times New Roman" w:cs="Times New Roman"/>
                <w:color w:val="auto"/>
                <w:sz w:val="24"/>
                <w:szCs w:val="24"/>
                <w:lang w:eastAsia="zh-CN"/>
              </w:rPr>
            </w:pPr>
            <w:r>
              <w:rPr>
                <w:rFonts w:ascii="Times New Roman" w:hAnsi="Times New Roman" w:cs="Times New Roman"/>
                <w:color w:val="auto"/>
                <w:sz w:val="24"/>
                <w:szCs w:val="24"/>
                <w:lang w:eastAsia="zh-CN"/>
              </w:rPr>
              <w:t>0.012</w:t>
            </w:r>
            <w:r>
              <w:rPr>
                <w:rFonts w:ascii="Times New Roman" w:hAnsi="Times New Roman" w:cs="Times New Roman"/>
                <w:color w:val="auto"/>
                <w:sz w:val="24"/>
                <w:szCs w:val="24"/>
              </w:rPr>
              <w:t>t/a</w:t>
            </w:r>
          </w:p>
        </w:tc>
        <w:tc>
          <w:tcPr>
            <w:tcW w:w="1402" w:type="dxa"/>
            <w:tcBorders>
              <w:top w:val="single" w:color="000000" w:sz="4" w:space="0"/>
              <w:left w:val="single" w:color="000000" w:sz="4" w:space="0"/>
              <w:bottom w:val="single" w:color="000000" w:sz="4" w:space="0"/>
              <w:right w:val="single" w:color="000000" w:sz="4" w:space="0"/>
              <w:tl2br w:val="nil"/>
              <w:tr2bl w:val="nil"/>
            </w:tcBorders>
            <w:shd w:val="clear" w:color="auto" w:fill="FFFFFF"/>
            <w:vAlign w:val="center"/>
          </w:tcPr>
          <w:p w14:paraId="058A6B83">
            <w:pPr>
              <w:pStyle w:val="38"/>
              <w:keepNext w:val="0"/>
              <w:keepLines w:val="0"/>
              <w:pageBreakBefore w:val="0"/>
              <w:widowControl w:val="0"/>
              <w:kinsoku/>
              <w:wordWrap/>
              <w:overflowPunct/>
              <w:topLinePunct w:val="0"/>
              <w:autoSpaceDE/>
              <w:autoSpaceDN/>
              <w:bidi w:val="0"/>
              <w:adjustRightInd w:val="0"/>
              <w:snapToGrid w:val="0"/>
              <w:spacing w:before="40" w:after="40"/>
              <w:textAlignment w:val="auto"/>
              <w:rPr>
                <w:rFonts w:ascii="Times New Roman" w:hAnsi="Times New Roman" w:cs="Times New Roman"/>
                <w:color w:val="auto"/>
                <w:sz w:val="24"/>
                <w:szCs w:val="24"/>
                <w:lang w:eastAsia="zh-CN"/>
              </w:rPr>
            </w:pPr>
            <w:r>
              <w:rPr>
                <w:rFonts w:hint="eastAsia" w:ascii="Times New Roman" w:hAnsi="Times New Roman" w:cs="Times New Roman"/>
                <w:color w:val="auto"/>
                <w:sz w:val="24"/>
                <w:szCs w:val="24"/>
                <w:lang w:val="en-US" w:eastAsia="zh-CN"/>
              </w:rPr>
              <w:t>/</w:t>
            </w:r>
          </w:p>
        </w:tc>
      </w:tr>
    </w:tbl>
    <w:p w14:paraId="304F0FFD">
      <w:pPr>
        <w:pStyle w:val="42"/>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firstLine="420"/>
        <w:jc w:val="left"/>
        <w:textAlignment w:val="auto"/>
        <w:rPr>
          <w:color w:val="auto"/>
        </w:rPr>
      </w:pPr>
      <w:r>
        <w:rPr>
          <w:rFonts w:ascii="Times New Roman"/>
          <w:snapToGrid w:val="0"/>
          <w:color w:val="auto"/>
          <w:kern w:val="21"/>
          <w:szCs w:val="21"/>
        </w:rPr>
        <w:t>注：</w:t>
      </w:r>
      <w:r>
        <w:rPr>
          <w:rFonts w:ascii="Times New Roman"/>
          <w:snapToGrid w:val="0"/>
          <w:color w:val="auto"/>
          <w:kern w:val="21"/>
          <w:szCs w:val="21"/>
        </w:rPr>
        <w:fldChar w:fldCharType="begin"/>
      </w:r>
      <w:r>
        <w:rPr>
          <w:rFonts w:ascii="Times New Roman"/>
          <w:snapToGrid w:val="0"/>
          <w:color w:val="auto"/>
          <w:kern w:val="21"/>
          <w:szCs w:val="21"/>
        </w:rPr>
        <w:instrText xml:space="preserve"> = 6 \* GB3 \* MERGEFORMAT </w:instrText>
      </w:r>
      <w:r>
        <w:rPr>
          <w:rFonts w:ascii="Times New Roman"/>
          <w:snapToGrid w:val="0"/>
          <w:color w:val="auto"/>
          <w:kern w:val="21"/>
          <w:szCs w:val="21"/>
        </w:rPr>
        <w:fldChar w:fldCharType="separate"/>
      </w:r>
      <w:r>
        <w:rPr>
          <w:rFonts w:hint="eastAsia" w:hAnsi="宋体" w:cs="宋体"/>
          <w:color w:val="auto"/>
          <w:kern w:val="21"/>
          <w:szCs w:val="21"/>
        </w:rPr>
        <w:t>⑥</w:t>
      </w:r>
      <w:r>
        <w:rPr>
          <w:rFonts w:ascii="Times New Roman"/>
          <w:snapToGrid w:val="0"/>
          <w:color w:val="auto"/>
          <w:kern w:val="21"/>
          <w:szCs w:val="21"/>
        </w:rPr>
        <w:fldChar w:fldCharType="end"/>
      </w:r>
      <w:r>
        <w:rPr>
          <w:rFonts w:ascii="Times New Roman"/>
          <w:snapToGrid w:val="0"/>
          <w:color w:val="auto"/>
          <w:kern w:val="21"/>
          <w:szCs w:val="21"/>
        </w:rPr>
        <w:t>=</w:t>
      </w:r>
      <w:r>
        <w:rPr>
          <w:rFonts w:ascii="Times New Roman"/>
          <w:snapToGrid w:val="0"/>
          <w:color w:val="auto"/>
          <w:kern w:val="21"/>
          <w:szCs w:val="21"/>
        </w:rPr>
        <w:fldChar w:fldCharType="begin"/>
      </w:r>
      <w:r>
        <w:rPr>
          <w:rFonts w:ascii="Times New Roman"/>
          <w:snapToGrid w:val="0"/>
          <w:color w:val="auto"/>
          <w:kern w:val="21"/>
          <w:szCs w:val="21"/>
        </w:rPr>
        <w:instrText xml:space="preserve"> = 1 \* GB3 \* MERGEFORMAT </w:instrText>
      </w:r>
      <w:r>
        <w:rPr>
          <w:rFonts w:ascii="Times New Roman"/>
          <w:snapToGrid w:val="0"/>
          <w:color w:val="auto"/>
          <w:kern w:val="21"/>
          <w:szCs w:val="21"/>
        </w:rPr>
        <w:fldChar w:fldCharType="separate"/>
      </w:r>
      <w:r>
        <w:rPr>
          <w:rFonts w:hint="eastAsia" w:hAnsi="宋体" w:cs="宋体"/>
          <w:color w:val="auto"/>
          <w:kern w:val="21"/>
          <w:szCs w:val="21"/>
        </w:rPr>
        <w:t>①</w:t>
      </w:r>
      <w:r>
        <w:rPr>
          <w:rFonts w:ascii="Times New Roman"/>
          <w:snapToGrid w:val="0"/>
          <w:color w:val="auto"/>
          <w:kern w:val="21"/>
          <w:szCs w:val="21"/>
        </w:rPr>
        <w:fldChar w:fldCharType="end"/>
      </w:r>
      <w:r>
        <w:rPr>
          <w:rFonts w:ascii="Times New Roman"/>
          <w:snapToGrid w:val="0"/>
          <w:color w:val="auto"/>
          <w:kern w:val="21"/>
          <w:szCs w:val="21"/>
        </w:rPr>
        <w:t>+</w:t>
      </w:r>
      <w:r>
        <w:rPr>
          <w:rFonts w:ascii="Times New Roman"/>
          <w:snapToGrid w:val="0"/>
          <w:color w:val="auto"/>
          <w:kern w:val="21"/>
          <w:szCs w:val="21"/>
        </w:rPr>
        <w:fldChar w:fldCharType="begin"/>
      </w:r>
      <w:r>
        <w:rPr>
          <w:rFonts w:ascii="Times New Roman"/>
          <w:snapToGrid w:val="0"/>
          <w:color w:val="auto"/>
          <w:kern w:val="21"/>
          <w:szCs w:val="21"/>
        </w:rPr>
        <w:instrText xml:space="preserve"> = 3 \* GB3 \* MERGEFORMAT </w:instrText>
      </w:r>
      <w:r>
        <w:rPr>
          <w:rFonts w:ascii="Times New Roman"/>
          <w:snapToGrid w:val="0"/>
          <w:color w:val="auto"/>
          <w:kern w:val="21"/>
          <w:szCs w:val="21"/>
        </w:rPr>
        <w:fldChar w:fldCharType="separate"/>
      </w:r>
      <w:r>
        <w:rPr>
          <w:rFonts w:hint="eastAsia" w:hAnsi="宋体" w:cs="宋体"/>
          <w:color w:val="auto"/>
          <w:kern w:val="21"/>
          <w:szCs w:val="21"/>
        </w:rPr>
        <w:t>③</w:t>
      </w:r>
      <w:r>
        <w:rPr>
          <w:rFonts w:ascii="Times New Roman"/>
          <w:snapToGrid w:val="0"/>
          <w:color w:val="auto"/>
          <w:kern w:val="21"/>
          <w:szCs w:val="21"/>
        </w:rPr>
        <w:fldChar w:fldCharType="end"/>
      </w:r>
      <w:r>
        <w:rPr>
          <w:rFonts w:ascii="Times New Roman"/>
          <w:snapToGrid w:val="0"/>
          <w:color w:val="auto"/>
          <w:kern w:val="21"/>
          <w:szCs w:val="21"/>
        </w:rPr>
        <w:t>+</w:t>
      </w:r>
      <w:r>
        <w:rPr>
          <w:rFonts w:ascii="Times New Roman"/>
          <w:snapToGrid w:val="0"/>
          <w:color w:val="auto"/>
          <w:kern w:val="21"/>
          <w:szCs w:val="21"/>
        </w:rPr>
        <w:fldChar w:fldCharType="begin"/>
      </w:r>
      <w:r>
        <w:rPr>
          <w:rFonts w:ascii="Times New Roman"/>
          <w:snapToGrid w:val="0"/>
          <w:color w:val="auto"/>
          <w:kern w:val="21"/>
          <w:szCs w:val="21"/>
        </w:rPr>
        <w:instrText xml:space="preserve"> = 4 \* GB3 \* MERGEFORMAT </w:instrText>
      </w:r>
      <w:r>
        <w:rPr>
          <w:rFonts w:ascii="Times New Roman"/>
          <w:snapToGrid w:val="0"/>
          <w:color w:val="auto"/>
          <w:kern w:val="21"/>
          <w:szCs w:val="21"/>
        </w:rPr>
        <w:fldChar w:fldCharType="separate"/>
      </w:r>
      <w:r>
        <w:rPr>
          <w:rFonts w:hint="eastAsia" w:hAnsi="宋体" w:cs="宋体"/>
          <w:color w:val="auto"/>
          <w:kern w:val="21"/>
          <w:szCs w:val="21"/>
        </w:rPr>
        <w:t>④</w:t>
      </w:r>
      <w:r>
        <w:rPr>
          <w:rFonts w:ascii="Times New Roman"/>
          <w:snapToGrid w:val="0"/>
          <w:color w:val="auto"/>
          <w:kern w:val="21"/>
          <w:szCs w:val="21"/>
        </w:rPr>
        <w:fldChar w:fldCharType="end"/>
      </w:r>
      <w:r>
        <w:rPr>
          <w:rFonts w:ascii="Times New Roman"/>
          <w:snapToGrid w:val="0"/>
          <w:color w:val="auto"/>
          <w:kern w:val="21"/>
          <w:szCs w:val="21"/>
        </w:rPr>
        <w:t>-</w:t>
      </w:r>
      <w:r>
        <w:rPr>
          <w:rFonts w:ascii="Times New Roman"/>
          <w:snapToGrid w:val="0"/>
          <w:color w:val="auto"/>
          <w:kern w:val="21"/>
          <w:szCs w:val="21"/>
        </w:rPr>
        <w:fldChar w:fldCharType="begin"/>
      </w:r>
      <w:r>
        <w:rPr>
          <w:rFonts w:ascii="Times New Roman"/>
          <w:snapToGrid w:val="0"/>
          <w:color w:val="auto"/>
          <w:kern w:val="21"/>
          <w:szCs w:val="21"/>
        </w:rPr>
        <w:instrText xml:space="preserve"> = 5 \* GB3 \* MERGEFORMAT </w:instrText>
      </w:r>
      <w:r>
        <w:rPr>
          <w:rFonts w:ascii="Times New Roman"/>
          <w:snapToGrid w:val="0"/>
          <w:color w:val="auto"/>
          <w:kern w:val="21"/>
          <w:szCs w:val="21"/>
        </w:rPr>
        <w:fldChar w:fldCharType="separate"/>
      </w:r>
      <w:r>
        <w:rPr>
          <w:rFonts w:hint="eastAsia" w:hAnsi="宋体" w:cs="宋体"/>
          <w:color w:val="auto"/>
          <w:kern w:val="21"/>
          <w:szCs w:val="21"/>
        </w:rPr>
        <w:t>⑤</w:t>
      </w:r>
      <w:r>
        <w:rPr>
          <w:rFonts w:ascii="Times New Roman"/>
          <w:snapToGrid w:val="0"/>
          <w:color w:val="auto"/>
          <w:kern w:val="21"/>
          <w:szCs w:val="21"/>
        </w:rPr>
        <w:fldChar w:fldCharType="end"/>
      </w:r>
      <w:r>
        <w:rPr>
          <w:rFonts w:ascii="Times New Roman"/>
          <w:snapToGrid w:val="0"/>
          <w:color w:val="auto"/>
          <w:kern w:val="21"/>
          <w:szCs w:val="21"/>
        </w:rPr>
        <w:t>；</w:t>
      </w:r>
      <w:r>
        <w:rPr>
          <w:rFonts w:ascii="Times New Roman"/>
          <w:snapToGrid w:val="0"/>
          <w:color w:val="auto"/>
          <w:kern w:val="21"/>
          <w:szCs w:val="21"/>
        </w:rPr>
        <w:fldChar w:fldCharType="begin"/>
      </w:r>
      <w:r>
        <w:rPr>
          <w:rFonts w:ascii="Times New Roman"/>
          <w:snapToGrid w:val="0"/>
          <w:color w:val="auto"/>
          <w:kern w:val="21"/>
          <w:szCs w:val="21"/>
        </w:rPr>
        <w:instrText xml:space="preserve"> = 7 \* GB3 \* MERGEFORMAT </w:instrText>
      </w:r>
      <w:r>
        <w:rPr>
          <w:rFonts w:ascii="Times New Roman"/>
          <w:snapToGrid w:val="0"/>
          <w:color w:val="auto"/>
          <w:kern w:val="21"/>
          <w:szCs w:val="21"/>
        </w:rPr>
        <w:fldChar w:fldCharType="separate"/>
      </w:r>
      <w:r>
        <w:rPr>
          <w:rFonts w:hint="eastAsia" w:hAnsi="宋体" w:cs="宋体"/>
          <w:color w:val="auto"/>
          <w:kern w:val="21"/>
          <w:szCs w:val="21"/>
        </w:rPr>
        <w:t>⑦</w:t>
      </w:r>
      <w:r>
        <w:rPr>
          <w:rFonts w:ascii="Times New Roman"/>
          <w:snapToGrid w:val="0"/>
          <w:color w:val="auto"/>
          <w:kern w:val="21"/>
          <w:szCs w:val="21"/>
        </w:rPr>
        <w:fldChar w:fldCharType="end"/>
      </w:r>
      <w:r>
        <w:rPr>
          <w:rFonts w:ascii="Times New Roman"/>
          <w:snapToGrid w:val="0"/>
          <w:color w:val="auto"/>
          <w:kern w:val="21"/>
          <w:szCs w:val="21"/>
        </w:rPr>
        <w:t>=</w:t>
      </w:r>
      <w:r>
        <w:rPr>
          <w:rFonts w:ascii="Times New Roman"/>
          <w:snapToGrid w:val="0"/>
          <w:color w:val="auto"/>
          <w:kern w:val="21"/>
          <w:szCs w:val="21"/>
        </w:rPr>
        <w:fldChar w:fldCharType="begin"/>
      </w:r>
      <w:r>
        <w:rPr>
          <w:rFonts w:ascii="Times New Roman"/>
          <w:snapToGrid w:val="0"/>
          <w:color w:val="auto"/>
          <w:kern w:val="21"/>
          <w:szCs w:val="21"/>
        </w:rPr>
        <w:instrText xml:space="preserve"> = 6 \* GB3 \* MERGEFORMAT </w:instrText>
      </w:r>
      <w:r>
        <w:rPr>
          <w:rFonts w:ascii="Times New Roman"/>
          <w:snapToGrid w:val="0"/>
          <w:color w:val="auto"/>
          <w:kern w:val="21"/>
          <w:szCs w:val="21"/>
        </w:rPr>
        <w:fldChar w:fldCharType="separate"/>
      </w:r>
      <w:r>
        <w:rPr>
          <w:rFonts w:hint="eastAsia" w:hAnsi="宋体" w:cs="宋体"/>
          <w:color w:val="auto"/>
          <w:kern w:val="21"/>
          <w:szCs w:val="21"/>
        </w:rPr>
        <w:t>⑥</w:t>
      </w:r>
      <w:r>
        <w:rPr>
          <w:rFonts w:ascii="Times New Roman"/>
          <w:snapToGrid w:val="0"/>
          <w:color w:val="auto"/>
          <w:kern w:val="21"/>
          <w:szCs w:val="21"/>
        </w:rPr>
        <w:fldChar w:fldCharType="end"/>
      </w:r>
      <w:r>
        <w:rPr>
          <w:rFonts w:ascii="Times New Roman"/>
          <w:snapToGrid w:val="0"/>
          <w:color w:val="auto"/>
          <w:kern w:val="21"/>
          <w:szCs w:val="21"/>
        </w:rPr>
        <w:t>-</w:t>
      </w:r>
      <w:r>
        <w:rPr>
          <w:rFonts w:ascii="Times New Roman"/>
          <w:snapToGrid w:val="0"/>
          <w:color w:val="auto"/>
          <w:kern w:val="21"/>
          <w:szCs w:val="21"/>
        </w:rPr>
        <w:fldChar w:fldCharType="begin"/>
      </w:r>
      <w:r>
        <w:rPr>
          <w:rFonts w:ascii="Times New Roman"/>
          <w:snapToGrid w:val="0"/>
          <w:color w:val="auto"/>
          <w:kern w:val="21"/>
          <w:szCs w:val="21"/>
        </w:rPr>
        <w:instrText xml:space="preserve"> = 1 \* GB3 \* MERGEFORMAT </w:instrText>
      </w:r>
      <w:r>
        <w:rPr>
          <w:rFonts w:ascii="Times New Roman"/>
          <w:snapToGrid w:val="0"/>
          <w:color w:val="auto"/>
          <w:kern w:val="21"/>
          <w:szCs w:val="21"/>
        </w:rPr>
        <w:fldChar w:fldCharType="separate"/>
      </w:r>
      <w:r>
        <w:rPr>
          <w:rFonts w:hint="eastAsia" w:hAnsi="宋体" w:cs="宋体"/>
          <w:color w:val="auto"/>
          <w:kern w:val="21"/>
          <w:szCs w:val="21"/>
        </w:rPr>
        <w:t>①</w:t>
      </w:r>
      <w:r>
        <w:rPr>
          <w:rFonts w:ascii="Times New Roman"/>
          <w:snapToGrid w:val="0"/>
          <w:color w:val="auto"/>
          <w:kern w:val="21"/>
          <w:szCs w:val="21"/>
        </w:rPr>
        <w:fldChar w:fldCharType="end"/>
      </w:r>
    </w:p>
    <w:sectPr>
      <w:footerReference r:id="rId7" w:type="default"/>
      <w:pgSz w:w="16838" w:h="11905" w:orient="landscape"/>
      <w:pgMar w:top="1020" w:right="1417" w:bottom="1020" w:left="1417"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TimesNewRomanPS-BoldMT">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E13CA">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7B71">
    <w:pPr>
      <w:pStyle w:val="19"/>
      <w:framePr w:wrap="around" w:vAnchor="text" w:hAnchor="margin" w:xAlign="center" w:y="1"/>
      <w:rPr>
        <w:rStyle w:val="32"/>
      </w:rPr>
    </w:pPr>
    <w:r>
      <w:fldChar w:fldCharType="begin"/>
    </w:r>
    <w:r>
      <w:rPr>
        <w:rStyle w:val="32"/>
      </w:rPr>
      <w:instrText xml:space="preserve">PAGE  </w:instrText>
    </w:r>
    <w:r>
      <w:fldChar w:fldCharType="end"/>
    </w:r>
  </w:p>
  <w:p w14:paraId="340FDB3D">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75CE">
    <w:pPr>
      <w:pStyle w:val="1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51D2CE">
                          <w:pPr>
                            <w:pStyle w:val="1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5A51D2CE">
                    <w:pPr>
                      <w:pStyle w:val="1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33AF7">
    <w:pPr>
      <w:pStyle w:val="19"/>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038C9D">
                          <w:pPr>
                            <w:pStyle w:val="1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50038C9D">
                    <w:pPr>
                      <w:pStyle w:val="1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42D12">
    <w:pPr>
      <w:pStyle w:val="1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E7AE93">
                          <w:pPr>
                            <w:pStyle w:val="1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61E7AE93">
                    <w:pPr>
                      <w:pStyle w:val="1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A20E7"/>
    <w:multiLevelType w:val="singleLevel"/>
    <w:tmpl w:val="A0BA20E7"/>
    <w:lvl w:ilvl="0" w:tentative="0">
      <w:start w:val="3"/>
      <w:numFmt w:val="decimal"/>
      <w:suff w:val="nothing"/>
      <w:lvlText w:val="%1）"/>
      <w:lvlJc w:val="left"/>
    </w:lvl>
  </w:abstractNum>
  <w:abstractNum w:abstractNumId="1">
    <w:nsid w:val="0730F1CA"/>
    <w:multiLevelType w:val="singleLevel"/>
    <w:tmpl w:val="0730F1CA"/>
    <w:lvl w:ilvl="0" w:tentative="0">
      <w:start w:val="3"/>
      <w:numFmt w:val="decimal"/>
      <w:suff w:val="nothing"/>
      <w:lvlText w:val="%1、"/>
      <w:lvlJc w:val="left"/>
    </w:lvl>
  </w:abstractNum>
  <w:abstractNum w:abstractNumId="2">
    <w:nsid w:val="0A058A81"/>
    <w:multiLevelType w:val="singleLevel"/>
    <w:tmpl w:val="0A058A81"/>
    <w:lvl w:ilvl="0" w:tentative="0">
      <w:start w:val="2"/>
      <w:numFmt w:val="chineseCounting"/>
      <w:suff w:val="nothing"/>
      <w:lvlText w:val="（%1）"/>
      <w:lvlJc w:val="left"/>
      <w:rPr>
        <w:rFonts w:hint="eastAsia"/>
      </w:rPr>
    </w:lvl>
  </w:abstractNum>
  <w:abstractNum w:abstractNumId="3">
    <w:nsid w:val="0CA92295"/>
    <w:multiLevelType w:val="singleLevel"/>
    <w:tmpl w:val="0CA92295"/>
    <w:lvl w:ilvl="0" w:tentative="0">
      <w:start w:val="1"/>
      <w:numFmt w:val="decimal"/>
      <w:suff w:val="nothing"/>
      <w:lvlText w:val="%1、"/>
      <w:lvlJc w:val="left"/>
    </w:lvl>
  </w:abstractNum>
  <w:abstractNum w:abstractNumId="4">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35"/>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5C55098F"/>
    <w:multiLevelType w:val="multilevel"/>
    <w:tmpl w:val="5C55098F"/>
    <w:lvl w:ilvl="0" w:tentative="0">
      <w:start w:val="1"/>
      <w:numFmt w:val="decimal"/>
      <w:pStyle w:val="50"/>
      <w:suff w:val="nothing"/>
      <w:lvlText w:val="（%1）"/>
      <w:lvlJc w:val="left"/>
      <w:pPr>
        <w:tabs>
          <w:tab w:val="left" w:pos="0"/>
        </w:tabs>
        <w:ind w:left="60" w:firstLine="420"/>
      </w:pPr>
      <w:rPr>
        <w:rFonts w:hint="default" w:ascii="Times New Roman" w:hAnsi="Times New Roman"/>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6A8DD37E"/>
    <w:multiLevelType w:val="singleLevel"/>
    <w:tmpl w:val="6A8DD37E"/>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7">
    <w:nsid w:val="77FBE3F2"/>
    <w:multiLevelType w:val="multilevel"/>
    <w:tmpl w:val="77FBE3F2"/>
    <w:lvl w:ilvl="0" w:tentative="0">
      <w:start w:val="1"/>
      <w:numFmt w:val="decimal"/>
      <w:suff w:val="nothing"/>
      <w:lvlText w:val="第%1章 "/>
      <w:lvlJc w:val="center"/>
      <w:pPr>
        <w:tabs>
          <w:tab w:val="left" w:pos="0"/>
        </w:tabs>
        <w:ind w:left="0" w:firstLine="0"/>
      </w:pPr>
      <w:rPr>
        <w:rFonts w:hint="default" w:ascii="Times New Roman" w:hAnsi="Times New Roman" w:eastAsia="宋体" w:cs="Times New Roman"/>
        <w:b/>
        <w:bCs/>
        <w:sz w:val="44"/>
        <w:szCs w:val="44"/>
      </w:rPr>
    </w:lvl>
    <w:lvl w:ilvl="1" w:tentative="0">
      <w:start w:val="1"/>
      <w:numFmt w:val="decimal"/>
      <w:suff w:val="nothing"/>
      <w:lvlText w:val="%1.%2"/>
      <w:lvlJc w:val="left"/>
      <w:pPr>
        <w:tabs>
          <w:tab w:val="left" w:pos="420"/>
        </w:tabs>
        <w:ind w:left="0" w:firstLine="0"/>
      </w:pPr>
      <w:rPr>
        <w:rFonts w:hint="default" w:ascii="Times New Roman" w:hAnsi="Times New Roman" w:eastAsia="宋体" w:cs="Times New Roman"/>
        <w:b/>
        <w:bCs/>
        <w:sz w:val="28"/>
        <w:szCs w:val="28"/>
      </w:rPr>
    </w:lvl>
    <w:lvl w:ilvl="2" w:tentative="0">
      <w:start w:val="1"/>
      <w:numFmt w:val="decimal"/>
      <w:isLgl/>
      <w:suff w:val="nothing"/>
      <w:lvlText w:val="%1.%2.%3"/>
      <w:lvlJc w:val="left"/>
      <w:pPr>
        <w:tabs>
          <w:tab w:val="left" w:pos="420"/>
        </w:tabs>
        <w:ind w:left="0" w:firstLine="0"/>
      </w:pPr>
      <w:rPr>
        <w:rFonts w:hint="default" w:ascii="Times New Roman" w:hAnsi="Times New Roman" w:eastAsia="宋体" w:cs="Times New Roman"/>
        <w:b/>
        <w:bCs/>
        <w:sz w:val="24"/>
        <w:szCs w:val="24"/>
      </w:rPr>
    </w:lvl>
    <w:lvl w:ilvl="3" w:tentative="0">
      <w:start w:val="1"/>
      <w:numFmt w:val="decimal"/>
      <w:isLgl/>
      <w:suff w:val="nothing"/>
      <w:lvlText w:val="%1.%2.%3.%4"/>
      <w:lvlJc w:val="left"/>
      <w:pPr>
        <w:tabs>
          <w:tab w:val="left" w:pos="0"/>
        </w:tabs>
        <w:ind w:left="0" w:firstLine="0"/>
      </w:pPr>
      <w:rPr>
        <w:rFonts w:hint="default" w:ascii="Times New Roman" w:hAnsi="Times New Roman" w:eastAsia="宋体" w:cs="Times New Roman"/>
        <w:b/>
        <w:bCs/>
        <w:sz w:val="24"/>
        <w:szCs w:val="24"/>
      </w:rPr>
    </w:lvl>
    <w:lvl w:ilvl="4" w:tentative="0">
      <w:start w:val="1"/>
      <w:numFmt w:val="decimal"/>
      <w:suff w:val="nothing"/>
      <w:lvlText w:val="%5、"/>
      <w:lvlJc w:val="left"/>
      <w:pPr>
        <w:tabs>
          <w:tab w:val="left" w:pos="0"/>
        </w:tabs>
        <w:ind w:left="358" w:hanging="420"/>
      </w:pPr>
      <w:rPr>
        <w:rFonts w:hint="default" w:ascii="Times New Roman" w:hAnsi="Times New Roman" w:eastAsia="宋体" w:cs="宋体"/>
        <w:b/>
        <w:bCs/>
        <w:sz w:val="24"/>
        <w:szCs w:val="24"/>
      </w:rPr>
    </w:lvl>
    <w:lvl w:ilvl="5" w:tentative="0">
      <w:start w:val="1"/>
      <w:numFmt w:val="decimal"/>
      <w:suff w:val="nothing"/>
      <w:lvlText w:val="（%6）"/>
      <w:lvlJc w:val="left"/>
      <w:pPr>
        <w:tabs>
          <w:tab w:val="left" w:pos="0"/>
        </w:tabs>
        <w:ind w:left="360" w:hanging="420"/>
      </w:pPr>
      <w:rPr>
        <w:rFonts w:hint="default" w:ascii="宋体" w:hAnsi="宋体" w:eastAsia="宋体" w:cs="宋体"/>
        <w:sz w:val="24"/>
        <w:szCs w:val="24"/>
      </w:rPr>
    </w:lvl>
    <w:lvl w:ilvl="6" w:tentative="0">
      <w:start w:val="1"/>
      <w:numFmt w:val="decimalEnclosedCircleChinese"/>
      <w:suff w:val="nothing"/>
      <w:lvlText w:val="%7 "/>
      <w:lvlJc w:val="center"/>
      <w:pPr>
        <w:tabs>
          <w:tab w:val="left" w:pos="0"/>
        </w:tabs>
        <w:ind w:left="0" w:firstLine="0"/>
      </w:pPr>
      <w:rPr>
        <w:rFonts w:hint="eastAsia" w:ascii="Times New Roman" w:hAnsi="Times New Roman" w:eastAsia="宋体" w:cs="Times New Roman"/>
        <w:sz w:val="21"/>
        <w:szCs w:val="24"/>
      </w:rPr>
    </w:lvl>
    <w:lvl w:ilvl="7" w:tentative="0">
      <w:start w:val="1"/>
      <w:numFmt w:val="decimal"/>
      <w:lvlRestart w:val="3"/>
      <w:pStyle w:val="6"/>
      <w:suff w:val="space"/>
      <w:lvlText w:val="表%1.%2.%3-%8"/>
      <w:lvlJc w:val="left"/>
      <w:pPr>
        <w:tabs>
          <w:tab w:val="left" w:pos="420"/>
        </w:tabs>
        <w:ind w:left="4398" w:firstLine="402"/>
      </w:pPr>
      <w:rPr>
        <w:rFonts w:hint="default" w:ascii="Times New Roman" w:hAnsi="Times New Roman" w:eastAsia="宋体" w:cs="Times New Roman"/>
        <w:b/>
        <w:bCs/>
        <w:sz w:val="24"/>
        <w:szCs w:val="24"/>
      </w:rPr>
    </w:lvl>
    <w:lvl w:ilvl="8" w:tentative="0">
      <w:start w:val="1"/>
      <w:numFmt w:val="decimal"/>
      <w:lvlRestart w:val="3"/>
      <w:suff w:val="nothing"/>
      <w:lvlText w:val="图%1.%2.%3-%9 "/>
      <w:lvlJc w:val="center"/>
      <w:pPr>
        <w:tabs>
          <w:tab w:val="left" w:pos="0"/>
        </w:tabs>
        <w:ind w:left="0" w:firstLine="0"/>
      </w:pPr>
      <w:rPr>
        <w:rFonts w:hint="default" w:ascii="Times New Roman" w:hAnsi="Times New Roman" w:eastAsia="宋体" w:cs="Times New Roman"/>
        <w:b/>
        <w:bCs/>
        <w:sz w:val="24"/>
        <w:szCs w:val="24"/>
      </w:rPr>
    </w:lvl>
  </w:abstractNum>
  <w:num w:numId="1">
    <w:abstractNumId w:val="7"/>
  </w:num>
  <w:num w:numId="2">
    <w:abstractNumId w:val="6"/>
  </w:num>
  <w:num w:numId="3">
    <w:abstractNumId w:val="4"/>
  </w:num>
  <w:num w:numId="4">
    <w:abstractNumId w:val="5"/>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0MjY4OGJlNGNhMzY2Y2Q0ZTllOTc2MDExZThhY2YifQ=="/>
  </w:docVars>
  <w:rsids>
    <w:rsidRoot w:val="16726B54"/>
    <w:rsid w:val="0002117A"/>
    <w:rsid w:val="002410F1"/>
    <w:rsid w:val="00424A91"/>
    <w:rsid w:val="00896008"/>
    <w:rsid w:val="00BD5E9D"/>
    <w:rsid w:val="00DC3C5A"/>
    <w:rsid w:val="00E162C6"/>
    <w:rsid w:val="00FB218D"/>
    <w:rsid w:val="018D5A4A"/>
    <w:rsid w:val="032338E1"/>
    <w:rsid w:val="039A73A8"/>
    <w:rsid w:val="0458580D"/>
    <w:rsid w:val="047052ED"/>
    <w:rsid w:val="0503101A"/>
    <w:rsid w:val="06A50AB1"/>
    <w:rsid w:val="06A967F3"/>
    <w:rsid w:val="06D05B2E"/>
    <w:rsid w:val="06E03087"/>
    <w:rsid w:val="06F35CC1"/>
    <w:rsid w:val="077C7A64"/>
    <w:rsid w:val="08183C31"/>
    <w:rsid w:val="08386081"/>
    <w:rsid w:val="093E1F1D"/>
    <w:rsid w:val="09E57B43"/>
    <w:rsid w:val="0AE5574B"/>
    <w:rsid w:val="0C3E1C3D"/>
    <w:rsid w:val="0CF462EF"/>
    <w:rsid w:val="0CFB7703"/>
    <w:rsid w:val="0D9553DC"/>
    <w:rsid w:val="0E2F75DE"/>
    <w:rsid w:val="0ED40186"/>
    <w:rsid w:val="0EEC54CF"/>
    <w:rsid w:val="10855BDB"/>
    <w:rsid w:val="11357601"/>
    <w:rsid w:val="11A070F6"/>
    <w:rsid w:val="12211934"/>
    <w:rsid w:val="12B5562C"/>
    <w:rsid w:val="12FE1C75"/>
    <w:rsid w:val="14172FEE"/>
    <w:rsid w:val="151F1F1F"/>
    <w:rsid w:val="15791A87"/>
    <w:rsid w:val="16726B54"/>
    <w:rsid w:val="16E2362D"/>
    <w:rsid w:val="186E6F48"/>
    <w:rsid w:val="1987413E"/>
    <w:rsid w:val="198A6011"/>
    <w:rsid w:val="1A424B3D"/>
    <w:rsid w:val="1B2C5BE5"/>
    <w:rsid w:val="1C9F6277"/>
    <w:rsid w:val="1D95178A"/>
    <w:rsid w:val="1DF100DE"/>
    <w:rsid w:val="1EA400CC"/>
    <w:rsid w:val="20196340"/>
    <w:rsid w:val="208F215E"/>
    <w:rsid w:val="21FF3314"/>
    <w:rsid w:val="222A213F"/>
    <w:rsid w:val="23052BAC"/>
    <w:rsid w:val="235F22BC"/>
    <w:rsid w:val="247973AD"/>
    <w:rsid w:val="26993D37"/>
    <w:rsid w:val="27B34984"/>
    <w:rsid w:val="27F54F9D"/>
    <w:rsid w:val="28C55903"/>
    <w:rsid w:val="296B5440"/>
    <w:rsid w:val="297B7E71"/>
    <w:rsid w:val="29996E7D"/>
    <w:rsid w:val="2AB8017C"/>
    <w:rsid w:val="2AD25A69"/>
    <w:rsid w:val="2DDB4C35"/>
    <w:rsid w:val="2E0F747B"/>
    <w:rsid w:val="2F3A3BDD"/>
    <w:rsid w:val="2FC811E9"/>
    <w:rsid w:val="30A32A0A"/>
    <w:rsid w:val="3191426C"/>
    <w:rsid w:val="31C94406"/>
    <w:rsid w:val="32362659"/>
    <w:rsid w:val="3364747B"/>
    <w:rsid w:val="33AF6948"/>
    <w:rsid w:val="33F054C4"/>
    <w:rsid w:val="34925AE1"/>
    <w:rsid w:val="35613C72"/>
    <w:rsid w:val="37A10C9D"/>
    <w:rsid w:val="386E3D51"/>
    <w:rsid w:val="395A1104"/>
    <w:rsid w:val="3B016A40"/>
    <w:rsid w:val="3D69400B"/>
    <w:rsid w:val="3E063608"/>
    <w:rsid w:val="3F58408D"/>
    <w:rsid w:val="3FD118D8"/>
    <w:rsid w:val="40DE086C"/>
    <w:rsid w:val="42AD2B71"/>
    <w:rsid w:val="437D4A06"/>
    <w:rsid w:val="43962AEF"/>
    <w:rsid w:val="43E543D6"/>
    <w:rsid w:val="4440539A"/>
    <w:rsid w:val="449A71A0"/>
    <w:rsid w:val="469F0A9E"/>
    <w:rsid w:val="4B3A2B43"/>
    <w:rsid w:val="4B810772"/>
    <w:rsid w:val="4C4023DB"/>
    <w:rsid w:val="4C70303E"/>
    <w:rsid w:val="4CAD5597"/>
    <w:rsid w:val="4CE0771A"/>
    <w:rsid w:val="4D502AF2"/>
    <w:rsid w:val="4E265601"/>
    <w:rsid w:val="4E9407BC"/>
    <w:rsid w:val="4EB96475"/>
    <w:rsid w:val="4F3C2E33"/>
    <w:rsid w:val="4FA56BD2"/>
    <w:rsid w:val="50850D04"/>
    <w:rsid w:val="50C35389"/>
    <w:rsid w:val="525F10E1"/>
    <w:rsid w:val="53760DD8"/>
    <w:rsid w:val="544544BF"/>
    <w:rsid w:val="558C043F"/>
    <w:rsid w:val="55BF04B2"/>
    <w:rsid w:val="55CA3BB6"/>
    <w:rsid w:val="55E95892"/>
    <w:rsid w:val="575C7EB0"/>
    <w:rsid w:val="5791383A"/>
    <w:rsid w:val="57AA0090"/>
    <w:rsid w:val="57E52089"/>
    <w:rsid w:val="58D36385"/>
    <w:rsid w:val="59A57D21"/>
    <w:rsid w:val="59E051FD"/>
    <w:rsid w:val="5ABD553F"/>
    <w:rsid w:val="5CB52971"/>
    <w:rsid w:val="5D213B63"/>
    <w:rsid w:val="5ECA1A70"/>
    <w:rsid w:val="5F1A6ABC"/>
    <w:rsid w:val="60BF15A5"/>
    <w:rsid w:val="61423668"/>
    <w:rsid w:val="61D373F6"/>
    <w:rsid w:val="624D71A8"/>
    <w:rsid w:val="62645DC0"/>
    <w:rsid w:val="62ED4CCD"/>
    <w:rsid w:val="63DF02D4"/>
    <w:rsid w:val="63F7386F"/>
    <w:rsid w:val="64FE0953"/>
    <w:rsid w:val="6525440C"/>
    <w:rsid w:val="66680A54"/>
    <w:rsid w:val="670822BE"/>
    <w:rsid w:val="674E0FD2"/>
    <w:rsid w:val="677F59BD"/>
    <w:rsid w:val="67F42BFE"/>
    <w:rsid w:val="680A3AD7"/>
    <w:rsid w:val="683A443F"/>
    <w:rsid w:val="689B63E2"/>
    <w:rsid w:val="68EF0FB9"/>
    <w:rsid w:val="6A5D01A4"/>
    <w:rsid w:val="6B00125C"/>
    <w:rsid w:val="6B4C1A5F"/>
    <w:rsid w:val="6BE23891"/>
    <w:rsid w:val="6DAA3701"/>
    <w:rsid w:val="6DE17A3F"/>
    <w:rsid w:val="6E2711F5"/>
    <w:rsid w:val="6FEE6B24"/>
    <w:rsid w:val="70BA036A"/>
    <w:rsid w:val="726F4A53"/>
    <w:rsid w:val="72A20E4A"/>
    <w:rsid w:val="731F693F"/>
    <w:rsid w:val="73BF77DA"/>
    <w:rsid w:val="75B0387E"/>
    <w:rsid w:val="75EE6F7E"/>
    <w:rsid w:val="764A3CD3"/>
    <w:rsid w:val="76FB321F"/>
    <w:rsid w:val="78AF606F"/>
    <w:rsid w:val="78B673FD"/>
    <w:rsid w:val="793A1DDD"/>
    <w:rsid w:val="7A8C2B0C"/>
    <w:rsid w:val="7C9F63FA"/>
    <w:rsid w:val="7E967319"/>
    <w:rsid w:val="7EB63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9"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autoRedefine/>
    <w:qFormat/>
    <w:uiPriority w:val="0"/>
    <w:pPr>
      <w:keepNext/>
      <w:keepLines/>
      <w:spacing w:before="260" w:after="260" w:line="360" w:lineRule="auto"/>
      <w:outlineLvl w:val="1"/>
    </w:pPr>
    <w:rPr>
      <w:rFonts w:ascii="Arial" w:hAnsi="Arial"/>
      <w:b/>
      <w:bCs/>
      <w:sz w:val="28"/>
      <w:szCs w:val="32"/>
    </w:rPr>
  </w:style>
  <w:style w:type="paragraph" w:styleId="4">
    <w:name w:val="heading 3"/>
    <w:basedOn w:val="1"/>
    <w:next w:val="1"/>
    <w:unhideWhenUsed/>
    <w:qFormat/>
    <w:uiPriority w:val="9"/>
    <w:pPr>
      <w:keepNext/>
      <w:keepLines/>
      <w:spacing w:line="360" w:lineRule="auto"/>
      <w:outlineLvl w:val="2"/>
    </w:pPr>
    <w:rPr>
      <w:b/>
      <w:bCs/>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8"/>
    <w:basedOn w:val="1"/>
    <w:next w:val="1"/>
    <w:autoRedefine/>
    <w:unhideWhenUsed/>
    <w:qFormat/>
    <w:uiPriority w:val="9"/>
    <w:pPr>
      <w:keepNext/>
      <w:keepLines/>
      <w:numPr>
        <w:ilvl w:val="7"/>
        <w:numId w:val="1"/>
      </w:numPr>
      <w:tabs>
        <w:tab w:val="left" w:pos="0"/>
        <w:tab w:val="clear" w:pos="420"/>
      </w:tabs>
      <w:spacing w:line="360" w:lineRule="auto"/>
      <w:ind w:left="0" w:firstLine="0"/>
      <w:jc w:val="center"/>
      <w:outlineLvl w:val="7"/>
    </w:pPr>
    <w:rPr>
      <w:b/>
      <w:bCs/>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next w:val="5"/>
    <w:autoRedefine/>
    <w:qFormat/>
    <w:uiPriority w:val="0"/>
    <w:pPr>
      <w:adjustRightInd w:val="0"/>
      <w:snapToGrid w:val="0"/>
      <w:spacing w:line="460" w:lineRule="atLeast"/>
      <w:ind w:firstLine="200" w:firstLineChars="200"/>
    </w:pPr>
    <w:rPr>
      <w:sz w:val="28"/>
      <w:szCs w:val="20"/>
    </w:rPr>
  </w:style>
  <w:style w:type="paragraph" w:styleId="8">
    <w:name w:val="annotation text"/>
    <w:basedOn w:val="1"/>
    <w:link w:val="51"/>
    <w:autoRedefine/>
    <w:semiHidden/>
    <w:qFormat/>
    <w:uiPriority w:val="0"/>
    <w:pPr>
      <w:jc w:val="left"/>
    </w:pPr>
    <w:rPr>
      <w:szCs w:val="20"/>
    </w:rPr>
  </w:style>
  <w:style w:type="paragraph" w:styleId="9">
    <w:name w:val="Salutation"/>
    <w:basedOn w:val="1"/>
    <w:next w:val="1"/>
    <w:autoRedefine/>
    <w:qFormat/>
    <w:uiPriority w:val="0"/>
    <w:rPr>
      <w:rFonts w:ascii="宋体" w:hAnsi="华文宋体"/>
      <w:sz w:val="28"/>
    </w:rPr>
  </w:style>
  <w:style w:type="paragraph" w:styleId="10">
    <w:name w:val="Body Text"/>
    <w:basedOn w:val="1"/>
    <w:next w:val="11"/>
    <w:autoRedefine/>
    <w:qFormat/>
    <w:uiPriority w:val="0"/>
    <w:pPr>
      <w:widowControl/>
      <w:snapToGrid w:val="0"/>
      <w:spacing w:before="60" w:after="160" w:line="259" w:lineRule="auto"/>
      <w:ind w:right="113"/>
    </w:pPr>
    <w:rPr>
      <w:kern w:val="0"/>
      <w:sz w:val="18"/>
      <w:szCs w:val="20"/>
    </w:rPr>
  </w:style>
  <w:style w:type="paragraph" w:customStyle="1" w:styleId="11">
    <w:name w:val="xl27"/>
    <w:basedOn w:val="1"/>
    <w:next w:val="1"/>
    <w:qFormat/>
    <w:uiPriority w:val="0"/>
    <w:pPr>
      <w:widowControl/>
      <w:pBdr>
        <w:bottom w:val="single" w:color="auto" w:sz="4" w:space="0"/>
        <w:right w:val="single" w:color="auto" w:sz="4" w:space="0"/>
      </w:pBdr>
      <w:spacing w:before="100" w:beforeAutospacing="1" w:after="100" w:afterAutospacing="1"/>
      <w:jc w:val="center"/>
    </w:pPr>
  </w:style>
  <w:style w:type="paragraph" w:styleId="12">
    <w:name w:val="Body Text Indent"/>
    <w:basedOn w:val="1"/>
    <w:next w:val="1"/>
    <w:autoRedefine/>
    <w:qFormat/>
    <w:uiPriority w:val="0"/>
    <w:pPr>
      <w:spacing w:after="120"/>
      <w:ind w:left="420" w:leftChars="200"/>
    </w:pPr>
    <w:rPr>
      <w:kern w:val="0"/>
      <w:sz w:val="24"/>
      <w:szCs w:val="20"/>
    </w:rPr>
  </w:style>
  <w:style w:type="paragraph" w:styleId="13">
    <w:name w:val="Plain Text"/>
    <w:basedOn w:val="1"/>
    <w:next w:val="14"/>
    <w:autoRedefine/>
    <w:qFormat/>
    <w:uiPriority w:val="0"/>
    <w:rPr>
      <w:rFonts w:ascii="宋体" w:hAnsi="Courier New" w:cs="Courier New"/>
      <w:szCs w:val="21"/>
    </w:rPr>
  </w:style>
  <w:style w:type="paragraph" w:styleId="14">
    <w:name w:val="toc 1"/>
    <w:basedOn w:val="1"/>
    <w:next w:val="1"/>
    <w:qFormat/>
    <w:uiPriority w:val="39"/>
    <w:pPr>
      <w:tabs>
        <w:tab w:val="right" w:leader="dot" w:pos="8435"/>
        <w:tab w:val="right" w:leader="dot" w:pos="8466"/>
        <w:tab w:val="right" w:leader="dot" w:pos="8949"/>
      </w:tabs>
      <w:jc w:val="left"/>
    </w:pPr>
    <w:rPr>
      <w:bCs/>
      <w:caps/>
      <w:kern w:val="44"/>
      <w:sz w:val="28"/>
      <w:szCs w:val="28"/>
    </w:rPr>
  </w:style>
  <w:style w:type="paragraph" w:styleId="15">
    <w:name w:val="List Bullet 5"/>
    <w:basedOn w:val="1"/>
    <w:autoRedefine/>
    <w:qFormat/>
    <w:uiPriority w:val="0"/>
    <w:pPr>
      <w:numPr>
        <w:ilvl w:val="0"/>
        <w:numId w:val="2"/>
      </w:numPr>
    </w:pPr>
  </w:style>
  <w:style w:type="paragraph" w:styleId="16">
    <w:name w:val="Body Text Indent 2"/>
    <w:basedOn w:val="1"/>
    <w:next w:val="17"/>
    <w:autoRedefine/>
    <w:unhideWhenUsed/>
    <w:qFormat/>
    <w:uiPriority w:val="0"/>
    <w:pPr>
      <w:spacing w:after="120" w:line="480" w:lineRule="auto"/>
      <w:ind w:left="420" w:leftChars="200"/>
    </w:pPr>
  </w:style>
  <w:style w:type="paragraph" w:styleId="17">
    <w:name w:val="Body Text First Indent 2"/>
    <w:basedOn w:val="1"/>
    <w:next w:val="1"/>
    <w:autoRedefine/>
    <w:unhideWhenUsed/>
    <w:qFormat/>
    <w:uiPriority w:val="0"/>
    <w:pPr>
      <w:widowControl/>
      <w:spacing w:after="120"/>
      <w:ind w:left="420" w:leftChars="200" w:firstLine="420"/>
      <w:jc w:val="left"/>
    </w:pPr>
    <w:rPr>
      <w:rFonts w:ascii="Arial" w:hAnsi="Arial"/>
      <w:color w:val="000000"/>
      <w:szCs w:val="32"/>
    </w:rPr>
  </w:style>
  <w:style w:type="paragraph" w:styleId="18">
    <w:name w:val="Balloon Text"/>
    <w:basedOn w:val="1"/>
    <w:link w:val="53"/>
    <w:autoRedefine/>
    <w:qFormat/>
    <w:uiPriority w:val="0"/>
    <w:rPr>
      <w:sz w:val="18"/>
      <w:szCs w:val="18"/>
    </w:rPr>
  </w:style>
  <w:style w:type="paragraph" w:styleId="19">
    <w:name w:val="footer"/>
    <w:basedOn w:val="1"/>
    <w:autoRedefine/>
    <w:qFormat/>
    <w:uiPriority w:val="99"/>
    <w:pPr>
      <w:tabs>
        <w:tab w:val="center" w:pos="4153"/>
        <w:tab w:val="right" w:pos="8306"/>
      </w:tabs>
      <w:snapToGrid w:val="0"/>
      <w:jc w:val="left"/>
    </w:pPr>
    <w:rPr>
      <w:kern w:val="0"/>
      <w:sz w:val="18"/>
      <w:szCs w:val="20"/>
    </w:rPr>
  </w:style>
  <w:style w:type="paragraph" w:styleId="2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List"/>
    <w:basedOn w:val="1"/>
    <w:autoRedefine/>
    <w:qFormat/>
    <w:uiPriority w:val="0"/>
    <w:pPr>
      <w:spacing w:line="360" w:lineRule="exact"/>
      <w:jc w:val="center"/>
    </w:pPr>
    <w:rPr>
      <w:rFonts w:ascii="仿宋_GB2312" w:hAnsi="Times New Roman" w:eastAsia="仿宋_GB2312" w:cs="Times New Roman"/>
      <w:sz w:val="24"/>
      <w:szCs w:val="20"/>
    </w:rPr>
  </w:style>
  <w:style w:type="paragraph" w:styleId="22">
    <w:name w:val="Body Text Indent 3"/>
    <w:basedOn w:val="1"/>
    <w:autoRedefine/>
    <w:qFormat/>
    <w:uiPriority w:val="0"/>
    <w:pPr>
      <w:spacing w:line="360" w:lineRule="auto"/>
      <w:ind w:firstLine="568" w:firstLineChars="203"/>
    </w:pPr>
    <w:rPr>
      <w:rFonts w:ascii="Arial" w:hAnsi="Arial" w:cs="Arial"/>
      <w:sz w:val="28"/>
    </w:rPr>
  </w:style>
  <w:style w:type="paragraph" w:styleId="23">
    <w:name w:val="toc 9"/>
    <w:basedOn w:val="1"/>
    <w:next w:val="1"/>
    <w:autoRedefine/>
    <w:unhideWhenUsed/>
    <w:qFormat/>
    <w:uiPriority w:val="39"/>
    <w:pPr>
      <w:ind w:left="1920"/>
    </w:pPr>
    <w:rPr>
      <w:rFonts w:ascii="Calibri" w:hAnsi="Calibri"/>
      <w:sz w:val="18"/>
      <w:szCs w:val="18"/>
    </w:rPr>
  </w:style>
  <w:style w:type="paragraph" w:styleId="24">
    <w:name w:val="Body Text 2"/>
    <w:basedOn w:val="1"/>
    <w:autoRedefine/>
    <w:qFormat/>
    <w:uiPriority w:val="0"/>
    <w:pPr>
      <w:spacing w:after="120" w:line="480" w:lineRule="auto"/>
    </w:pPr>
    <w:rPr>
      <w:rFonts w:eastAsia="Times New Roman"/>
    </w:r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26">
    <w:name w:val="Title"/>
    <w:basedOn w:val="1"/>
    <w:next w:val="1"/>
    <w:qFormat/>
    <w:uiPriority w:val="10"/>
    <w:pPr>
      <w:spacing w:line="240" w:lineRule="auto"/>
      <w:jc w:val="center"/>
    </w:pPr>
    <w:rPr>
      <w:rFonts w:cstheme="majorBidi"/>
      <w:b/>
      <w:bCs/>
      <w:sz w:val="21"/>
      <w:szCs w:val="32"/>
    </w:rPr>
  </w:style>
  <w:style w:type="paragraph" w:styleId="27">
    <w:name w:val="annotation subject"/>
    <w:basedOn w:val="8"/>
    <w:next w:val="8"/>
    <w:link w:val="52"/>
    <w:autoRedefine/>
    <w:qFormat/>
    <w:uiPriority w:val="0"/>
    <w:rPr>
      <w:b/>
      <w:bCs/>
      <w:szCs w:val="24"/>
    </w:rPr>
  </w:style>
  <w:style w:type="paragraph" w:styleId="28">
    <w:name w:val="Body Text First Indent"/>
    <w:basedOn w:val="10"/>
    <w:autoRedefine/>
    <w:qFormat/>
    <w:uiPriority w:val="0"/>
    <w:pPr>
      <w:spacing w:after="120" w:line="240" w:lineRule="auto"/>
      <w:ind w:firstLine="420" w:firstLineChars="100"/>
    </w:pPr>
    <w:rPr>
      <w:sz w:val="21"/>
    </w:rPr>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autoRedefine/>
    <w:qFormat/>
    <w:uiPriority w:val="0"/>
  </w:style>
  <w:style w:type="character" w:styleId="33">
    <w:name w:val="annotation reference"/>
    <w:autoRedefine/>
    <w:semiHidden/>
    <w:qFormat/>
    <w:uiPriority w:val="0"/>
    <w:rPr>
      <w:sz w:val="21"/>
    </w:rPr>
  </w:style>
  <w:style w:type="paragraph" w:customStyle="1" w:styleId="34">
    <w:name w:val="Default"/>
    <w:basedOn w:val="35"/>
    <w:next w:val="36"/>
    <w:autoRedefine/>
    <w:qFormat/>
    <w:uiPriority w:val="0"/>
    <w:pPr>
      <w:autoSpaceDE w:val="0"/>
      <w:autoSpaceDN w:val="0"/>
      <w:adjustRightInd w:val="0"/>
    </w:pPr>
    <w:rPr>
      <w:rFonts w:ascii="宋体" w:hAnsi="宋体" w:cs="宋体"/>
      <w:color w:val="000000"/>
      <w:sz w:val="24"/>
      <w:szCs w:val="24"/>
    </w:rPr>
  </w:style>
  <w:style w:type="paragraph" w:customStyle="1" w:styleId="35">
    <w:name w:val="标题2"/>
    <w:basedOn w:val="3"/>
    <w:autoRedefine/>
    <w:qFormat/>
    <w:uiPriority w:val="0"/>
    <w:pPr>
      <w:numPr>
        <w:ilvl w:val="1"/>
        <w:numId w:val="3"/>
      </w:numPr>
      <w:spacing w:before="0" w:after="0" w:line="440" w:lineRule="exact"/>
    </w:pPr>
    <w:rPr>
      <w:kern w:val="0"/>
    </w:rPr>
  </w:style>
  <w:style w:type="paragraph" w:customStyle="1" w:styleId="36">
    <w:name w:val="样式35"/>
    <w:basedOn w:val="1"/>
    <w:qFormat/>
    <w:uiPriority w:val="0"/>
    <w:pPr>
      <w:adjustRightInd w:val="0"/>
      <w:spacing w:line="312" w:lineRule="auto"/>
      <w:ind w:firstLine="567"/>
    </w:pPr>
    <w:rPr>
      <w:rFonts w:ascii="宋体"/>
      <w:kern w:val="0"/>
      <w:sz w:val="28"/>
    </w:rPr>
  </w:style>
  <w:style w:type="paragraph" w:customStyle="1" w:styleId="37">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8">
    <w:name w:val="Table Paragraph"/>
    <w:basedOn w:val="1"/>
    <w:autoRedefine/>
    <w:qFormat/>
    <w:uiPriority w:val="1"/>
    <w:pPr>
      <w:jc w:val="center"/>
    </w:pPr>
    <w:rPr>
      <w:rFonts w:ascii="宋体" w:hAnsi="宋体" w:cs="宋体"/>
      <w:kern w:val="0"/>
      <w:sz w:val="22"/>
      <w:szCs w:val="22"/>
      <w:lang w:eastAsia="en-US"/>
    </w:rPr>
  </w:style>
  <w:style w:type="paragraph" w:customStyle="1" w:styleId="39">
    <w:name w:val="4正文"/>
    <w:basedOn w:val="1"/>
    <w:autoRedefine/>
    <w:qFormat/>
    <w:uiPriority w:val="0"/>
    <w:pPr>
      <w:adjustRightInd w:val="0"/>
      <w:spacing w:beforeLines="50" w:afterLines="50" w:line="400" w:lineRule="atLeast"/>
      <w:ind w:firstLine="200" w:firstLineChars="200"/>
      <w:textAlignment w:val="baseline"/>
    </w:pPr>
    <w:rPr>
      <w:rFonts w:ascii="宋体" w:hAnsi="宋体"/>
      <w:sz w:val="24"/>
    </w:rPr>
  </w:style>
  <w:style w:type="paragraph" w:styleId="40">
    <w:name w:val="List Paragraph"/>
    <w:basedOn w:val="1"/>
    <w:autoRedefine/>
    <w:qFormat/>
    <w:uiPriority w:val="99"/>
    <w:pPr>
      <w:ind w:firstLine="420" w:firstLineChars="200"/>
    </w:pPr>
  </w:style>
  <w:style w:type="paragraph" w:customStyle="1" w:styleId="41">
    <w:name w:val="李阳-表头"/>
    <w:basedOn w:val="1"/>
    <w:autoRedefine/>
    <w:qFormat/>
    <w:uiPriority w:val="0"/>
    <w:pPr>
      <w:adjustRightInd w:val="0"/>
      <w:snapToGrid w:val="0"/>
      <w:spacing w:beforeLines="50" w:afterLines="50"/>
      <w:jc w:val="center"/>
    </w:pPr>
    <w:rPr>
      <w:rFonts w:ascii="Calibri" w:hAnsi="Calibri"/>
      <w:b/>
      <w:sz w:val="24"/>
      <w:szCs w:val="21"/>
    </w:rPr>
  </w:style>
  <w:style w:type="paragraph" w:customStyle="1" w:styleId="42">
    <w:name w:val="表格"/>
    <w:basedOn w:val="43"/>
    <w:next w:val="24"/>
    <w:autoRedefine/>
    <w:qFormat/>
    <w:uiPriority w:val="0"/>
    <w:pPr>
      <w:spacing w:beforeLines="10" w:afterLines="10" w:line="259" w:lineRule="auto"/>
      <w:jc w:val="center"/>
    </w:pPr>
    <w:rPr>
      <w:rFonts w:ascii="宋体"/>
      <w:kern w:val="0"/>
    </w:rPr>
  </w:style>
  <w:style w:type="paragraph" w:customStyle="1" w:styleId="43">
    <w:name w:val="表格式"/>
    <w:basedOn w:val="21"/>
    <w:autoRedefine/>
    <w:qFormat/>
    <w:uiPriority w:val="0"/>
    <w:pPr>
      <w:spacing w:before="156" w:beforeLines="50" w:after="156" w:afterLines="50" w:line="240" w:lineRule="exact"/>
      <w:jc w:val="center"/>
    </w:pPr>
    <w:rPr>
      <w:rFonts w:ascii="Times New Roman" w:hAnsi="Times New Roman" w:eastAsia="宋体" w:cs="Times New Roman"/>
      <w:color w:val="000000"/>
      <w:szCs w:val="21"/>
    </w:rPr>
  </w:style>
  <w:style w:type="paragraph" w:customStyle="1" w:styleId="44">
    <w:name w:val="正文1"/>
    <w:basedOn w:val="1"/>
    <w:next w:val="1"/>
    <w:autoRedefine/>
    <w:qFormat/>
    <w:uiPriority w:val="99"/>
    <w:pPr>
      <w:adjustRightInd w:val="0"/>
      <w:snapToGrid w:val="0"/>
      <w:spacing w:line="480" w:lineRule="exact"/>
      <w:ind w:firstLine="200" w:firstLineChars="200"/>
    </w:pPr>
    <w:rPr>
      <w:szCs w:val="20"/>
    </w:rPr>
  </w:style>
  <w:style w:type="paragraph" w:customStyle="1" w:styleId="45">
    <w:name w:val="tt正文"/>
    <w:basedOn w:val="1"/>
    <w:autoRedefine/>
    <w:qFormat/>
    <w:uiPriority w:val="0"/>
    <w:pPr>
      <w:snapToGrid w:val="0"/>
      <w:spacing w:line="360" w:lineRule="auto"/>
      <w:ind w:firstLine="480" w:firstLineChars="200"/>
    </w:pPr>
    <w:rPr>
      <w:rFonts w:ascii="宋体" w:hAnsi="宋体"/>
      <w:sz w:val="24"/>
      <w:szCs w:val="21"/>
    </w:rPr>
  </w:style>
  <w:style w:type="paragraph" w:customStyle="1" w:styleId="46">
    <w:name w:val="正文格式"/>
    <w:basedOn w:val="1"/>
    <w:autoRedefine/>
    <w:qFormat/>
    <w:uiPriority w:val="0"/>
    <w:pPr>
      <w:pBdr>
        <w:top w:val="none" w:color="000000" w:sz="0" w:space="0"/>
        <w:left w:val="none" w:color="000000" w:sz="0" w:space="0"/>
        <w:bottom w:val="none" w:color="000000" w:sz="0" w:space="0"/>
        <w:right w:val="none" w:color="000000" w:sz="0" w:space="0"/>
        <w:between w:val="none" w:color="000000" w:sz="0" w:space="0"/>
      </w:pBdr>
      <w:spacing w:line="360" w:lineRule="auto"/>
      <w:ind w:firstLine="200" w:firstLineChars="200"/>
    </w:pPr>
    <w:rPr>
      <w:szCs w:val="20"/>
    </w:rPr>
  </w:style>
  <w:style w:type="paragraph" w:customStyle="1" w:styleId="47">
    <w:name w:val="24磅正文"/>
    <w:basedOn w:val="1"/>
    <w:autoRedefine/>
    <w:qFormat/>
    <w:uiPriority w:val="0"/>
    <w:pPr>
      <w:spacing w:line="480" w:lineRule="exact"/>
      <w:ind w:firstLine="480" w:firstLineChars="200"/>
    </w:pPr>
  </w:style>
  <w:style w:type="paragraph" w:customStyle="1" w:styleId="48">
    <w:name w:val="表格标题"/>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9">
    <w:name w:val="表格内部—常用"/>
    <w:basedOn w:val="1"/>
    <w:next w:val="1"/>
    <w:autoRedefine/>
    <w:qFormat/>
    <w:uiPriority w:val="0"/>
    <w:pPr>
      <w:jc w:val="center"/>
    </w:pPr>
    <w:rPr>
      <w:szCs w:val="21"/>
    </w:rPr>
  </w:style>
  <w:style w:type="paragraph" w:customStyle="1" w:styleId="50">
    <w:name w:val="（1）小标题"/>
    <w:next w:val="1"/>
    <w:autoRedefine/>
    <w:qFormat/>
    <w:uiPriority w:val="0"/>
    <w:pPr>
      <w:widowControl w:val="0"/>
      <w:numPr>
        <w:ilvl w:val="0"/>
        <w:numId w:val="4"/>
      </w:numPr>
      <w:spacing w:line="360" w:lineRule="auto"/>
      <w:ind w:firstLine="540" w:firstLineChars="200"/>
    </w:pPr>
    <w:rPr>
      <w:rFonts w:ascii="Times New Roman" w:hAnsi="Times New Roman" w:eastAsia="宋体" w:cs="Times New Roman"/>
      <w:kern w:val="2"/>
      <w:sz w:val="24"/>
      <w:szCs w:val="24"/>
      <w:lang w:val="en-US" w:eastAsia="zh-CN" w:bidi="ar-SA"/>
    </w:rPr>
  </w:style>
  <w:style w:type="character" w:customStyle="1" w:styleId="51">
    <w:name w:val="批注文字 Char"/>
    <w:basedOn w:val="31"/>
    <w:link w:val="8"/>
    <w:autoRedefine/>
    <w:semiHidden/>
    <w:qFormat/>
    <w:uiPriority w:val="0"/>
    <w:rPr>
      <w:kern w:val="2"/>
      <w:sz w:val="21"/>
    </w:rPr>
  </w:style>
  <w:style w:type="character" w:customStyle="1" w:styleId="52">
    <w:name w:val="批注主题 Char"/>
    <w:basedOn w:val="51"/>
    <w:link w:val="27"/>
    <w:autoRedefine/>
    <w:qFormat/>
    <w:uiPriority w:val="0"/>
  </w:style>
  <w:style w:type="character" w:customStyle="1" w:styleId="53">
    <w:name w:val="批注框文本 Char"/>
    <w:basedOn w:val="31"/>
    <w:link w:val="18"/>
    <w:autoRedefine/>
    <w:qFormat/>
    <w:uiPriority w:val="0"/>
    <w:rPr>
      <w:kern w:val="2"/>
      <w:sz w:val="18"/>
      <w:szCs w:val="18"/>
    </w:rPr>
  </w:style>
  <w:style w:type="paragraph" w:customStyle="1" w:styleId="54">
    <w:name w:val="1 正文"/>
    <w:basedOn w:val="1"/>
    <w:qFormat/>
    <w:uiPriority w:val="0"/>
    <w:pPr>
      <w:adjustRightInd w:val="0"/>
      <w:snapToGrid w:val="0"/>
      <w:spacing w:line="360" w:lineRule="auto"/>
      <w:ind w:firstLine="200" w:firstLineChars="200"/>
    </w:pPr>
    <w:rPr>
      <w:kern w:val="0"/>
      <w:sz w:val="24"/>
      <w:szCs w:val="20"/>
    </w:rPr>
  </w:style>
  <w:style w:type="paragraph" w:customStyle="1" w:styleId="55">
    <w:name w:val="正式文本"/>
    <w:basedOn w:val="1"/>
    <w:qFormat/>
    <w:uiPriority w:val="0"/>
    <w:pPr>
      <w:adjustRightInd w:val="0"/>
      <w:snapToGrid w:val="0"/>
      <w:spacing w:line="360" w:lineRule="auto"/>
      <w:ind w:firstLine="420" w:firstLineChars="200"/>
      <w:jc w:val="left"/>
    </w:pPr>
    <w:rPr>
      <w:bCs/>
      <w:szCs w:val="21"/>
    </w:rPr>
  </w:style>
  <w:style w:type="paragraph" w:customStyle="1" w:styleId="56">
    <w:name w:val="表标题"/>
    <w:basedOn w:val="1"/>
    <w:autoRedefine/>
    <w:qFormat/>
    <w:uiPriority w:val="0"/>
    <w:pPr>
      <w:spacing w:line="360" w:lineRule="auto"/>
      <w:jc w:val="center"/>
    </w:pPr>
    <w:rPr>
      <w:b/>
      <w:bCs/>
      <w:szCs w:val="22"/>
    </w:rPr>
  </w:style>
  <w:style w:type="character" w:customStyle="1" w:styleId="57">
    <w:name w:val="15"/>
    <w:basedOn w:val="31"/>
    <w:autoRedefine/>
    <w:qFormat/>
    <w:uiPriority w:val="0"/>
    <w:rPr>
      <w:rFonts w:hint="default" w:ascii="Times New Roman" w:hAnsi="Times New Roman" w:cs="Times New Roman"/>
    </w:rPr>
  </w:style>
  <w:style w:type="paragraph" w:customStyle="1" w:styleId="58">
    <w:name w:val="表格内容自定"/>
    <w:basedOn w:val="1"/>
    <w:autoRedefine/>
    <w:qFormat/>
    <w:uiPriority w:val="0"/>
    <w:pPr>
      <w:spacing w:line="280" w:lineRule="exact"/>
      <w:jc w:val="center"/>
    </w:pPr>
    <w:rPr>
      <w:kern w:val="0"/>
      <w:sz w:val="18"/>
      <w:szCs w:val="20"/>
    </w:rPr>
  </w:style>
  <w:style w:type="paragraph" w:customStyle="1" w:styleId="59">
    <w:name w:val="Table Text"/>
    <w:basedOn w:val="1"/>
    <w:autoRedefine/>
    <w:semiHidden/>
    <w:qFormat/>
    <w:uiPriority w:val="0"/>
    <w:rPr>
      <w:rFonts w:ascii="宋体" w:hAnsi="宋体" w:eastAsia="宋体" w:cs="宋体"/>
      <w:sz w:val="24"/>
      <w:szCs w:val="24"/>
      <w:lang w:val="en-US" w:eastAsia="en-US" w:bidi="ar-SA"/>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Heading #3|1"/>
    <w:basedOn w:val="1"/>
    <w:qFormat/>
    <w:uiPriority w:val="0"/>
    <w:pPr>
      <w:spacing w:after="300"/>
      <w:jc w:val="center"/>
      <w:outlineLvl w:val="2"/>
    </w:pPr>
    <w:rPr>
      <w:rFonts w:ascii="宋体" w:hAnsi="宋体" w:eastAsia="宋体" w:cs="宋体"/>
      <w:sz w:val="46"/>
      <w:szCs w:val="46"/>
      <w:lang w:val="zh-TW" w:eastAsia="zh-TW" w:bidi="zh-TW"/>
    </w:rPr>
  </w:style>
  <w:style w:type="paragraph" w:customStyle="1" w:styleId="62">
    <w:name w:val="Other|1"/>
    <w:basedOn w:val="1"/>
    <w:qFormat/>
    <w:uiPriority w:val="0"/>
    <w:pPr>
      <w:jc w:val="center"/>
    </w:pPr>
    <w:rPr>
      <w:rFonts w:ascii="宋体" w:hAnsi="宋体" w:eastAsia="宋体" w:cs="宋体"/>
      <w:lang w:val="zh-TW" w:eastAsia="zh-TW" w:bidi="zh-TW"/>
    </w:rPr>
  </w:style>
  <w:style w:type="paragraph" w:customStyle="1" w:styleId="63">
    <w:name w:val="1正文"/>
    <w:basedOn w:val="1"/>
    <w:qFormat/>
    <w:uiPriority w:val="0"/>
    <w:pPr>
      <w:widowControl/>
      <w:spacing w:line="480" w:lineRule="exact"/>
      <w:ind w:firstLine="200" w:firstLineChars="200"/>
    </w:pPr>
    <w:rPr>
      <w:sz w:val="24"/>
      <w:szCs w:val="24"/>
    </w:rPr>
  </w:style>
  <w:style w:type="paragraph" w:customStyle="1" w:styleId="64">
    <w:name w:val="正文首行2段落1.5"/>
    <w:basedOn w:val="1"/>
    <w:autoRedefine/>
    <w:qFormat/>
    <w:uiPriority w:val="0"/>
    <w:pPr>
      <w:spacing w:line="360" w:lineRule="auto"/>
      <w:ind w:firstLine="200" w:firstLineChars="200"/>
    </w:pPr>
  </w:style>
  <w:style w:type="paragraph" w:customStyle="1" w:styleId="65">
    <w:name w:val="正文内容"/>
    <w:basedOn w:val="63"/>
    <w:qFormat/>
    <w:uiPriority w:val="0"/>
    <w:pPr>
      <w:spacing w:line="360" w:lineRule="auto"/>
      <w:ind w:firstLine="480"/>
    </w:pPr>
    <w:rPr>
      <w:color w:val="000000"/>
    </w:rPr>
  </w:style>
  <w:style w:type="paragraph" w:customStyle="1" w:styleId="66">
    <w:name w:val="1正文段落"/>
    <w:basedOn w:val="1"/>
    <w:qFormat/>
    <w:uiPriority w:val="0"/>
    <w:pPr>
      <w:adjustRightInd w:val="0"/>
      <w:snapToGrid w:val="0"/>
      <w:spacing w:line="360" w:lineRule="auto"/>
      <w:ind w:firstLine="480" w:firstLineChars="200"/>
    </w:pPr>
    <w:rPr>
      <w:snapToGrid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3711</Words>
  <Characters>3979</Characters>
  <Lines>375</Lines>
  <Paragraphs>105</Paragraphs>
  <TotalTime>7</TotalTime>
  <ScaleCrop>false</ScaleCrop>
  <LinksUpToDate>false</LinksUpToDate>
  <CharactersWithSpaces>4019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2023-12-10T02:39:00Z</dcterms:created>
  <dc:creator>AH吴银龙</dc:creator>
  <cp:lastModifiedBy>AH吴银龙</cp:lastModifiedBy>
  <dcterms:modified xsi:type="dcterms:W3CDTF">2025-08-24T16:17:34Z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59C2E24087F44787A8F4E6CACF732CAE_13</vt:lpwstr>
  </property>
  <property fmtid="{D5CDD505-2E9C-101B-9397-08002B2CF9AE}" pid="4" name="KSOTemplateDocerSaveRecord">
    <vt:lpwstr>eyJoZGlkIjoiNjg0MDhmNDBjODJhNTc4NTYwMjJlOTNjMzdmNTU0YTkiLCJ1c2VySWQiOiIyNzA3ODczMCJ9</vt:lpwstr>
  </property>
</Properties>
</file>